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DD7A" w14:textId="77777777" w:rsidR="006E1AE2" w:rsidRPr="006E1AE2" w:rsidRDefault="006E1AE2" w:rsidP="006E1AE2">
      <w:pPr>
        <w:rPr>
          <w:b/>
          <w:bCs/>
          <w:sz w:val="28"/>
          <w:szCs w:val="28"/>
        </w:rPr>
      </w:pPr>
      <w:r w:rsidRPr="006E1AE2">
        <w:rPr>
          <w:b/>
          <w:bCs/>
          <w:sz w:val="28"/>
          <w:szCs w:val="28"/>
        </w:rPr>
        <w:t>LUXE VELA PRIVE STRATEGIC CONSULTING SL</w:t>
      </w:r>
    </w:p>
    <w:p w14:paraId="0A6C738E" w14:textId="77777777" w:rsidR="006E1AE2" w:rsidRPr="006E1AE2" w:rsidRDefault="006E1AE2" w:rsidP="006E1AE2">
      <w:pPr>
        <w:rPr>
          <w:b/>
          <w:bCs/>
          <w:sz w:val="28"/>
          <w:szCs w:val="28"/>
        </w:rPr>
      </w:pPr>
      <w:r w:rsidRPr="006E1AE2">
        <w:rPr>
          <w:b/>
          <w:bCs/>
          <w:sz w:val="28"/>
          <w:szCs w:val="28"/>
        </w:rPr>
        <w:t>ESPECIFICACIÓN TÉCNICA DEFINITIVA DE FRONTEND: ARQUITECTURA DE INTERFAZ MULTIMODAL</w:t>
      </w:r>
    </w:p>
    <w:p w14:paraId="7D99C714" w14:textId="77777777" w:rsidR="006E1AE2" w:rsidRPr="006E1AE2" w:rsidRDefault="006E1AE2" w:rsidP="006E1AE2">
      <w:pPr>
        <w:rPr>
          <w:sz w:val="28"/>
          <w:szCs w:val="28"/>
        </w:rPr>
      </w:pPr>
      <w:r w:rsidRPr="006E1AE2">
        <w:rPr>
          <w:b/>
          <w:bCs/>
          <w:sz w:val="28"/>
          <w:szCs w:val="28"/>
        </w:rPr>
        <w:t>Estatus:</w:t>
      </w:r>
      <w:r w:rsidRPr="006E1AE2">
        <w:rPr>
          <w:sz w:val="28"/>
          <w:szCs w:val="28"/>
        </w:rPr>
        <w:t xml:space="preserve"> Documento Único Purificado y Validado para Inyección Directa.</w:t>
      </w:r>
    </w:p>
    <w:p w14:paraId="0F7748D3" w14:textId="77777777" w:rsidR="006E1AE2" w:rsidRPr="006E1AE2" w:rsidRDefault="006E1AE2" w:rsidP="006E1AE2">
      <w:pPr>
        <w:rPr>
          <w:sz w:val="28"/>
          <w:szCs w:val="28"/>
        </w:rPr>
      </w:pPr>
      <w:r w:rsidRPr="006E1AE2">
        <w:rPr>
          <w:b/>
          <w:bCs/>
          <w:sz w:val="28"/>
          <w:szCs w:val="28"/>
        </w:rPr>
        <w:t>Configuración de Estilo Institucional:</w:t>
      </w:r>
      <w:r w:rsidRPr="006E1AE2">
        <w:rPr>
          <w:sz w:val="28"/>
          <w:szCs w:val="28"/>
        </w:rPr>
        <w:t xml:space="preserve"> Fondo general de interfaz en Azul Marino Oscuro Profundo (#0A1128), contenedores modulares Bento </w:t>
      </w:r>
      <w:proofErr w:type="spellStart"/>
      <w:r w:rsidRPr="006E1AE2">
        <w:rPr>
          <w:sz w:val="28"/>
          <w:szCs w:val="28"/>
        </w:rPr>
        <w:t>Grid</w:t>
      </w:r>
      <w:proofErr w:type="spellEnd"/>
      <w:r w:rsidRPr="006E1AE2">
        <w:rPr>
          <w:sz w:val="28"/>
          <w:szCs w:val="28"/>
        </w:rPr>
        <w:t xml:space="preserve"> en Azul Noche Limpio (#1E293B) y acentos tipográficos o filetes perimetrales activos en Dorado Institucional Premium (#D4AF37).</w:t>
      </w:r>
    </w:p>
    <w:p w14:paraId="6E31722F" w14:textId="77777777" w:rsidR="006E1AE2" w:rsidRPr="006E1AE2" w:rsidRDefault="006E1AE2" w:rsidP="006E1AE2">
      <w:pPr>
        <w:rPr>
          <w:b/>
          <w:bCs/>
          <w:sz w:val="28"/>
          <w:szCs w:val="28"/>
        </w:rPr>
      </w:pPr>
      <w:r w:rsidRPr="006E1AE2">
        <w:rPr>
          <w:b/>
          <w:bCs/>
          <w:sz w:val="28"/>
          <w:szCs w:val="28"/>
        </w:rPr>
        <w:t>SOLAPA 01 · Inferencia Soberana</w:t>
      </w:r>
    </w:p>
    <w:p w14:paraId="79F6635E" w14:textId="77777777" w:rsidR="006E1AE2" w:rsidRPr="006E1AE2" w:rsidRDefault="006E1AE2" w:rsidP="006E1AE2">
      <w:pPr>
        <w:numPr>
          <w:ilvl w:val="0"/>
          <w:numId w:val="1"/>
        </w:numPr>
        <w:rPr>
          <w:sz w:val="28"/>
          <w:szCs w:val="28"/>
        </w:rPr>
      </w:pPr>
      <w:r w:rsidRPr="006E1AE2">
        <w:rPr>
          <w:b/>
          <w:bCs/>
          <w:sz w:val="28"/>
          <w:szCs w:val="28"/>
        </w:rPr>
        <w:t>Título Principal:</w:t>
      </w:r>
      <w:r w:rsidRPr="006E1AE2">
        <w:rPr>
          <w:sz w:val="28"/>
          <w:szCs w:val="28"/>
        </w:rPr>
        <w:t xml:space="preserve"> LUXE VELA PRIVE STRATEGIC CONSULTING SL </w:t>
      </w:r>
    </w:p>
    <w:p w14:paraId="7C4EF55F" w14:textId="77777777" w:rsidR="006E1AE2" w:rsidRPr="006E1AE2" w:rsidRDefault="006E1AE2" w:rsidP="006E1AE2">
      <w:pPr>
        <w:numPr>
          <w:ilvl w:val="0"/>
          <w:numId w:val="1"/>
        </w:numPr>
        <w:rPr>
          <w:sz w:val="28"/>
          <w:szCs w:val="28"/>
        </w:rPr>
      </w:pPr>
      <w:r w:rsidRPr="006E1AE2">
        <w:rPr>
          <w:b/>
          <w:bCs/>
          <w:sz w:val="28"/>
          <w:szCs w:val="28"/>
        </w:rPr>
        <w:t>Subtítulo del Enclave:</w:t>
      </w:r>
      <w:r w:rsidRPr="006E1AE2">
        <w:rPr>
          <w:sz w:val="28"/>
          <w:szCs w:val="28"/>
        </w:rPr>
        <w:t xml:space="preserve"> [ METODOLOGÍA AVANZADA DE INFERENCIA SOBERANA Y AUDITORÍA DE AUTOR · </w:t>
      </w:r>
      <w:proofErr w:type="gramStart"/>
      <w:r w:rsidRPr="006E1AE2">
        <w:rPr>
          <w:sz w:val="28"/>
          <w:szCs w:val="28"/>
        </w:rPr>
        <w:t>MASTER</w:t>
      </w:r>
      <w:proofErr w:type="gramEnd"/>
      <w:r w:rsidRPr="006E1AE2">
        <w:rPr>
          <w:sz w:val="28"/>
          <w:szCs w:val="28"/>
        </w:rPr>
        <w:t xml:space="preserve"> CORE DEFINITIVO </w:t>
      </w:r>
      <w:proofErr w:type="gramStart"/>
      <w:r w:rsidRPr="006E1AE2">
        <w:rPr>
          <w:sz w:val="28"/>
          <w:szCs w:val="28"/>
        </w:rPr>
        <w:t>v3.0 ]</w:t>
      </w:r>
      <w:proofErr w:type="gramEnd"/>
    </w:p>
    <w:p w14:paraId="7C2830D3" w14:textId="77777777" w:rsidR="006E1AE2" w:rsidRPr="006E1AE2" w:rsidRDefault="006E1AE2" w:rsidP="006E1AE2">
      <w:pPr>
        <w:numPr>
          <w:ilvl w:val="0"/>
          <w:numId w:val="1"/>
        </w:numPr>
        <w:rPr>
          <w:sz w:val="28"/>
          <w:szCs w:val="28"/>
        </w:rPr>
      </w:pPr>
      <w:r w:rsidRPr="006E1AE2">
        <w:rPr>
          <w:b/>
          <w:bCs/>
          <w:sz w:val="28"/>
          <w:szCs w:val="28"/>
        </w:rPr>
        <w:t>Definición Doctrinaria del Núcleo:</w:t>
      </w:r>
      <w:r w:rsidRPr="006E1AE2">
        <w:rPr>
          <w:sz w:val="28"/>
          <w:szCs w:val="28"/>
        </w:rPr>
        <w:t xml:space="preserve"> El presente entorno constituye la especificación analítica e institucional definitiva del Modelo de Inferencia Soberana denominado LVP-OMEGA (Versión 3.0), desarrollado y explotado en régimen de exclusividad absoluta por la firma. El sistema rechaza explícitamente cualquier categorización reduccionista o convencional de mercado. No constituye un software ejecutable común, ni un desarrollo de sistemas informáticos tradicionales, ni una plataforma basada en infraestructura de </w:t>
      </w:r>
      <w:proofErr w:type="spellStart"/>
      <w:r w:rsidRPr="006E1AE2">
        <w:rPr>
          <w:sz w:val="28"/>
          <w:szCs w:val="28"/>
        </w:rPr>
        <w:t>APIs</w:t>
      </w:r>
      <w:proofErr w:type="spellEnd"/>
      <w:r w:rsidRPr="006E1AE2">
        <w:rPr>
          <w:sz w:val="28"/>
          <w:szCs w:val="28"/>
        </w:rPr>
        <w:t xml:space="preserve"> comerciales estándar. Se define formalmente en su arquitectura como un Framework Matemático de Inferencia Asimétrica y Peritaje Financiero Exógeno. Su finalidad exclusiva es la interceptación matemática, la modelización predictiva de alta fidelidad y la cuantificación exacta de ineficiencias de capital, pérdidas por pasivos de rentas extractivas, descalces de indexación estructural y secuestro de flujos de caja flotantes (</w:t>
      </w:r>
      <w:proofErr w:type="spellStart"/>
      <w:r w:rsidRPr="006E1AE2">
        <w:rPr>
          <w:sz w:val="28"/>
          <w:szCs w:val="28"/>
        </w:rPr>
        <w:t>float</w:t>
      </w:r>
      <w:proofErr w:type="spellEnd"/>
      <w:r w:rsidRPr="006E1AE2">
        <w:rPr>
          <w:sz w:val="28"/>
          <w:szCs w:val="28"/>
        </w:rPr>
        <w:t xml:space="preserve"> </w:t>
      </w:r>
      <w:proofErr w:type="spellStart"/>
      <w:r w:rsidRPr="006E1AE2">
        <w:rPr>
          <w:sz w:val="28"/>
          <w:szCs w:val="28"/>
        </w:rPr>
        <w:t>hijacking</w:t>
      </w:r>
      <w:proofErr w:type="spellEnd"/>
      <w:r w:rsidRPr="006E1AE2">
        <w:rPr>
          <w:sz w:val="28"/>
          <w:szCs w:val="28"/>
        </w:rPr>
        <w:t xml:space="preserve">) en conglomerados globales, entidades cotizadas </w:t>
      </w:r>
      <w:r w:rsidRPr="006E1AE2">
        <w:rPr>
          <w:sz w:val="28"/>
          <w:szCs w:val="28"/>
        </w:rPr>
        <w:lastRenderedPageBreak/>
        <w:t>(</w:t>
      </w:r>
      <w:proofErr w:type="spellStart"/>
      <w:r w:rsidRPr="006E1AE2">
        <w:rPr>
          <w:sz w:val="28"/>
          <w:szCs w:val="28"/>
        </w:rPr>
        <w:t>SOCIMIs</w:t>
      </w:r>
      <w:proofErr w:type="spellEnd"/>
      <w:r w:rsidRPr="006E1AE2">
        <w:rPr>
          <w:sz w:val="28"/>
          <w:szCs w:val="28"/>
        </w:rPr>
        <w:t xml:space="preserve">) y sectores estratégicos de alta capitalización internacional. </w:t>
      </w:r>
    </w:p>
    <w:p w14:paraId="2CE5FD79" w14:textId="77777777" w:rsidR="006E1AE2" w:rsidRPr="006E1AE2" w:rsidRDefault="006E1AE2" w:rsidP="006E1AE2">
      <w:pPr>
        <w:numPr>
          <w:ilvl w:val="0"/>
          <w:numId w:val="1"/>
        </w:numPr>
        <w:rPr>
          <w:sz w:val="28"/>
          <w:szCs w:val="28"/>
        </w:rPr>
      </w:pPr>
      <w:r w:rsidRPr="006E1AE2">
        <w:rPr>
          <w:b/>
          <w:bCs/>
          <w:sz w:val="28"/>
          <w:szCs w:val="28"/>
        </w:rPr>
        <w:t>Ruptura de Autor:</w:t>
      </w:r>
      <w:r w:rsidRPr="006E1AE2">
        <w:rPr>
          <w:sz w:val="28"/>
          <w:szCs w:val="28"/>
        </w:rPr>
        <w:t xml:space="preserve"> La firma nace con el firme propósito de romper el modelo masivo, diluido y delegativo de las corporaciones transnacionales y las agencias de asesoría estándar. Sostenemos como axioma de negocio que los problemas de alta complejidad financiera y los riesgos críticos de erosión del EBITDA de una multinacional no pueden ser analizados por equipos de pasantes, consultores júniores o generalistas sin experiencia de campo. El nuestro es un modelo puro de Auditoría de Autor. Cada Partner recibe el </w:t>
      </w:r>
      <w:proofErr w:type="spellStart"/>
      <w:r w:rsidRPr="006E1AE2">
        <w:rPr>
          <w:sz w:val="28"/>
          <w:szCs w:val="28"/>
        </w:rPr>
        <w:t>co-pilotaje</w:t>
      </w:r>
      <w:proofErr w:type="spellEnd"/>
      <w:r w:rsidRPr="006E1AE2">
        <w:rPr>
          <w:sz w:val="28"/>
          <w:szCs w:val="28"/>
        </w:rPr>
        <w:t xml:space="preserve"> directo, asíncrono y permanente de la dirección ejecutiva de la firma, aplicando metodologías econométricas personalizadas y un control forense innegociable. No delegamos cuentas en terceros; asumimos la autoría de cada diagnóstico e intervención. </w:t>
      </w:r>
    </w:p>
    <w:p w14:paraId="0E39D750" w14:textId="77777777" w:rsidR="006E1AE2" w:rsidRPr="006E1AE2" w:rsidRDefault="006E1AE2" w:rsidP="006E1AE2">
      <w:pPr>
        <w:numPr>
          <w:ilvl w:val="0"/>
          <w:numId w:val="1"/>
        </w:numPr>
        <w:rPr>
          <w:sz w:val="28"/>
          <w:szCs w:val="28"/>
        </w:rPr>
      </w:pPr>
      <w:r w:rsidRPr="006E1AE2">
        <w:rPr>
          <w:b/>
          <w:bCs/>
          <w:sz w:val="28"/>
          <w:szCs w:val="28"/>
        </w:rPr>
        <w:t>El Axioma de Inclusión Exógena (Política de Residuo Operativo Cero):</w:t>
      </w:r>
      <w:r w:rsidRPr="006E1AE2">
        <w:rPr>
          <w:sz w:val="28"/>
          <w:szCs w:val="28"/>
        </w:rPr>
        <w:t xml:space="preserve"> Para garantizar la inmunidad legal de la firma, la invulnerabilidad ante contingencias de ciberseguridad perimetral y el cumplimiento estricto de la soberanía de datos y el </w:t>
      </w:r>
      <w:proofErr w:type="spellStart"/>
      <w:r w:rsidRPr="006E1AE2">
        <w:rPr>
          <w:sz w:val="28"/>
          <w:szCs w:val="28"/>
        </w:rPr>
        <w:t>compliance</w:t>
      </w:r>
      <w:proofErr w:type="spellEnd"/>
      <w:r w:rsidRPr="006E1AE2">
        <w:rPr>
          <w:sz w:val="28"/>
          <w:szCs w:val="28"/>
        </w:rPr>
        <w:t xml:space="preserve"> internacional, el búnker matemático opera de manera estrictamente exterior bajo tres principios innegociables de arquitectura técnica: </w:t>
      </w:r>
    </w:p>
    <w:p w14:paraId="5C05CF0F" w14:textId="77777777" w:rsidR="006E1AE2" w:rsidRPr="006E1AE2" w:rsidRDefault="006E1AE2" w:rsidP="006E1AE2">
      <w:pPr>
        <w:numPr>
          <w:ilvl w:val="1"/>
          <w:numId w:val="1"/>
        </w:numPr>
        <w:rPr>
          <w:sz w:val="28"/>
          <w:szCs w:val="28"/>
        </w:rPr>
      </w:pPr>
      <w:r w:rsidRPr="006E1AE2">
        <w:rPr>
          <w:i/>
          <w:iCs/>
          <w:sz w:val="28"/>
          <w:szCs w:val="28"/>
        </w:rPr>
        <w:t xml:space="preserve">Huella Operativa Nula (Zero </w:t>
      </w:r>
      <w:proofErr w:type="spellStart"/>
      <w:r w:rsidRPr="006E1AE2">
        <w:rPr>
          <w:i/>
          <w:iCs/>
          <w:sz w:val="28"/>
          <w:szCs w:val="28"/>
        </w:rPr>
        <w:t>Operational</w:t>
      </w:r>
      <w:proofErr w:type="spellEnd"/>
      <w:r w:rsidRPr="006E1AE2">
        <w:rPr>
          <w:i/>
          <w:iCs/>
          <w:sz w:val="28"/>
          <w:szCs w:val="28"/>
        </w:rPr>
        <w:t xml:space="preserve"> </w:t>
      </w:r>
      <w:proofErr w:type="spellStart"/>
      <w:r w:rsidRPr="006E1AE2">
        <w:rPr>
          <w:i/>
          <w:iCs/>
          <w:sz w:val="28"/>
          <w:szCs w:val="28"/>
        </w:rPr>
        <w:t>Footprint</w:t>
      </w:r>
      <w:proofErr w:type="spellEnd"/>
      <w:r w:rsidRPr="006E1AE2">
        <w:rPr>
          <w:i/>
          <w:iCs/>
          <w:sz w:val="28"/>
          <w:szCs w:val="28"/>
        </w:rPr>
        <w:t>):</w:t>
      </w:r>
      <w:r w:rsidRPr="006E1AE2">
        <w:rPr>
          <w:sz w:val="28"/>
          <w:szCs w:val="28"/>
        </w:rPr>
        <w:t xml:space="preserve"> El modelo no interactúa, no se integra, no modifica ni se acopla a las redes de datos, bases de datos o sistemas ERP internos de la corporación objetivo. No requiere credenciales de acceso, ni privilegios de administrador, ni despliegues de red locales. </w:t>
      </w:r>
    </w:p>
    <w:p w14:paraId="65E558B9" w14:textId="77777777" w:rsidR="006E1AE2" w:rsidRPr="006E1AE2" w:rsidRDefault="006E1AE2" w:rsidP="006E1AE2">
      <w:pPr>
        <w:numPr>
          <w:ilvl w:val="1"/>
          <w:numId w:val="1"/>
        </w:numPr>
        <w:rPr>
          <w:sz w:val="28"/>
          <w:szCs w:val="28"/>
        </w:rPr>
      </w:pPr>
      <w:r w:rsidRPr="006E1AE2">
        <w:rPr>
          <w:i/>
          <w:iCs/>
          <w:sz w:val="28"/>
          <w:szCs w:val="28"/>
        </w:rPr>
        <w:t xml:space="preserve">Intrusión de Sistemas Nula (Zero </w:t>
      </w:r>
      <w:proofErr w:type="spellStart"/>
      <w:r w:rsidRPr="006E1AE2">
        <w:rPr>
          <w:i/>
          <w:iCs/>
          <w:sz w:val="28"/>
          <w:szCs w:val="28"/>
        </w:rPr>
        <w:t>System</w:t>
      </w:r>
      <w:proofErr w:type="spellEnd"/>
      <w:r w:rsidRPr="006E1AE2">
        <w:rPr>
          <w:i/>
          <w:iCs/>
          <w:sz w:val="28"/>
          <w:szCs w:val="28"/>
        </w:rPr>
        <w:t xml:space="preserve"> </w:t>
      </w:r>
      <w:proofErr w:type="spellStart"/>
      <w:r w:rsidRPr="006E1AE2">
        <w:rPr>
          <w:i/>
          <w:iCs/>
          <w:sz w:val="28"/>
          <w:szCs w:val="28"/>
        </w:rPr>
        <w:t>Intrusion</w:t>
      </w:r>
      <w:proofErr w:type="spellEnd"/>
      <w:r w:rsidRPr="006E1AE2">
        <w:rPr>
          <w:i/>
          <w:iCs/>
          <w:sz w:val="28"/>
          <w:szCs w:val="28"/>
        </w:rPr>
        <w:t>):</w:t>
      </w:r>
      <w:r w:rsidRPr="006E1AE2">
        <w:rPr>
          <w:sz w:val="28"/>
          <w:szCs w:val="28"/>
        </w:rPr>
        <w:t xml:space="preserve"> La señal analítica se extrae mediante el procesamiento exclusivo de flujos de información públicos, </w:t>
      </w:r>
      <w:proofErr w:type="spellStart"/>
      <w:r w:rsidRPr="006E1AE2">
        <w:rPr>
          <w:sz w:val="28"/>
          <w:szCs w:val="28"/>
        </w:rPr>
        <w:t>semi-públicos</w:t>
      </w:r>
      <w:proofErr w:type="spellEnd"/>
      <w:r w:rsidRPr="006E1AE2">
        <w:rPr>
          <w:sz w:val="28"/>
          <w:szCs w:val="28"/>
        </w:rPr>
        <w:t>, registros oficiales de compensación (</w:t>
      </w:r>
      <w:proofErr w:type="spellStart"/>
      <w:r w:rsidRPr="006E1AE2">
        <w:rPr>
          <w:sz w:val="28"/>
          <w:szCs w:val="28"/>
        </w:rPr>
        <w:t>clearing</w:t>
      </w:r>
      <w:proofErr w:type="spellEnd"/>
      <w:r w:rsidRPr="006E1AE2">
        <w:rPr>
          <w:sz w:val="28"/>
          <w:szCs w:val="28"/>
        </w:rPr>
        <w:t xml:space="preserve">), </w:t>
      </w:r>
      <w:r w:rsidRPr="006E1AE2">
        <w:rPr>
          <w:sz w:val="28"/>
          <w:szCs w:val="28"/>
        </w:rPr>
        <w:lastRenderedPageBreak/>
        <w:t xml:space="preserve">datos transaccionales distribuidos, matrices logísticas globales e indicadores macroeconómicos de fricción sectorial. </w:t>
      </w:r>
    </w:p>
    <w:p w14:paraId="2A89AF17" w14:textId="77777777" w:rsidR="006E1AE2" w:rsidRPr="006E1AE2" w:rsidRDefault="006E1AE2" w:rsidP="006E1AE2">
      <w:pPr>
        <w:numPr>
          <w:ilvl w:val="1"/>
          <w:numId w:val="1"/>
        </w:numPr>
        <w:rPr>
          <w:sz w:val="28"/>
          <w:szCs w:val="28"/>
        </w:rPr>
      </w:pPr>
      <w:r w:rsidRPr="006E1AE2">
        <w:rPr>
          <w:i/>
          <w:iCs/>
          <w:sz w:val="28"/>
          <w:szCs w:val="28"/>
        </w:rPr>
        <w:t xml:space="preserve">Integración Nula (Zero </w:t>
      </w:r>
      <w:proofErr w:type="spellStart"/>
      <w:r w:rsidRPr="006E1AE2">
        <w:rPr>
          <w:i/>
          <w:iCs/>
          <w:sz w:val="28"/>
          <w:szCs w:val="28"/>
        </w:rPr>
        <w:t>Integration</w:t>
      </w:r>
      <w:proofErr w:type="spellEnd"/>
      <w:r w:rsidRPr="006E1AE2">
        <w:rPr>
          <w:i/>
          <w:iCs/>
          <w:sz w:val="28"/>
          <w:szCs w:val="28"/>
        </w:rPr>
        <w:t xml:space="preserve"> </w:t>
      </w:r>
      <w:proofErr w:type="spellStart"/>
      <w:r w:rsidRPr="006E1AE2">
        <w:rPr>
          <w:i/>
          <w:iCs/>
          <w:sz w:val="28"/>
          <w:szCs w:val="28"/>
        </w:rPr>
        <w:t>Required</w:t>
      </w:r>
      <w:proofErr w:type="spellEnd"/>
      <w:r w:rsidRPr="006E1AE2">
        <w:rPr>
          <w:i/>
          <w:iCs/>
          <w:sz w:val="28"/>
          <w:szCs w:val="28"/>
        </w:rPr>
        <w:t>):</w:t>
      </w:r>
      <w:r w:rsidRPr="006E1AE2">
        <w:rPr>
          <w:sz w:val="28"/>
          <w:szCs w:val="28"/>
        </w:rPr>
        <w:t xml:space="preserve"> El </w:t>
      </w:r>
      <w:proofErr w:type="spellStart"/>
      <w:r w:rsidRPr="006E1AE2">
        <w:rPr>
          <w:sz w:val="28"/>
          <w:szCs w:val="28"/>
        </w:rPr>
        <w:t>framework</w:t>
      </w:r>
      <w:proofErr w:type="spellEnd"/>
      <w:r w:rsidRPr="006E1AE2">
        <w:rPr>
          <w:sz w:val="28"/>
          <w:szCs w:val="28"/>
        </w:rPr>
        <w:t xml:space="preserve"> opera en un entorno homomórfico cerrado y aislado, lo que garantiza el secreto empresarial absoluto de la metodología de peritaje y la preservación del perímetro confidencial del </w:t>
      </w:r>
      <w:proofErr w:type="spellStart"/>
      <w:r w:rsidRPr="006E1AE2">
        <w:rPr>
          <w:sz w:val="28"/>
          <w:szCs w:val="28"/>
        </w:rPr>
        <w:t>partner</w:t>
      </w:r>
      <w:proofErr w:type="spellEnd"/>
      <w:r w:rsidRPr="006E1AE2">
        <w:rPr>
          <w:sz w:val="28"/>
          <w:szCs w:val="28"/>
        </w:rPr>
        <w:t xml:space="preserve">. El contranálisis matricial exógeno localiza las distorsiones del EBITDA con precisión pericial sin que los empleados de la compañía o sus competidores detecten el blindaje preventivo en curso. </w:t>
      </w:r>
    </w:p>
    <w:p w14:paraId="7F0EBED2" w14:textId="77777777" w:rsidR="006E1AE2" w:rsidRPr="006E1AE2" w:rsidRDefault="006E1AE2" w:rsidP="006E1AE2">
      <w:pPr>
        <w:numPr>
          <w:ilvl w:val="0"/>
          <w:numId w:val="1"/>
        </w:numPr>
        <w:rPr>
          <w:sz w:val="28"/>
          <w:szCs w:val="28"/>
        </w:rPr>
      </w:pPr>
      <w:r w:rsidRPr="006E1AE2">
        <w:rPr>
          <w:b/>
          <w:bCs/>
          <w:sz w:val="28"/>
          <w:szCs w:val="28"/>
        </w:rPr>
        <w:t>Interfaz de Enrutamiento Crítico (The Gateway):</w:t>
      </w:r>
      <w:r w:rsidRPr="006E1AE2">
        <w:rPr>
          <w:sz w:val="28"/>
          <w:szCs w:val="28"/>
        </w:rPr>
        <w:t xml:space="preserve"> [ </w:t>
      </w:r>
      <w:r w:rsidRPr="006E1AE2">
        <w:rPr>
          <w:rFonts w:ascii="Segoe UI Emoji" w:hAnsi="Segoe UI Emoji" w:cs="Segoe UI Emoji"/>
          <w:sz w:val="28"/>
          <w:szCs w:val="28"/>
        </w:rPr>
        <w:t>⚡</w:t>
      </w:r>
      <w:r w:rsidRPr="006E1AE2">
        <w:rPr>
          <w:sz w:val="28"/>
          <w:szCs w:val="28"/>
        </w:rPr>
        <w:t xml:space="preserve"> ACTIVAR ESCUDO DE INFERENCIA EX</w:t>
      </w:r>
      <w:r w:rsidRPr="006E1AE2">
        <w:rPr>
          <w:rFonts w:ascii="Aptos" w:hAnsi="Aptos" w:cs="Aptos"/>
          <w:sz w:val="28"/>
          <w:szCs w:val="28"/>
        </w:rPr>
        <w:t>Ó</w:t>
      </w:r>
      <w:r w:rsidRPr="006E1AE2">
        <w:rPr>
          <w:sz w:val="28"/>
          <w:szCs w:val="28"/>
        </w:rPr>
        <w:t xml:space="preserve">GENA </w:t>
      </w:r>
      <w:proofErr w:type="gramStart"/>
      <w:r w:rsidRPr="006E1AE2">
        <w:rPr>
          <w:sz w:val="28"/>
          <w:szCs w:val="28"/>
        </w:rPr>
        <w:t>v3.0 ]</w:t>
      </w:r>
      <w:proofErr w:type="gramEnd"/>
    </w:p>
    <w:p w14:paraId="73BB8AB4" w14:textId="77777777" w:rsidR="006E1AE2" w:rsidRPr="006E1AE2" w:rsidRDefault="006E1AE2" w:rsidP="006E1AE2">
      <w:pPr>
        <w:rPr>
          <w:b/>
          <w:bCs/>
          <w:sz w:val="28"/>
          <w:szCs w:val="28"/>
        </w:rPr>
      </w:pPr>
      <w:r w:rsidRPr="006E1AE2">
        <w:rPr>
          <w:b/>
          <w:bCs/>
          <w:sz w:val="28"/>
          <w:szCs w:val="28"/>
        </w:rPr>
        <w:t>SOLAPA 02 · Matriz de Gobernanza</w:t>
      </w:r>
    </w:p>
    <w:p w14:paraId="7CC50483" w14:textId="77777777" w:rsidR="006E1AE2" w:rsidRPr="006E1AE2" w:rsidRDefault="006E1AE2" w:rsidP="006E1AE2">
      <w:pPr>
        <w:numPr>
          <w:ilvl w:val="0"/>
          <w:numId w:val="2"/>
        </w:numPr>
        <w:rPr>
          <w:sz w:val="28"/>
          <w:szCs w:val="28"/>
        </w:rPr>
      </w:pPr>
      <w:r w:rsidRPr="006E1AE2">
        <w:rPr>
          <w:b/>
          <w:bCs/>
          <w:sz w:val="28"/>
          <w:szCs w:val="28"/>
        </w:rPr>
        <w:t>Título Principal:</w:t>
      </w:r>
      <w:r w:rsidRPr="006E1AE2">
        <w:rPr>
          <w:sz w:val="28"/>
          <w:szCs w:val="28"/>
        </w:rPr>
        <w:t xml:space="preserve"> </w:t>
      </w:r>
      <w:r w:rsidRPr="006E1AE2">
        <w:rPr>
          <w:rFonts w:ascii="Segoe UI Emoji" w:hAnsi="Segoe UI Emoji" w:cs="Segoe UI Emoji"/>
          <w:sz w:val="28"/>
          <w:szCs w:val="28"/>
        </w:rPr>
        <w:t>🏛️</w:t>
      </w:r>
      <w:r w:rsidRPr="006E1AE2">
        <w:rPr>
          <w:sz w:val="28"/>
          <w:szCs w:val="28"/>
        </w:rPr>
        <w:t xml:space="preserve"> MATRIZ DE AUTORIDAD Y CONSEJO DE DIRECCIÓN INSTITUCIONAL </w:t>
      </w:r>
    </w:p>
    <w:p w14:paraId="2D4B0FCD" w14:textId="77777777" w:rsidR="006E1AE2" w:rsidRPr="006E1AE2" w:rsidRDefault="006E1AE2" w:rsidP="006E1AE2">
      <w:pPr>
        <w:numPr>
          <w:ilvl w:val="0"/>
          <w:numId w:val="2"/>
        </w:numPr>
        <w:rPr>
          <w:sz w:val="28"/>
          <w:szCs w:val="28"/>
        </w:rPr>
      </w:pPr>
      <w:r w:rsidRPr="006E1AE2">
        <w:rPr>
          <w:b/>
          <w:bCs/>
          <w:sz w:val="28"/>
          <w:szCs w:val="28"/>
        </w:rPr>
        <w:t>Presidencia Ejecutiva y Propiedad Soberana del Framework:</w:t>
      </w:r>
    </w:p>
    <w:p w14:paraId="33A9E8D7" w14:textId="77777777" w:rsidR="006E1AE2" w:rsidRPr="006E1AE2" w:rsidRDefault="006E1AE2" w:rsidP="006E1AE2">
      <w:pPr>
        <w:numPr>
          <w:ilvl w:val="1"/>
          <w:numId w:val="2"/>
        </w:numPr>
        <w:rPr>
          <w:sz w:val="28"/>
          <w:szCs w:val="28"/>
        </w:rPr>
      </w:pPr>
      <w:r w:rsidRPr="006E1AE2">
        <w:rPr>
          <w:i/>
          <w:iCs/>
          <w:sz w:val="28"/>
          <w:szCs w:val="28"/>
        </w:rPr>
        <w:t>Cargos Estatutarios:</w:t>
      </w:r>
      <w:r w:rsidRPr="006E1AE2">
        <w:rPr>
          <w:sz w:val="28"/>
          <w:szCs w:val="28"/>
        </w:rPr>
        <w:t xml:space="preserve"> Socio Fundador, Chief Executive Officer (CEO / </w:t>
      </w:r>
      <w:proofErr w:type="gramStart"/>
      <w:r w:rsidRPr="006E1AE2">
        <w:rPr>
          <w:sz w:val="28"/>
          <w:szCs w:val="28"/>
        </w:rPr>
        <w:t>Director General</w:t>
      </w:r>
      <w:proofErr w:type="gramEnd"/>
      <w:r w:rsidRPr="006E1AE2">
        <w:rPr>
          <w:sz w:val="28"/>
          <w:szCs w:val="28"/>
        </w:rPr>
        <w:t xml:space="preserve">) y Administrador Único de la sociedad. </w:t>
      </w:r>
    </w:p>
    <w:p w14:paraId="185650E2" w14:textId="77777777" w:rsidR="006E1AE2" w:rsidRPr="006E1AE2" w:rsidRDefault="006E1AE2" w:rsidP="006E1AE2">
      <w:pPr>
        <w:numPr>
          <w:ilvl w:val="1"/>
          <w:numId w:val="2"/>
        </w:numPr>
        <w:rPr>
          <w:sz w:val="28"/>
          <w:szCs w:val="28"/>
        </w:rPr>
      </w:pPr>
      <w:r w:rsidRPr="006E1AE2">
        <w:rPr>
          <w:i/>
          <w:iCs/>
          <w:sz w:val="28"/>
          <w:szCs w:val="28"/>
        </w:rPr>
        <w:t>Credenciales Técnicas:</w:t>
      </w:r>
      <w:r w:rsidRPr="006E1AE2">
        <w:rPr>
          <w:sz w:val="28"/>
          <w:szCs w:val="28"/>
        </w:rPr>
        <w:t xml:space="preserve"> Licenciatura en Economía y Máster en Finanzas Internacionales. Trayectoria consolidada de más de 30 años de experiencia sénior en el campo de las finanzas y la gestión pública y privada, la alta consultoría de dirección, el análisis financiero forense y el desarrollo de </w:t>
      </w:r>
      <w:proofErr w:type="spellStart"/>
      <w:r w:rsidRPr="006E1AE2">
        <w:rPr>
          <w:sz w:val="28"/>
          <w:szCs w:val="28"/>
        </w:rPr>
        <w:t>frameworks</w:t>
      </w:r>
      <w:proofErr w:type="spellEnd"/>
      <w:r w:rsidRPr="006E1AE2">
        <w:rPr>
          <w:sz w:val="28"/>
          <w:szCs w:val="28"/>
        </w:rPr>
        <w:t xml:space="preserve"> de preservación de capital para estructuras corporativas complejas. </w:t>
      </w:r>
    </w:p>
    <w:p w14:paraId="42699A3C" w14:textId="77777777" w:rsidR="006E1AE2" w:rsidRPr="006E1AE2" w:rsidRDefault="006E1AE2" w:rsidP="006E1AE2">
      <w:pPr>
        <w:numPr>
          <w:ilvl w:val="1"/>
          <w:numId w:val="2"/>
        </w:numPr>
        <w:rPr>
          <w:sz w:val="28"/>
          <w:szCs w:val="28"/>
        </w:rPr>
      </w:pPr>
      <w:r w:rsidRPr="006E1AE2">
        <w:rPr>
          <w:i/>
          <w:iCs/>
          <w:sz w:val="28"/>
          <w:szCs w:val="28"/>
        </w:rPr>
        <w:t>Posición Jerárquica:</w:t>
      </w:r>
      <w:r w:rsidRPr="006E1AE2">
        <w:rPr>
          <w:sz w:val="28"/>
          <w:szCs w:val="28"/>
        </w:rPr>
        <w:t xml:space="preserve"> Jefatura Suprema del Proyecto. Ejerce la propiedad absoluta, el control estratégico final y la dirección de autor sobre la totalidad del holding y sus activos tangibles e intangibles. </w:t>
      </w:r>
    </w:p>
    <w:p w14:paraId="684EC91C" w14:textId="77777777" w:rsidR="006E1AE2" w:rsidRPr="006E1AE2" w:rsidRDefault="006E1AE2" w:rsidP="006E1AE2">
      <w:pPr>
        <w:numPr>
          <w:ilvl w:val="1"/>
          <w:numId w:val="2"/>
        </w:numPr>
        <w:rPr>
          <w:sz w:val="28"/>
          <w:szCs w:val="28"/>
        </w:rPr>
      </w:pPr>
      <w:r w:rsidRPr="006E1AE2">
        <w:rPr>
          <w:i/>
          <w:iCs/>
          <w:sz w:val="28"/>
          <w:szCs w:val="28"/>
        </w:rPr>
        <w:lastRenderedPageBreak/>
        <w:t>Poder de Firma y Soberanía Legal:</w:t>
      </w:r>
      <w:r w:rsidRPr="006E1AE2">
        <w:rPr>
          <w:sz w:val="28"/>
          <w:szCs w:val="28"/>
        </w:rPr>
        <w:t xml:space="preserve"> Único Validador y Firma Autorizada de la compañía. Queda establecido de manera taxativa que es el único responsable legal e institucional de validar, visar y rubricar todos los informes, dictámenes y peritajes que emita la firma. Su firma individual representa la máxima e inapelable autoridad legal, mercantil y técnica de la sociedad frente a consejos de administración, terceros y </w:t>
      </w:r>
      <w:proofErr w:type="spellStart"/>
      <w:r w:rsidRPr="006E1AE2">
        <w:rPr>
          <w:sz w:val="28"/>
          <w:szCs w:val="28"/>
        </w:rPr>
        <w:t>partners</w:t>
      </w:r>
      <w:proofErr w:type="spellEnd"/>
      <w:r w:rsidRPr="006E1AE2">
        <w:rPr>
          <w:sz w:val="28"/>
          <w:szCs w:val="28"/>
        </w:rPr>
        <w:t xml:space="preserve"> corporativos internacionales. </w:t>
      </w:r>
    </w:p>
    <w:p w14:paraId="318624CB" w14:textId="77777777" w:rsidR="006E1AE2" w:rsidRPr="006E1AE2" w:rsidRDefault="006E1AE2" w:rsidP="006E1AE2">
      <w:pPr>
        <w:numPr>
          <w:ilvl w:val="1"/>
          <w:numId w:val="2"/>
        </w:numPr>
        <w:rPr>
          <w:sz w:val="28"/>
          <w:szCs w:val="28"/>
        </w:rPr>
      </w:pPr>
      <w:r w:rsidRPr="006E1AE2">
        <w:rPr>
          <w:i/>
          <w:iCs/>
          <w:sz w:val="28"/>
          <w:szCs w:val="28"/>
        </w:rPr>
        <w:t>Gobernanza Algorítmica y Control de Autor:</w:t>
      </w:r>
      <w:r w:rsidRPr="006E1AE2">
        <w:rPr>
          <w:sz w:val="28"/>
          <w:szCs w:val="28"/>
        </w:rPr>
        <w:t xml:space="preserve"> Autor, creador y arquitecto jefe del algoritmo estocástico LVP-OMEGA (Versión 3.0). El motor analítico masivo opera supeditado a su pensamiento continuo y dirección pericial, absorbiendo su experiencia económica a través de la matriz de pesos adaptativa del sistema. Como único Administrador, posee el control exógeno absoluto sobre el espacio de estados del motor estocástico. Se establece por orden de trabajo inmutable que la Presidencia actúa como el operador de validación final sobre la densidad de probabilidad condicional del sistema, poseyendo la potestad discrecional de validar o rechazar de forma manual cualquier trayectoria pericial generada por el algoritmo antes de su emisión formal a terceros, mitigando de raíz los sesgos de sobreajuste computacional. </w:t>
      </w:r>
    </w:p>
    <w:p w14:paraId="023E4FA0" w14:textId="77777777" w:rsidR="006E1AE2" w:rsidRPr="006E1AE2" w:rsidRDefault="006E1AE2" w:rsidP="006E1AE2">
      <w:pPr>
        <w:numPr>
          <w:ilvl w:val="0"/>
          <w:numId w:val="2"/>
        </w:numPr>
        <w:rPr>
          <w:sz w:val="28"/>
          <w:szCs w:val="28"/>
        </w:rPr>
      </w:pPr>
      <w:r w:rsidRPr="006E1AE2">
        <w:rPr>
          <w:b/>
          <w:bCs/>
          <w:sz w:val="28"/>
          <w:szCs w:val="28"/>
        </w:rPr>
        <w:t>Dirección Operativa y Coordinación de Campo:</w:t>
      </w:r>
    </w:p>
    <w:p w14:paraId="2B81525E" w14:textId="77777777" w:rsidR="006E1AE2" w:rsidRPr="006E1AE2" w:rsidRDefault="006E1AE2" w:rsidP="006E1AE2">
      <w:pPr>
        <w:numPr>
          <w:ilvl w:val="1"/>
          <w:numId w:val="2"/>
        </w:numPr>
        <w:rPr>
          <w:sz w:val="28"/>
          <w:szCs w:val="28"/>
        </w:rPr>
      </w:pPr>
      <w:r w:rsidRPr="006E1AE2">
        <w:rPr>
          <w:i/>
          <w:iCs/>
          <w:sz w:val="28"/>
          <w:szCs w:val="28"/>
        </w:rPr>
        <w:t>Cargos Estatutarios:</w:t>
      </w:r>
      <w:r w:rsidRPr="006E1AE2">
        <w:rPr>
          <w:sz w:val="28"/>
          <w:szCs w:val="28"/>
        </w:rPr>
        <w:t xml:space="preserve"> Designación oficial bajo estatutos como </w:t>
      </w:r>
      <w:proofErr w:type="gramStart"/>
      <w:r w:rsidRPr="006E1AE2">
        <w:rPr>
          <w:sz w:val="28"/>
          <w:szCs w:val="28"/>
        </w:rPr>
        <w:t>Directora Ejecutiva</w:t>
      </w:r>
      <w:proofErr w:type="gramEnd"/>
      <w:r w:rsidRPr="006E1AE2">
        <w:rPr>
          <w:sz w:val="28"/>
          <w:szCs w:val="28"/>
        </w:rPr>
        <w:t xml:space="preserve"> y Chief </w:t>
      </w:r>
      <w:proofErr w:type="spellStart"/>
      <w:r w:rsidRPr="006E1AE2">
        <w:rPr>
          <w:sz w:val="28"/>
          <w:szCs w:val="28"/>
        </w:rPr>
        <w:t>Accounting</w:t>
      </w:r>
      <w:proofErr w:type="spellEnd"/>
      <w:r w:rsidRPr="006E1AE2">
        <w:rPr>
          <w:sz w:val="28"/>
          <w:szCs w:val="28"/>
        </w:rPr>
        <w:t xml:space="preserve"> &amp; Audit Officer (</w:t>
      </w:r>
      <w:proofErr w:type="gramStart"/>
      <w:r w:rsidRPr="006E1AE2">
        <w:rPr>
          <w:sz w:val="28"/>
          <w:szCs w:val="28"/>
        </w:rPr>
        <w:t>Jefa</w:t>
      </w:r>
      <w:proofErr w:type="gramEnd"/>
      <w:r w:rsidRPr="006E1AE2">
        <w:rPr>
          <w:sz w:val="28"/>
          <w:szCs w:val="28"/>
        </w:rPr>
        <w:t xml:space="preserve"> de Auditoría y Contabilidad) de la sociedad. </w:t>
      </w:r>
    </w:p>
    <w:p w14:paraId="1B419E32" w14:textId="77777777" w:rsidR="006E1AE2" w:rsidRPr="006E1AE2" w:rsidRDefault="006E1AE2" w:rsidP="006E1AE2">
      <w:pPr>
        <w:numPr>
          <w:ilvl w:val="1"/>
          <w:numId w:val="2"/>
        </w:numPr>
        <w:rPr>
          <w:sz w:val="28"/>
          <w:szCs w:val="28"/>
        </w:rPr>
      </w:pPr>
      <w:r w:rsidRPr="006E1AE2">
        <w:rPr>
          <w:i/>
          <w:iCs/>
          <w:sz w:val="28"/>
          <w:szCs w:val="28"/>
        </w:rPr>
        <w:t>Credenciales y Trayectoria:</w:t>
      </w:r>
      <w:r w:rsidRPr="006E1AE2">
        <w:rPr>
          <w:sz w:val="28"/>
          <w:szCs w:val="28"/>
        </w:rPr>
        <w:t xml:space="preserve"> Máster en Auditoría Internacional con una dilatada trayectoria de más de tres décadas de experiencia senior liderando la dirección de proyectos contables y el análisis de balances </w:t>
      </w:r>
      <w:r w:rsidRPr="006E1AE2">
        <w:rPr>
          <w:sz w:val="28"/>
          <w:szCs w:val="28"/>
        </w:rPr>
        <w:lastRenderedPageBreak/>
        <w:t xml:space="preserve">institucionales en el eje de la banca regulada internacional. Especialización acreditada como formadora corporativa y capacitadora técnica avanzada para equipos profesionales de gestión de activos y análisis de balances de instituciones financieras. </w:t>
      </w:r>
    </w:p>
    <w:p w14:paraId="3F5E9791" w14:textId="77777777" w:rsidR="006E1AE2" w:rsidRPr="006E1AE2" w:rsidRDefault="006E1AE2" w:rsidP="006E1AE2">
      <w:pPr>
        <w:numPr>
          <w:ilvl w:val="1"/>
          <w:numId w:val="2"/>
        </w:numPr>
        <w:rPr>
          <w:sz w:val="28"/>
          <w:szCs w:val="28"/>
        </w:rPr>
      </w:pPr>
      <w:r w:rsidRPr="006E1AE2">
        <w:rPr>
          <w:i/>
          <w:iCs/>
          <w:sz w:val="28"/>
          <w:szCs w:val="28"/>
        </w:rPr>
        <w:t>Alcance de Mando y Despliegue Operativo:</w:t>
      </w:r>
      <w:r w:rsidRPr="006E1AE2">
        <w:rPr>
          <w:sz w:val="28"/>
          <w:szCs w:val="28"/>
        </w:rPr>
        <w:t xml:space="preserve"> Dispone del mando directo, control estratégico y la coordinación ejecutiva de todo el personal multidisciplinario que integra la estructura operativa de la compañía (analistas de campo, letrados, facultativos y economistas colegiados). Es la responsable directa de supervisar la ejecución técnica interna, el procesamiento de las series temporales exógenas y la correcta aplicación del algoritmo bajo los estándares contables y periciales internacionales. </w:t>
      </w:r>
    </w:p>
    <w:p w14:paraId="2AE96062" w14:textId="77777777" w:rsidR="006E1AE2" w:rsidRPr="006E1AE2" w:rsidRDefault="006E1AE2" w:rsidP="006E1AE2">
      <w:pPr>
        <w:numPr>
          <w:ilvl w:val="1"/>
          <w:numId w:val="2"/>
        </w:numPr>
        <w:rPr>
          <w:sz w:val="28"/>
          <w:szCs w:val="28"/>
        </w:rPr>
      </w:pPr>
      <w:r w:rsidRPr="006E1AE2">
        <w:rPr>
          <w:i/>
          <w:iCs/>
          <w:sz w:val="28"/>
          <w:szCs w:val="28"/>
        </w:rPr>
        <w:t>Flujo de Trabajo y Filtro Técnico:</w:t>
      </w:r>
      <w:r w:rsidRPr="006E1AE2">
        <w:rPr>
          <w:sz w:val="28"/>
          <w:szCs w:val="28"/>
        </w:rPr>
        <w:t xml:space="preserve"> Lidera la fase preparatoria de contranálisis contable y la confección de las memorias de impacto económico. Su función actúa como un filtro técnico e institucional ciego previa validación estructural, con la responsabilidad de elevar los expedientes depurados y listos a la mesa de control para el visado final e inapelable de la Presidencia Ejecutiva. </w:t>
      </w:r>
    </w:p>
    <w:p w14:paraId="562346BF" w14:textId="77777777" w:rsidR="006E1AE2" w:rsidRPr="006E1AE2" w:rsidRDefault="006E1AE2" w:rsidP="006E1AE2">
      <w:pPr>
        <w:numPr>
          <w:ilvl w:val="0"/>
          <w:numId w:val="2"/>
        </w:numPr>
        <w:rPr>
          <w:sz w:val="28"/>
          <w:szCs w:val="28"/>
        </w:rPr>
      </w:pPr>
      <w:r w:rsidRPr="006E1AE2">
        <w:rPr>
          <w:b/>
          <w:bCs/>
          <w:sz w:val="28"/>
          <w:szCs w:val="28"/>
        </w:rPr>
        <w:t>El Motor de Control Activo:</w:t>
      </w:r>
      <w:r w:rsidRPr="006E1AE2">
        <w:rPr>
          <w:sz w:val="28"/>
          <w:szCs w:val="28"/>
        </w:rPr>
        <w:t xml:space="preserve"> Constituye el núcleo de cómputo forense y el activo tecnológico fundamental propiedad de la Presidencia. No es una simple aplicación de consulta ni una base de datos estática; es un motor estocástico autónomo de inferencia periférica calibrado y equilibrado para operar como la herramienta definitiva sobre los balances de las grandes corporaciones. Su interfaz dinámica se integra de forma nativa en la rutina del Partner como una herramienta de consulta permanente, ofreciendo una experiencia fluida, intuitiva y adictiva, donde el usuario monitoriza en tiempo real la salud de su EBITDA y las alertas predictivas de fricción. </w:t>
      </w:r>
    </w:p>
    <w:p w14:paraId="225E019A" w14:textId="77777777" w:rsidR="006E1AE2" w:rsidRPr="006E1AE2" w:rsidRDefault="006E1AE2" w:rsidP="006E1AE2">
      <w:pPr>
        <w:numPr>
          <w:ilvl w:val="0"/>
          <w:numId w:val="2"/>
        </w:numPr>
        <w:rPr>
          <w:sz w:val="28"/>
          <w:szCs w:val="28"/>
        </w:rPr>
      </w:pPr>
      <w:r w:rsidRPr="006E1AE2">
        <w:rPr>
          <w:b/>
          <w:bCs/>
          <w:sz w:val="28"/>
          <w:szCs w:val="28"/>
        </w:rPr>
        <w:lastRenderedPageBreak/>
        <w:t>Módulo de Integración de Ingeniería:</w:t>
      </w:r>
      <w:r w:rsidRPr="006E1AE2">
        <w:rPr>
          <w:sz w:val="28"/>
          <w:szCs w:val="28"/>
        </w:rPr>
        <w:t xml:space="preserve"> [ </w:t>
      </w:r>
      <w:r w:rsidRPr="006E1AE2">
        <w:rPr>
          <w:rFonts w:ascii="Segoe UI Emoji" w:hAnsi="Segoe UI Emoji" w:cs="Segoe UI Emoji"/>
          <w:sz w:val="28"/>
          <w:szCs w:val="28"/>
        </w:rPr>
        <w:t>⚡</w:t>
      </w:r>
      <w:r w:rsidRPr="006E1AE2">
        <w:rPr>
          <w:sz w:val="28"/>
          <w:szCs w:val="28"/>
        </w:rPr>
        <w:t xml:space="preserve"> INICIAR PROTOCOLO </w:t>
      </w:r>
      <w:proofErr w:type="gramStart"/>
      <w:r w:rsidRPr="006E1AE2">
        <w:rPr>
          <w:sz w:val="28"/>
          <w:szCs w:val="28"/>
        </w:rPr>
        <w:t>DE TEST</w:t>
      </w:r>
      <w:proofErr w:type="gramEnd"/>
      <w:r w:rsidRPr="006E1AE2">
        <w:rPr>
          <w:sz w:val="28"/>
          <w:szCs w:val="28"/>
        </w:rPr>
        <w:t xml:space="preserve"> DE PROSPECCI</w:t>
      </w:r>
      <w:r w:rsidRPr="006E1AE2">
        <w:rPr>
          <w:rFonts w:ascii="Aptos" w:hAnsi="Aptos" w:cs="Aptos"/>
          <w:sz w:val="28"/>
          <w:szCs w:val="28"/>
        </w:rPr>
        <w:t>Ó</w:t>
      </w:r>
      <w:r w:rsidRPr="006E1AE2">
        <w:rPr>
          <w:sz w:val="28"/>
          <w:szCs w:val="28"/>
        </w:rPr>
        <w:t>N EX</w:t>
      </w:r>
      <w:r w:rsidRPr="006E1AE2">
        <w:rPr>
          <w:rFonts w:ascii="Aptos" w:hAnsi="Aptos" w:cs="Aptos"/>
          <w:sz w:val="28"/>
          <w:szCs w:val="28"/>
        </w:rPr>
        <w:t>Ó</w:t>
      </w:r>
      <w:r w:rsidRPr="006E1AE2">
        <w:rPr>
          <w:sz w:val="28"/>
          <w:szCs w:val="28"/>
        </w:rPr>
        <w:t xml:space="preserve">GENA </w:t>
      </w:r>
      <w:proofErr w:type="gramStart"/>
      <w:r w:rsidRPr="006E1AE2">
        <w:rPr>
          <w:sz w:val="28"/>
          <w:szCs w:val="28"/>
        </w:rPr>
        <w:t>v3.0 ]</w:t>
      </w:r>
      <w:proofErr w:type="gramEnd"/>
    </w:p>
    <w:p w14:paraId="0B704039" w14:textId="77777777" w:rsidR="006E1AE2" w:rsidRPr="006E1AE2" w:rsidRDefault="006E1AE2" w:rsidP="006E1AE2">
      <w:pPr>
        <w:rPr>
          <w:b/>
          <w:bCs/>
          <w:sz w:val="28"/>
          <w:szCs w:val="28"/>
        </w:rPr>
      </w:pPr>
      <w:r w:rsidRPr="006E1AE2">
        <w:rPr>
          <w:b/>
          <w:bCs/>
          <w:sz w:val="28"/>
          <w:szCs w:val="28"/>
        </w:rPr>
        <w:t>SOLAPA 03 · Perímetro de Intercepción</w:t>
      </w:r>
    </w:p>
    <w:p w14:paraId="6C5C84ED" w14:textId="77777777" w:rsidR="006E1AE2" w:rsidRPr="006E1AE2" w:rsidRDefault="006E1AE2" w:rsidP="006E1AE2">
      <w:pPr>
        <w:numPr>
          <w:ilvl w:val="0"/>
          <w:numId w:val="3"/>
        </w:numPr>
        <w:rPr>
          <w:sz w:val="28"/>
          <w:szCs w:val="28"/>
        </w:rPr>
      </w:pPr>
      <w:r w:rsidRPr="006E1AE2">
        <w:rPr>
          <w:b/>
          <w:bCs/>
          <w:sz w:val="28"/>
          <w:szCs w:val="28"/>
        </w:rPr>
        <w:t>Título Principal:</w:t>
      </w:r>
      <w:r w:rsidRPr="006E1AE2">
        <w:rPr>
          <w:sz w:val="28"/>
          <w:szCs w:val="28"/>
        </w:rPr>
        <w:t xml:space="preserve"> </w:t>
      </w:r>
      <w:r w:rsidRPr="006E1AE2">
        <w:rPr>
          <w:rFonts w:ascii="Segoe UI Emoji" w:hAnsi="Segoe UI Emoji" w:cs="Segoe UI Emoji"/>
          <w:sz w:val="28"/>
          <w:szCs w:val="28"/>
        </w:rPr>
        <w:t>📡</w:t>
      </w:r>
      <w:r w:rsidRPr="006E1AE2">
        <w:rPr>
          <w:sz w:val="28"/>
          <w:szCs w:val="28"/>
        </w:rPr>
        <w:t xml:space="preserve"> CAMPO DE ACCIÓN DETALLADO: LOS SEIS VECTORES DE SANGRÍA CRÍTICA </w:t>
      </w:r>
    </w:p>
    <w:p w14:paraId="3464571C" w14:textId="77777777" w:rsidR="006E1AE2" w:rsidRPr="006E1AE2" w:rsidRDefault="006E1AE2" w:rsidP="006E1AE2">
      <w:pPr>
        <w:numPr>
          <w:ilvl w:val="0"/>
          <w:numId w:val="3"/>
        </w:numPr>
        <w:rPr>
          <w:sz w:val="28"/>
          <w:szCs w:val="28"/>
        </w:rPr>
      </w:pPr>
      <w:r w:rsidRPr="006E1AE2">
        <w:rPr>
          <w:b/>
          <w:bCs/>
          <w:sz w:val="28"/>
          <w:szCs w:val="28"/>
        </w:rPr>
        <w:t>Manifiesto de Control Asíncrono:</w:t>
      </w:r>
      <w:r w:rsidRPr="006E1AE2">
        <w:rPr>
          <w:sz w:val="28"/>
          <w:szCs w:val="28"/>
        </w:rPr>
        <w:t xml:space="preserve"> El </w:t>
      </w:r>
      <w:proofErr w:type="spellStart"/>
      <w:r w:rsidRPr="006E1AE2">
        <w:rPr>
          <w:sz w:val="28"/>
          <w:szCs w:val="28"/>
        </w:rPr>
        <w:t>framework</w:t>
      </w:r>
      <w:proofErr w:type="spellEnd"/>
      <w:r w:rsidRPr="006E1AE2">
        <w:rPr>
          <w:sz w:val="28"/>
          <w:szCs w:val="28"/>
        </w:rPr>
        <w:t xml:space="preserve"> LVP-OMEGA estructura su captura dividiendo la actividad financiera global en seis vectores operativos de ineficiencia estructural, donde el capital sufre procesos de viscosidad artificial o extracción pasiva por parte de intermediarios o por inercia analógica. Procesamos única y exclusivamente la información pública, validada, real y publicada por la propia compañía, entidad u organismos oficiales. Respaldados por un equipo multidisciplinario experimentado, desmantelamos los sesgos de inercia contable mediante modelos de probabilidad avanzada, garantizando la restitución del valor patrimonial del flujo de caja libre. </w:t>
      </w:r>
    </w:p>
    <w:p w14:paraId="086E8CF1" w14:textId="77777777" w:rsidR="006E1AE2" w:rsidRPr="006E1AE2" w:rsidRDefault="006E1AE2" w:rsidP="006E1AE2">
      <w:pPr>
        <w:numPr>
          <w:ilvl w:val="0"/>
          <w:numId w:val="3"/>
        </w:numPr>
        <w:rPr>
          <w:sz w:val="28"/>
          <w:szCs w:val="28"/>
        </w:rPr>
      </w:pPr>
      <w:r w:rsidRPr="006E1AE2">
        <w:rPr>
          <w:b/>
          <w:bCs/>
          <w:sz w:val="28"/>
          <w:szCs w:val="28"/>
        </w:rPr>
        <w:t xml:space="preserve">Estructura Bento </w:t>
      </w:r>
      <w:proofErr w:type="spellStart"/>
      <w:r w:rsidRPr="006E1AE2">
        <w:rPr>
          <w:b/>
          <w:bCs/>
          <w:sz w:val="28"/>
          <w:szCs w:val="28"/>
        </w:rPr>
        <w:t>Grid</w:t>
      </w:r>
      <w:proofErr w:type="spellEnd"/>
      <w:r w:rsidRPr="006E1AE2">
        <w:rPr>
          <w:b/>
          <w:bCs/>
          <w:sz w:val="28"/>
          <w:szCs w:val="28"/>
        </w:rPr>
        <w:t xml:space="preserve"> de Vectores Operativos:</w:t>
      </w:r>
    </w:p>
    <w:p w14:paraId="14219CC5" w14:textId="77777777" w:rsidR="006E1AE2" w:rsidRPr="006E1AE2" w:rsidRDefault="006E1AE2" w:rsidP="006E1AE2">
      <w:pPr>
        <w:numPr>
          <w:ilvl w:val="1"/>
          <w:numId w:val="3"/>
        </w:numPr>
        <w:rPr>
          <w:sz w:val="28"/>
          <w:szCs w:val="28"/>
        </w:rPr>
      </w:pPr>
      <w:r w:rsidRPr="006E1AE2">
        <w:rPr>
          <w:i/>
          <w:iCs/>
          <w:sz w:val="28"/>
          <w:szCs w:val="28"/>
        </w:rPr>
        <w:t>VECTOR I: Real Estate Logístico de Alta Capitalización e Infraestructura SOCIMI.</w:t>
      </w:r>
      <w:r w:rsidRPr="006E1AE2">
        <w:rPr>
          <w:sz w:val="28"/>
          <w:szCs w:val="28"/>
        </w:rPr>
        <w:t xml:space="preserve"> Protocolo de intercepción mediante trituración pericial de los datos oficiales de GAV (Gross </w:t>
      </w:r>
      <w:proofErr w:type="spellStart"/>
      <w:r w:rsidRPr="006E1AE2">
        <w:rPr>
          <w:sz w:val="28"/>
          <w:szCs w:val="28"/>
        </w:rPr>
        <w:t>Asset</w:t>
      </w:r>
      <w:proofErr w:type="spellEnd"/>
      <w:r w:rsidRPr="006E1AE2">
        <w:rPr>
          <w:sz w:val="28"/>
          <w:szCs w:val="28"/>
        </w:rPr>
        <w:t xml:space="preserve"> Value), GRI (Gross </w:t>
      </w:r>
      <w:proofErr w:type="spellStart"/>
      <w:r w:rsidRPr="006E1AE2">
        <w:rPr>
          <w:sz w:val="28"/>
          <w:szCs w:val="28"/>
        </w:rPr>
        <w:t>Rental</w:t>
      </w:r>
      <w:proofErr w:type="spellEnd"/>
      <w:r w:rsidRPr="006E1AE2">
        <w:rPr>
          <w:sz w:val="28"/>
          <w:szCs w:val="28"/>
        </w:rPr>
        <w:t xml:space="preserve"> </w:t>
      </w:r>
      <w:proofErr w:type="spellStart"/>
      <w:r w:rsidRPr="006E1AE2">
        <w:rPr>
          <w:sz w:val="28"/>
          <w:szCs w:val="28"/>
        </w:rPr>
        <w:t>Income</w:t>
      </w:r>
      <w:proofErr w:type="spellEnd"/>
      <w:r w:rsidRPr="006E1AE2">
        <w:rPr>
          <w:sz w:val="28"/>
          <w:szCs w:val="28"/>
        </w:rPr>
        <w:t xml:space="preserve">) y las EPRA </w:t>
      </w:r>
      <w:proofErr w:type="spellStart"/>
      <w:r w:rsidRPr="006E1AE2">
        <w:rPr>
          <w:sz w:val="28"/>
          <w:szCs w:val="28"/>
        </w:rPr>
        <w:t>Yields</w:t>
      </w:r>
      <w:proofErr w:type="spellEnd"/>
      <w:r w:rsidRPr="006E1AE2">
        <w:rPr>
          <w:sz w:val="28"/>
          <w:szCs w:val="28"/>
        </w:rPr>
        <w:t xml:space="preserve"> publicadas para inversores institucionales. Localiza e intercepta la extracción pasiva por inercia en la indexación de contratos de arrendamiento complejos, desactualización estructural y brecha de rentabilidad latente entre los rendimientos de activos declarados ante fondos matrices internacionales y la tasa de capitalización y ocupación real del mercado de suelo industrial actual, subutilización de nodos de transferencia intermodal y asimetrías fiscales zonales camufladas. </w:t>
      </w:r>
    </w:p>
    <w:p w14:paraId="6887F347" w14:textId="77777777" w:rsidR="006E1AE2" w:rsidRPr="006E1AE2" w:rsidRDefault="006E1AE2" w:rsidP="006E1AE2">
      <w:pPr>
        <w:numPr>
          <w:ilvl w:val="1"/>
          <w:numId w:val="3"/>
        </w:numPr>
        <w:rPr>
          <w:sz w:val="28"/>
          <w:szCs w:val="28"/>
        </w:rPr>
      </w:pPr>
      <w:r w:rsidRPr="006E1AE2">
        <w:rPr>
          <w:i/>
          <w:iCs/>
          <w:sz w:val="28"/>
          <w:szCs w:val="28"/>
        </w:rPr>
        <w:lastRenderedPageBreak/>
        <w:t>VECTOR II: Energía Estructural, Contratos PPA y Margen Mayorista.</w:t>
      </w:r>
      <w:r w:rsidRPr="006E1AE2">
        <w:rPr>
          <w:sz w:val="28"/>
          <w:szCs w:val="28"/>
        </w:rPr>
        <w:t xml:space="preserve"> Protocolo de intercepción basado en la absorción de flujos exógenos de mercados mayoristas y aplicación de modelos autorregresivos avanzados para aislar la volatilidad y el diferencial de precios (spreads) de carga base en nodos de interconexión física y mercados de despacho. Localiza pérdidas indexadas latentes en las raíces de transporte de alta tensión, arbitraje regulatorio transfronterizo defectuoso, desvíos económicos no reclamados en contratos PPA (Power Purchase </w:t>
      </w:r>
      <w:proofErr w:type="spellStart"/>
      <w:r w:rsidRPr="006E1AE2">
        <w:rPr>
          <w:sz w:val="28"/>
          <w:szCs w:val="28"/>
        </w:rPr>
        <w:t>Agreements</w:t>
      </w:r>
      <w:proofErr w:type="spellEnd"/>
      <w:r w:rsidRPr="006E1AE2">
        <w:rPr>
          <w:sz w:val="28"/>
          <w:szCs w:val="28"/>
        </w:rPr>
        <w:t xml:space="preserve">) a largo plazo y descalces de margen por desajustes regulatorios del operador del sistema. </w:t>
      </w:r>
    </w:p>
    <w:p w14:paraId="428CD019" w14:textId="77777777" w:rsidR="006E1AE2" w:rsidRPr="006E1AE2" w:rsidRDefault="006E1AE2" w:rsidP="006E1AE2">
      <w:pPr>
        <w:numPr>
          <w:ilvl w:val="1"/>
          <w:numId w:val="3"/>
        </w:numPr>
        <w:rPr>
          <w:sz w:val="28"/>
          <w:szCs w:val="28"/>
        </w:rPr>
      </w:pPr>
      <w:r w:rsidRPr="006E1AE2">
        <w:rPr>
          <w:i/>
          <w:iCs/>
          <w:sz w:val="28"/>
          <w:szCs w:val="28"/>
        </w:rPr>
        <w:t xml:space="preserve">VECTOR III: </w:t>
      </w:r>
      <w:proofErr w:type="spellStart"/>
      <w:r w:rsidRPr="006E1AE2">
        <w:rPr>
          <w:i/>
          <w:iCs/>
          <w:sz w:val="28"/>
          <w:szCs w:val="28"/>
        </w:rPr>
        <w:t>Supply</w:t>
      </w:r>
      <w:proofErr w:type="spellEnd"/>
      <w:r w:rsidRPr="006E1AE2">
        <w:rPr>
          <w:i/>
          <w:iCs/>
          <w:sz w:val="28"/>
          <w:szCs w:val="28"/>
        </w:rPr>
        <w:t xml:space="preserve"> Chain de Alta Densidad (Semiconductores y Fletes).</w:t>
      </w:r>
      <w:r w:rsidRPr="006E1AE2">
        <w:rPr>
          <w:sz w:val="28"/>
          <w:szCs w:val="28"/>
        </w:rPr>
        <w:t xml:space="preserve"> Protocolo de intercepción mediante tracking exógeno continuo de tiempos de tránsito críticos, variación estocástica de fletes internacionales y digitales, y de la cadena de frío masiva. Detecta pérdidas por acoplamiento ineficiente de inventario en tránsito marítimo y terrestre, retenciones estructurales de capital circulante (Working Capital) y </w:t>
      </w:r>
      <w:proofErr w:type="spellStart"/>
      <w:r w:rsidRPr="006E1AE2">
        <w:rPr>
          <w:sz w:val="28"/>
          <w:szCs w:val="28"/>
        </w:rPr>
        <w:t>frictions</w:t>
      </w:r>
      <w:proofErr w:type="spellEnd"/>
      <w:r w:rsidRPr="006E1AE2">
        <w:rPr>
          <w:sz w:val="28"/>
          <w:szCs w:val="28"/>
        </w:rPr>
        <w:t xml:space="preserve"> analíticas de fletes refrigerados que impactan directamente los aprovisionamientos. </w:t>
      </w:r>
    </w:p>
    <w:p w14:paraId="2F1818BD" w14:textId="77777777" w:rsidR="006E1AE2" w:rsidRPr="006E1AE2" w:rsidRDefault="006E1AE2" w:rsidP="006E1AE2">
      <w:pPr>
        <w:numPr>
          <w:ilvl w:val="1"/>
          <w:numId w:val="3"/>
        </w:numPr>
        <w:rPr>
          <w:sz w:val="28"/>
          <w:szCs w:val="28"/>
        </w:rPr>
      </w:pPr>
      <w:r w:rsidRPr="006E1AE2">
        <w:rPr>
          <w:i/>
          <w:iCs/>
          <w:sz w:val="28"/>
          <w:szCs w:val="28"/>
        </w:rPr>
        <w:t>VECTOR IV: Fricción Operativa por Gestión y Transición e-CMR.</w:t>
      </w:r>
      <w:r w:rsidRPr="006E1AE2">
        <w:rPr>
          <w:sz w:val="28"/>
          <w:szCs w:val="28"/>
        </w:rPr>
        <w:t xml:space="preserve"> Protocolo de intercepción mediante modelización exógena de los costes logísticos de flotas y de expediciones transfronterizas declaradas en las partidas de aprovisionamientos públicos. Contranálisis de liquidaciones cruzadas e indexaciones de tarifas por kilómetro en las rutas de distribución internacional. Desmantela fugas contables por desajustes severos en la negociación de tarifas analógicas e incidencias de valoración, costes indirectos redundantes, retrasos administrativos en la confirmación de entregas y pérdidas financieras severas por la prima de riesgo analógico y de </w:t>
      </w:r>
      <w:r w:rsidRPr="006E1AE2">
        <w:rPr>
          <w:sz w:val="28"/>
          <w:szCs w:val="28"/>
        </w:rPr>
        <w:lastRenderedPageBreak/>
        <w:t xml:space="preserve">no haber integrado plenamente la documentación digital obligatoria e-CMR. </w:t>
      </w:r>
    </w:p>
    <w:p w14:paraId="4A79D357" w14:textId="77777777" w:rsidR="006E1AE2" w:rsidRPr="006E1AE2" w:rsidRDefault="006E1AE2" w:rsidP="006E1AE2">
      <w:pPr>
        <w:numPr>
          <w:ilvl w:val="1"/>
          <w:numId w:val="3"/>
        </w:numPr>
        <w:rPr>
          <w:sz w:val="28"/>
          <w:szCs w:val="28"/>
        </w:rPr>
      </w:pPr>
      <w:r w:rsidRPr="006E1AE2">
        <w:rPr>
          <w:i/>
          <w:iCs/>
          <w:sz w:val="28"/>
          <w:szCs w:val="28"/>
        </w:rPr>
        <w:t>VECTOR V: Infección por Alucinación Algorítmica (Nicho de Auditoría xspam.ai).</w:t>
      </w:r>
      <w:r w:rsidRPr="006E1AE2">
        <w:rPr>
          <w:sz w:val="28"/>
          <w:szCs w:val="28"/>
        </w:rPr>
        <w:t xml:space="preserve"> Protocolo de intercepción mediante despliegue de análisis espectral a través de transformadas matemáticas para convertir flujos contables del espectro temporal al espectro de frecuencias, aislando patrones cíclicos anómalos de las proyecciones. Detiene pérdidas directas e indirectas en el EBITDA provocadas por decisiones financieras, proyecciones de demanda de stock o valoraciones automáticas basadas en modelos predictivos corporativos de Inteligencia Artificial defectuosos o que sufren "alucinaciones lineales" e inconsistencias analíticas, así como errores graves de sobrecompra de stock debido a la confianza ciega en reportes automatizados corporativos no auditados de forma exógena. </w:t>
      </w:r>
    </w:p>
    <w:p w14:paraId="3EAD91CA" w14:textId="77777777" w:rsidR="006E1AE2" w:rsidRPr="006E1AE2" w:rsidRDefault="006E1AE2" w:rsidP="006E1AE2">
      <w:pPr>
        <w:numPr>
          <w:ilvl w:val="1"/>
          <w:numId w:val="3"/>
        </w:numPr>
        <w:rPr>
          <w:sz w:val="28"/>
          <w:szCs w:val="28"/>
        </w:rPr>
      </w:pPr>
      <w:r w:rsidRPr="006E1AE2">
        <w:rPr>
          <w:i/>
          <w:iCs/>
          <w:sz w:val="28"/>
          <w:szCs w:val="28"/>
        </w:rPr>
        <w:t xml:space="preserve">VECTOR VI: </w:t>
      </w:r>
      <w:proofErr w:type="spellStart"/>
      <w:r w:rsidRPr="006E1AE2">
        <w:rPr>
          <w:i/>
          <w:iCs/>
          <w:sz w:val="28"/>
          <w:szCs w:val="28"/>
        </w:rPr>
        <w:t>Float</w:t>
      </w:r>
      <w:proofErr w:type="spellEnd"/>
      <w:r w:rsidRPr="006E1AE2">
        <w:rPr>
          <w:i/>
          <w:iCs/>
          <w:sz w:val="28"/>
          <w:szCs w:val="28"/>
        </w:rPr>
        <w:t xml:space="preserve"> Soberano, Metales Preciosos y </w:t>
      </w:r>
      <w:proofErr w:type="spellStart"/>
      <w:r w:rsidRPr="006E1AE2">
        <w:rPr>
          <w:i/>
          <w:iCs/>
          <w:sz w:val="28"/>
          <w:szCs w:val="28"/>
        </w:rPr>
        <w:t>Clearing</w:t>
      </w:r>
      <w:proofErr w:type="spellEnd"/>
      <w:r w:rsidRPr="006E1AE2">
        <w:rPr>
          <w:i/>
          <w:iCs/>
          <w:sz w:val="28"/>
          <w:szCs w:val="28"/>
        </w:rPr>
        <w:t xml:space="preserve"> Institucional.</w:t>
      </w:r>
      <w:r w:rsidRPr="006E1AE2">
        <w:rPr>
          <w:sz w:val="28"/>
          <w:szCs w:val="28"/>
        </w:rPr>
        <w:t xml:space="preserve"> Protocolo de intercepción mediante análisis probabilístico del historial de reestructuraciones transaccionales, colas de compensación monetaria y desvíos estructurales de flujos societarios financieros detectados a través de la matriz exógena. Extirpa el secuestro de liquidez transaccional corporativa e </w:t>
      </w:r>
      <w:proofErr w:type="spellStart"/>
      <w:r w:rsidRPr="006E1AE2">
        <w:rPr>
          <w:sz w:val="28"/>
          <w:szCs w:val="28"/>
        </w:rPr>
        <w:t>intersocietaria</w:t>
      </w:r>
      <w:proofErr w:type="spellEnd"/>
      <w:r w:rsidRPr="006E1AE2">
        <w:rPr>
          <w:sz w:val="28"/>
          <w:szCs w:val="28"/>
        </w:rPr>
        <w:t xml:space="preserve"> (</w:t>
      </w:r>
      <w:proofErr w:type="spellStart"/>
      <w:r w:rsidRPr="006E1AE2">
        <w:rPr>
          <w:sz w:val="28"/>
          <w:szCs w:val="28"/>
        </w:rPr>
        <w:t>Float</w:t>
      </w:r>
      <w:proofErr w:type="spellEnd"/>
      <w:r w:rsidRPr="006E1AE2">
        <w:rPr>
          <w:sz w:val="28"/>
          <w:szCs w:val="28"/>
        </w:rPr>
        <w:t xml:space="preserve"> </w:t>
      </w:r>
      <w:proofErr w:type="spellStart"/>
      <w:r w:rsidRPr="006E1AE2">
        <w:rPr>
          <w:sz w:val="28"/>
          <w:szCs w:val="28"/>
        </w:rPr>
        <w:t>Hijacking</w:t>
      </w:r>
      <w:proofErr w:type="spellEnd"/>
      <w:r w:rsidRPr="006E1AE2">
        <w:rPr>
          <w:sz w:val="28"/>
          <w:szCs w:val="28"/>
        </w:rPr>
        <w:t xml:space="preserve">), fricciones temporales críticas en los </w:t>
      </w:r>
      <w:proofErr w:type="spellStart"/>
      <w:r w:rsidRPr="006E1AE2">
        <w:rPr>
          <w:sz w:val="28"/>
          <w:szCs w:val="28"/>
        </w:rPr>
        <w:t>sitemas</w:t>
      </w:r>
      <w:proofErr w:type="spellEnd"/>
      <w:r w:rsidRPr="006E1AE2">
        <w:rPr>
          <w:sz w:val="28"/>
          <w:szCs w:val="28"/>
        </w:rPr>
        <w:t xml:space="preserve"> de liquidación interbancaria nocturna (overnight) y desvíos de tesonerías en el traspaso de flujos dinámicos de compensación monetaria entre filiales, agrupaciones de interés económico (AIE) y matrices, consolidando la asimetría latente en las colas de liquidación. </w:t>
      </w:r>
    </w:p>
    <w:p w14:paraId="23BEBC6A" w14:textId="77777777" w:rsidR="006E1AE2" w:rsidRPr="006E1AE2" w:rsidRDefault="006E1AE2" w:rsidP="006E1AE2">
      <w:pPr>
        <w:numPr>
          <w:ilvl w:val="0"/>
          <w:numId w:val="3"/>
        </w:numPr>
        <w:rPr>
          <w:sz w:val="28"/>
          <w:szCs w:val="28"/>
        </w:rPr>
      </w:pPr>
      <w:r w:rsidRPr="006E1AE2">
        <w:rPr>
          <w:b/>
          <w:bCs/>
          <w:sz w:val="28"/>
          <w:szCs w:val="28"/>
        </w:rPr>
        <w:t>Arquitectura Computacional de las Capas Analíticas Pasivas:</w:t>
      </w:r>
      <w:r w:rsidRPr="006E1AE2">
        <w:rPr>
          <w:sz w:val="28"/>
          <w:szCs w:val="28"/>
        </w:rPr>
        <w:t xml:space="preserve"> El núcleo procesa la información recopilada a través de </w:t>
      </w:r>
      <w:r w:rsidRPr="006E1AE2">
        <w:rPr>
          <w:sz w:val="28"/>
          <w:szCs w:val="28"/>
        </w:rPr>
        <w:lastRenderedPageBreak/>
        <w:t xml:space="preserve">corrientes de análisis en cinco estratos independientes que ejecutan un modelado conceptual avanzado: </w:t>
      </w:r>
    </w:p>
    <w:p w14:paraId="674EF3AA" w14:textId="77777777" w:rsidR="006E1AE2" w:rsidRPr="006E1AE2" w:rsidRDefault="006E1AE2" w:rsidP="006E1AE2">
      <w:pPr>
        <w:numPr>
          <w:ilvl w:val="1"/>
          <w:numId w:val="4"/>
        </w:numPr>
        <w:rPr>
          <w:sz w:val="28"/>
          <w:szCs w:val="28"/>
        </w:rPr>
      </w:pPr>
      <w:r w:rsidRPr="006E1AE2">
        <w:rPr>
          <w:i/>
          <w:iCs/>
          <w:sz w:val="28"/>
          <w:szCs w:val="28"/>
        </w:rPr>
        <w:t>Capa de Inferencia Exógena e Interpolación de Volatilidad:</w:t>
      </w:r>
      <w:r w:rsidRPr="006E1AE2">
        <w:rPr>
          <w:sz w:val="28"/>
          <w:szCs w:val="28"/>
        </w:rPr>
        <w:t xml:space="preserve"> Absorbe flujos masivos de variables macroeconómicas exógenas, matrices de precios en mercados mayoristas y variaciones sectoriales para aislar las perturbaciones aleatorias y el ruido de mercado. </w:t>
      </w:r>
    </w:p>
    <w:p w14:paraId="5AE6B3B2" w14:textId="77777777" w:rsidR="006E1AE2" w:rsidRPr="006E1AE2" w:rsidRDefault="006E1AE2" w:rsidP="006E1AE2">
      <w:pPr>
        <w:numPr>
          <w:ilvl w:val="1"/>
          <w:numId w:val="4"/>
        </w:numPr>
        <w:rPr>
          <w:sz w:val="28"/>
          <w:szCs w:val="28"/>
        </w:rPr>
      </w:pPr>
      <w:r w:rsidRPr="006E1AE2">
        <w:rPr>
          <w:i/>
          <w:iCs/>
          <w:sz w:val="28"/>
          <w:szCs w:val="28"/>
        </w:rPr>
        <w:t>Capa de Cointegración y Vectores Autorregresivos (VAR):</w:t>
      </w:r>
      <w:r w:rsidRPr="006E1AE2">
        <w:rPr>
          <w:sz w:val="28"/>
          <w:szCs w:val="28"/>
        </w:rPr>
        <w:t xml:space="preserve"> Evalúa las relaciones de equilibrio a largo plazo entre las estructuras de costes de la compañía y los vectores de precios indexados para detectar desalineaciones que escapan al control tradicional. </w:t>
      </w:r>
    </w:p>
    <w:p w14:paraId="5F88A5EE" w14:textId="77777777" w:rsidR="006E1AE2" w:rsidRPr="006E1AE2" w:rsidRDefault="006E1AE2" w:rsidP="006E1AE2">
      <w:pPr>
        <w:numPr>
          <w:ilvl w:val="1"/>
          <w:numId w:val="4"/>
        </w:numPr>
        <w:rPr>
          <w:sz w:val="28"/>
          <w:szCs w:val="28"/>
        </w:rPr>
      </w:pPr>
      <w:r w:rsidRPr="006E1AE2">
        <w:rPr>
          <w:i/>
          <w:iCs/>
          <w:sz w:val="28"/>
          <w:szCs w:val="28"/>
        </w:rPr>
        <w:t>Capa de Frontera Estocástica de Eficiencia:</w:t>
      </w:r>
      <w:r w:rsidRPr="006E1AE2">
        <w:rPr>
          <w:sz w:val="28"/>
          <w:szCs w:val="28"/>
        </w:rPr>
        <w:t xml:space="preserve"> Contrasta el rendimiento real de la matriz de costes del cliente frente a una frontera teórica de máxima eficiencia operativa para separar la ineficiencia técnica persistente de los impactos aleatorios. </w:t>
      </w:r>
    </w:p>
    <w:p w14:paraId="18527561" w14:textId="77777777" w:rsidR="006E1AE2" w:rsidRPr="006E1AE2" w:rsidRDefault="006E1AE2" w:rsidP="006E1AE2">
      <w:pPr>
        <w:numPr>
          <w:ilvl w:val="1"/>
          <w:numId w:val="4"/>
        </w:numPr>
        <w:rPr>
          <w:sz w:val="28"/>
          <w:szCs w:val="28"/>
        </w:rPr>
      </w:pPr>
      <w:r w:rsidRPr="006E1AE2">
        <w:rPr>
          <w:i/>
          <w:iCs/>
          <w:sz w:val="28"/>
          <w:szCs w:val="28"/>
        </w:rPr>
        <w:t>Capa Contable Forense Descentralizada:</w:t>
      </w:r>
      <w:r w:rsidRPr="006E1AE2">
        <w:rPr>
          <w:sz w:val="28"/>
          <w:szCs w:val="28"/>
        </w:rPr>
        <w:t xml:space="preserve"> Convierte los flujos contables al espectro de frecuencias para aislar patrones cíclicos anómalos de sangría financiera en el balance de situación, dotando al hallazgo de un rigor inatacable. </w:t>
      </w:r>
    </w:p>
    <w:p w14:paraId="2E6DBC84" w14:textId="77777777" w:rsidR="006E1AE2" w:rsidRPr="006E1AE2" w:rsidRDefault="006E1AE2" w:rsidP="006E1AE2">
      <w:pPr>
        <w:numPr>
          <w:ilvl w:val="1"/>
          <w:numId w:val="4"/>
        </w:numPr>
        <w:rPr>
          <w:sz w:val="28"/>
          <w:szCs w:val="28"/>
        </w:rPr>
      </w:pPr>
      <w:r w:rsidRPr="006E1AE2">
        <w:rPr>
          <w:i/>
          <w:iCs/>
          <w:sz w:val="28"/>
          <w:szCs w:val="28"/>
        </w:rPr>
        <w:t>Capa de Arbitraje Regulatorio y Simulación Fiscal Dinámica:</w:t>
      </w:r>
      <w:r w:rsidRPr="006E1AE2">
        <w:rPr>
          <w:sz w:val="28"/>
          <w:szCs w:val="28"/>
        </w:rPr>
        <w:t xml:space="preserve"> Computa la distorsión acumulada sobre la base imponible y modeliza de forma predictiva su traslación sobre el vector impositivo, activando una cuenta atrás </w:t>
      </w:r>
      <w:proofErr w:type="spellStart"/>
      <w:r w:rsidRPr="006E1AE2">
        <w:rPr>
          <w:sz w:val="28"/>
          <w:szCs w:val="28"/>
        </w:rPr>
        <w:t>express</w:t>
      </w:r>
      <w:proofErr w:type="spellEnd"/>
      <w:r w:rsidRPr="006E1AE2">
        <w:rPr>
          <w:sz w:val="28"/>
          <w:szCs w:val="28"/>
        </w:rPr>
        <w:t xml:space="preserve"> de 45 días para la preservación inmediata del flujo de caja libre (Free Cash Flow). </w:t>
      </w:r>
    </w:p>
    <w:p w14:paraId="42E5E939" w14:textId="77777777" w:rsidR="006E1AE2" w:rsidRPr="006E1AE2" w:rsidRDefault="006E1AE2" w:rsidP="006E1AE2">
      <w:pPr>
        <w:numPr>
          <w:ilvl w:val="0"/>
          <w:numId w:val="3"/>
        </w:numPr>
        <w:rPr>
          <w:sz w:val="28"/>
          <w:szCs w:val="28"/>
        </w:rPr>
      </w:pPr>
      <w:r w:rsidRPr="006E1AE2">
        <w:rPr>
          <w:b/>
          <w:bCs/>
          <w:sz w:val="28"/>
          <w:szCs w:val="28"/>
        </w:rPr>
        <w:t xml:space="preserve">Nota de </w:t>
      </w:r>
      <w:proofErr w:type="spellStart"/>
      <w:r w:rsidRPr="006E1AE2">
        <w:rPr>
          <w:b/>
          <w:bCs/>
          <w:sz w:val="28"/>
          <w:szCs w:val="28"/>
        </w:rPr>
        <w:t>Compliance</w:t>
      </w:r>
      <w:proofErr w:type="spellEnd"/>
      <w:r w:rsidRPr="006E1AE2">
        <w:rPr>
          <w:b/>
          <w:bCs/>
          <w:sz w:val="28"/>
          <w:szCs w:val="28"/>
        </w:rPr>
        <w:t xml:space="preserve"> sobre el Soporte Técnico y Antisabotaje:</w:t>
      </w:r>
      <w:r w:rsidRPr="006E1AE2">
        <w:rPr>
          <w:sz w:val="28"/>
          <w:szCs w:val="28"/>
        </w:rPr>
        <w:t xml:space="preserve"> Para preservar la neutralidad del mercado, evitar el espionaje corporativo y garantizar la total independencia de las investigaciones exógenas, la firma mantiene la identidad nominal de su personal analítico de campo bajo estricto secreto </w:t>
      </w:r>
      <w:r w:rsidRPr="006E1AE2">
        <w:rPr>
          <w:sz w:val="28"/>
          <w:szCs w:val="28"/>
        </w:rPr>
        <w:lastRenderedPageBreak/>
        <w:t xml:space="preserve">empresarial (Ley 1/2019). La sociedad dispone de un Registro Estatutario de Facultativos, Letrados y Economistas Colegiados que cumple rigurosamente con las normativas internacionales de KYC (Know </w:t>
      </w:r>
      <w:proofErr w:type="spellStart"/>
      <w:r w:rsidRPr="006E1AE2">
        <w:rPr>
          <w:sz w:val="28"/>
          <w:szCs w:val="28"/>
        </w:rPr>
        <w:t>Your</w:t>
      </w:r>
      <w:proofErr w:type="spellEnd"/>
      <w:r w:rsidRPr="006E1AE2">
        <w:rPr>
          <w:sz w:val="28"/>
          <w:szCs w:val="28"/>
        </w:rPr>
        <w:t xml:space="preserve"> </w:t>
      </w:r>
      <w:proofErr w:type="spellStart"/>
      <w:r w:rsidRPr="006E1AE2">
        <w:rPr>
          <w:sz w:val="28"/>
          <w:szCs w:val="28"/>
        </w:rPr>
        <w:t>Customer</w:t>
      </w:r>
      <w:proofErr w:type="spellEnd"/>
      <w:r w:rsidRPr="006E1AE2">
        <w:rPr>
          <w:sz w:val="28"/>
          <w:szCs w:val="28"/>
        </w:rPr>
        <w:t xml:space="preserve">) y Prevención de Blanqueo de Capitales, el cual se pondrá a disposición exclusiva del </w:t>
      </w:r>
      <w:proofErr w:type="spellStart"/>
      <w:r w:rsidRPr="006E1AE2">
        <w:rPr>
          <w:sz w:val="28"/>
          <w:szCs w:val="28"/>
        </w:rPr>
        <w:t>Compliance</w:t>
      </w:r>
      <w:proofErr w:type="spellEnd"/>
      <w:r w:rsidRPr="006E1AE2">
        <w:rPr>
          <w:sz w:val="28"/>
          <w:szCs w:val="28"/>
        </w:rPr>
        <w:t xml:space="preserve"> Officer del cliente bajo protocolo de verificación bilateral cifrado. </w:t>
      </w:r>
    </w:p>
    <w:p w14:paraId="0930FE4F" w14:textId="77777777" w:rsidR="006E1AE2" w:rsidRPr="006E1AE2" w:rsidRDefault="006E1AE2" w:rsidP="006E1AE2">
      <w:pPr>
        <w:numPr>
          <w:ilvl w:val="0"/>
          <w:numId w:val="3"/>
        </w:numPr>
        <w:rPr>
          <w:sz w:val="28"/>
          <w:szCs w:val="28"/>
        </w:rPr>
      </w:pPr>
      <w:r w:rsidRPr="006E1AE2">
        <w:rPr>
          <w:b/>
          <w:bCs/>
          <w:sz w:val="28"/>
          <w:szCs w:val="28"/>
        </w:rPr>
        <w:t>Módulo de Acceso Seguro:</w:t>
      </w:r>
      <w:r w:rsidRPr="006E1AE2">
        <w:rPr>
          <w:sz w:val="28"/>
          <w:szCs w:val="28"/>
        </w:rPr>
        <w:t xml:space="preserve"> [ </w:t>
      </w:r>
      <w:r w:rsidRPr="006E1AE2">
        <w:rPr>
          <w:rFonts w:ascii="Segoe UI Emoji" w:hAnsi="Segoe UI Emoji" w:cs="Segoe UI Emoji"/>
          <w:sz w:val="28"/>
          <w:szCs w:val="28"/>
        </w:rPr>
        <w:t>⚡</w:t>
      </w:r>
      <w:r w:rsidRPr="006E1AE2">
        <w:rPr>
          <w:sz w:val="28"/>
          <w:szCs w:val="28"/>
        </w:rPr>
        <w:t xml:space="preserve"> ACCEDER AL RADAR DE PROSPECCI</w:t>
      </w:r>
      <w:r w:rsidRPr="006E1AE2">
        <w:rPr>
          <w:rFonts w:ascii="Aptos" w:hAnsi="Aptos" w:cs="Aptos"/>
          <w:sz w:val="28"/>
          <w:szCs w:val="28"/>
        </w:rPr>
        <w:t>Ó</w:t>
      </w:r>
      <w:r w:rsidRPr="006E1AE2">
        <w:rPr>
          <w:sz w:val="28"/>
          <w:szCs w:val="28"/>
        </w:rPr>
        <w:t>N EX</w:t>
      </w:r>
      <w:r w:rsidRPr="006E1AE2">
        <w:rPr>
          <w:rFonts w:ascii="Aptos" w:hAnsi="Aptos" w:cs="Aptos"/>
          <w:sz w:val="28"/>
          <w:szCs w:val="28"/>
        </w:rPr>
        <w:t>Ó</w:t>
      </w:r>
      <w:r w:rsidRPr="006E1AE2">
        <w:rPr>
          <w:sz w:val="28"/>
          <w:szCs w:val="28"/>
        </w:rPr>
        <w:t xml:space="preserve">GENA </w:t>
      </w:r>
      <w:proofErr w:type="gramStart"/>
      <w:r w:rsidRPr="006E1AE2">
        <w:rPr>
          <w:sz w:val="28"/>
          <w:szCs w:val="28"/>
        </w:rPr>
        <w:t>v3.0 ]</w:t>
      </w:r>
      <w:proofErr w:type="gramEnd"/>
    </w:p>
    <w:p w14:paraId="3798E4EE" w14:textId="77777777" w:rsidR="006E1AE2" w:rsidRPr="006E1AE2" w:rsidRDefault="006E1AE2" w:rsidP="006E1AE2">
      <w:pPr>
        <w:rPr>
          <w:b/>
          <w:bCs/>
          <w:sz w:val="28"/>
          <w:szCs w:val="28"/>
        </w:rPr>
      </w:pPr>
      <w:r w:rsidRPr="006E1AE2">
        <w:rPr>
          <w:b/>
          <w:bCs/>
          <w:sz w:val="28"/>
          <w:szCs w:val="28"/>
        </w:rPr>
        <w:t>SOLAPA 04 · Estructura de Liquidación</w:t>
      </w:r>
    </w:p>
    <w:p w14:paraId="7F935C31" w14:textId="77777777" w:rsidR="006E1AE2" w:rsidRPr="006E1AE2" w:rsidRDefault="006E1AE2" w:rsidP="006E1AE2">
      <w:pPr>
        <w:numPr>
          <w:ilvl w:val="0"/>
          <w:numId w:val="5"/>
        </w:numPr>
        <w:rPr>
          <w:sz w:val="28"/>
          <w:szCs w:val="28"/>
        </w:rPr>
      </w:pPr>
      <w:r w:rsidRPr="006E1AE2">
        <w:rPr>
          <w:b/>
          <w:bCs/>
          <w:sz w:val="28"/>
          <w:szCs w:val="28"/>
        </w:rPr>
        <w:t>Título Principal:</w:t>
      </w:r>
      <w:r w:rsidRPr="006E1AE2">
        <w:rPr>
          <w:sz w:val="28"/>
          <w:szCs w:val="28"/>
        </w:rPr>
        <w:t xml:space="preserve"> </w:t>
      </w:r>
      <w:r w:rsidRPr="006E1AE2">
        <w:rPr>
          <w:rFonts w:ascii="Segoe UI Emoji" w:hAnsi="Segoe UI Emoji" w:cs="Segoe UI Emoji"/>
          <w:sz w:val="28"/>
          <w:szCs w:val="28"/>
        </w:rPr>
        <w:t>💳</w:t>
      </w:r>
      <w:r w:rsidRPr="006E1AE2">
        <w:rPr>
          <w:sz w:val="28"/>
          <w:szCs w:val="28"/>
        </w:rPr>
        <w:t xml:space="preserve"> ARQUITECTURA DE FACTURACIÓN Y ESCALAS PROPORCIONALES CORPORATIVAS </w:t>
      </w:r>
    </w:p>
    <w:p w14:paraId="5344CCEB" w14:textId="77777777" w:rsidR="006E1AE2" w:rsidRPr="006E1AE2" w:rsidRDefault="006E1AE2" w:rsidP="006E1AE2">
      <w:pPr>
        <w:numPr>
          <w:ilvl w:val="0"/>
          <w:numId w:val="5"/>
        </w:numPr>
        <w:rPr>
          <w:sz w:val="28"/>
          <w:szCs w:val="28"/>
        </w:rPr>
      </w:pPr>
      <w:r w:rsidRPr="006E1AE2">
        <w:rPr>
          <w:b/>
          <w:bCs/>
          <w:sz w:val="28"/>
          <w:szCs w:val="28"/>
        </w:rPr>
        <w:t>Manifiesto Contractual:</w:t>
      </w:r>
      <w:r w:rsidRPr="006E1AE2">
        <w:rPr>
          <w:sz w:val="28"/>
          <w:szCs w:val="28"/>
        </w:rPr>
        <w:t xml:space="preserve"> El búnker analítico rechaza de manera tajante los contratos de permanencia convencionales que encadenan a las corporaciones a servicios pasivos de gestoría. La firma opera bajo una estructura de doble vía de liquidación automatizada que otorga control absoluto a la propiedad, garantiza el valor real de cada euro devengado y asegura un flujo de capital continuo y sin fronteras. </w:t>
      </w:r>
    </w:p>
    <w:p w14:paraId="11763CCC" w14:textId="77777777" w:rsidR="006E1AE2" w:rsidRPr="006E1AE2" w:rsidRDefault="006E1AE2" w:rsidP="006E1AE2">
      <w:pPr>
        <w:numPr>
          <w:ilvl w:val="0"/>
          <w:numId w:val="5"/>
        </w:numPr>
        <w:rPr>
          <w:sz w:val="28"/>
          <w:szCs w:val="28"/>
        </w:rPr>
      </w:pPr>
      <w:r w:rsidRPr="006E1AE2">
        <w:rPr>
          <w:b/>
          <w:bCs/>
          <w:sz w:val="28"/>
          <w:szCs w:val="28"/>
        </w:rPr>
        <w:t>VÍA I: El Modelo de Suscripción Ejecutiva Permanente (</w:t>
      </w:r>
      <w:proofErr w:type="spellStart"/>
      <w:r w:rsidRPr="006E1AE2">
        <w:rPr>
          <w:b/>
          <w:bCs/>
          <w:sz w:val="28"/>
          <w:szCs w:val="28"/>
        </w:rPr>
        <w:t>Retainer</w:t>
      </w:r>
      <w:proofErr w:type="spellEnd"/>
      <w:r w:rsidRPr="006E1AE2">
        <w:rPr>
          <w:b/>
          <w:bCs/>
          <w:sz w:val="28"/>
          <w:szCs w:val="28"/>
        </w:rPr>
        <w:t xml:space="preserve"> de Custodia):</w:t>
      </w:r>
      <w:r w:rsidRPr="006E1AE2">
        <w:rPr>
          <w:sz w:val="28"/>
          <w:szCs w:val="28"/>
        </w:rPr>
        <w:t xml:space="preserve"> Diseñado específicamente para Presidencias, Consejos de Administración y Direcciones Generales que requieren una integración continua del algoritmo en sus cuadros de mando como herramienta de consulta permanente, invisible y de control estratégico. </w:t>
      </w:r>
    </w:p>
    <w:p w14:paraId="00072765" w14:textId="77777777" w:rsidR="006E1AE2" w:rsidRPr="006E1AE2" w:rsidRDefault="006E1AE2" w:rsidP="006E1AE2">
      <w:pPr>
        <w:numPr>
          <w:ilvl w:val="1"/>
          <w:numId w:val="5"/>
        </w:numPr>
        <w:rPr>
          <w:sz w:val="28"/>
          <w:szCs w:val="28"/>
        </w:rPr>
      </w:pPr>
      <w:r w:rsidRPr="006E1AE2">
        <w:rPr>
          <w:i/>
          <w:iCs/>
          <w:sz w:val="28"/>
          <w:szCs w:val="28"/>
        </w:rPr>
        <w:t>Términos Financieros del Canon Base por Tramos de Facturación Anual:</w:t>
      </w:r>
      <w:r w:rsidRPr="006E1AE2">
        <w:rPr>
          <w:sz w:val="28"/>
          <w:szCs w:val="28"/>
        </w:rPr>
        <w:t xml:space="preserve"> El Canon de Disponibilidad Analítica e Inmunidad Estructural mensual se indexa de forma automatizada y objetiva al volumen de facturación anual de la corporación diana. Este importe sufraga exclusivamente el mantenimiento del escudo preventivo exógeno y el acceso a la mesa de control seguro, </w:t>
      </w:r>
      <w:r w:rsidRPr="006E1AE2">
        <w:rPr>
          <w:sz w:val="28"/>
          <w:szCs w:val="28"/>
        </w:rPr>
        <w:lastRenderedPageBreak/>
        <w:t xml:space="preserve">quedando exento de cualquier esfuerzo pericial correctivo o de intervención: </w:t>
      </w:r>
    </w:p>
    <w:p w14:paraId="2D7EF388" w14:textId="77777777" w:rsidR="006E1AE2" w:rsidRPr="006E1AE2" w:rsidRDefault="006E1AE2" w:rsidP="006E1AE2">
      <w:pPr>
        <w:numPr>
          <w:ilvl w:val="2"/>
          <w:numId w:val="5"/>
        </w:numPr>
        <w:rPr>
          <w:sz w:val="28"/>
          <w:szCs w:val="28"/>
        </w:rPr>
      </w:pPr>
      <w:r w:rsidRPr="006E1AE2">
        <w:rPr>
          <w:sz w:val="28"/>
          <w:szCs w:val="28"/>
        </w:rPr>
        <w:t xml:space="preserve">Facturación Anual &lt; 5.000.000 € =&gt; Canon Inmutable: 5.000 € / mes </w:t>
      </w:r>
    </w:p>
    <w:p w14:paraId="7A5177D4" w14:textId="77777777" w:rsidR="006E1AE2" w:rsidRPr="006E1AE2" w:rsidRDefault="006E1AE2" w:rsidP="006E1AE2">
      <w:pPr>
        <w:numPr>
          <w:ilvl w:val="2"/>
          <w:numId w:val="5"/>
        </w:numPr>
        <w:rPr>
          <w:sz w:val="28"/>
          <w:szCs w:val="28"/>
        </w:rPr>
      </w:pPr>
      <w:r w:rsidRPr="006E1AE2">
        <w:rPr>
          <w:sz w:val="28"/>
          <w:szCs w:val="28"/>
        </w:rPr>
        <w:t xml:space="preserve">Facturación Anual de 5.000.000 € a 25.000.000 € =&gt; Canon Inmutable: 10.000 € / mes </w:t>
      </w:r>
    </w:p>
    <w:p w14:paraId="226EFC2D" w14:textId="77777777" w:rsidR="006E1AE2" w:rsidRPr="006E1AE2" w:rsidRDefault="006E1AE2" w:rsidP="006E1AE2">
      <w:pPr>
        <w:numPr>
          <w:ilvl w:val="2"/>
          <w:numId w:val="5"/>
        </w:numPr>
        <w:rPr>
          <w:sz w:val="28"/>
          <w:szCs w:val="28"/>
        </w:rPr>
      </w:pPr>
      <w:r w:rsidRPr="006E1AE2">
        <w:rPr>
          <w:sz w:val="28"/>
          <w:szCs w:val="28"/>
        </w:rPr>
        <w:t xml:space="preserve">Facturación Anual &gt; 25.000.000 € =&gt; Canon Inmutable: 25.000 € / mes </w:t>
      </w:r>
    </w:p>
    <w:p w14:paraId="16CCFD14" w14:textId="77777777" w:rsidR="006E1AE2" w:rsidRPr="006E1AE2" w:rsidRDefault="006E1AE2" w:rsidP="006E1AE2">
      <w:pPr>
        <w:numPr>
          <w:ilvl w:val="1"/>
          <w:numId w:val="5"/>
        </w:numPr>
        <w:rPr>
          <w:sz w:val="28"/>
          <w:szCs w:val="28"/>
        </w:rPr>
      </w:pPr>
      <w:r w:rsidRPr="006E1AE2">
        <w:rPr>
          <w:i/>
          <w:iCs/>
          <w:sz w:val="28"/>
          <w:szCs w:val="28"/>
        </w:rPr>
        <w:t>Régimen Fiscal Internacional (Inversión del Sujeto Pasivo):</w:t>
      </w:r>
      <w:r w:rsidRPr="006E1AE2">
        <w:rPr>
          <w:sz w:val="28"/>
          <w:szCs w:val="28"/>
        </w:rPr>
        <w:t xml:space="preserve"> La liquidación mensual del canon se emite libre de gravámenes locales o retenciones domésticas mediante la aplicación estricta de las reglas de Inversión del Sujeto Pasivo (Reverse </w:t>
      </w:r>
      <w:proofErr w:type="spellStart"/>
      <w:r w:rsidRPr="006E1AE2">
        <w:rPr>
          <w:sz w:val="28"/>
          <w:szCs w:val="28"/>
        </w:rPr>
        <w:t>Charge</w:t>
      </w:r>
      <w:proofErr w:type="spellEnd"/>
      <w:r w:rsidRPr="006E1AE2">
        <w:rPr>
          <w:sz w:val="28"/>
          <w:szCs w:val="28"/>
        </w:rPr>
        <w:t xml:space="preserve">) y convenios fiscales internacionales, adaptándose de forma nativa a la residencia fiscal e infraestructura del holding contratante. </w:t>
      </w:r>
    </w:p>
    <w:p w14:paraId="51159A9E" w14:textId="77777777" w:rsidR="006E1AE2" w:rsidRPr="006E1AE2" w:rsidRDefault="006E1AE2" w:rsidP="006E1AE2">
      <w:pPr>
        <w:numPr>
          <w:ilvl w:val="1"/>
          <w:numId w:val="5"/>
        </w:numPr>
        <w:rPr>
          <w:sz w:val="28"/>
          <w:szCs w:val="28"/>
        </w:rPr>
      </w:pPr>
      <w:r w:rsidRPr="006E1AE2">
        <w:rPr>
          <w:i/>
          <w:iCs/>
          <w:sz w:val="28"/>
          <w:szCs w:val="28"/>
        </w:rPr>
        <w:t>La Cláusula de Transparencia Tecnológica:</w:t>
      </w:r>
      <w:r w:rsidRPr="006E1AE2">
        <w:rPr>
          <w:sz w:val="28"/>
          <w:szCs w:val="28"/>
        </w:rPr>
        <w:t xml:space="preserve"> Debido al amplio equipo experimentado y multidisciplinario que ofrece la firma y la potencia de computación del motor de inferencia, cada suscripción mensual conlleva un proceso de monitorización e inferencia asíncrona detallado e individualizado sobre sus series temporales públicas. La tarifa asignada por tramo se aplica de forma automatizada en el panel seguro del usuario tras la verificación de su volumen de negocio en los registros oficiales, superando los marcos de consultoría horaria tradicionales de las firmas de auditoría comercial convencional. </w:t>
      </w:r>
    </w:p>
    <w:p w14:paraId="44D97BA3" w14:textId="77777777" w:rsidR="006E1AE2" w:rsidRPr="006E1AE2" w:rsidRDefault="006E1AE2" w:rsidP="006E1AE2">
      <w:pPr>
        <w:numPr>
          <w:ilvl w:val="1"/>
          <w:numId w:val="5"/>
        </w:numPr>
        <w:rPr>
          <w:sz w:val="28"/>
          <w:szCs w:val="28"/>
        </w:rPr>
      </w:pPr>
      <w:r w:rsidRPr="006E1AE2">
        <w:rPr>
          <w:i/>
          <w:iCs/>
          <w:sz w:val="28"/>
          <w:szCs w:val="28"/>
        </w:rPr>
        <w:t>La Cláusula de Exclusión Punitiva (Veto de Entrada):</w:t>
      </w:r>
      <w:r w:rsidRPr="006E1AE2">
        <w:rPr>
          <w:sz w:val="28"/>
          <w:szCs w:val="28"/>
        </w:rPr>
        <w:t xml:space="preserve"> El cliente mantiene la potestad de cancelar la suscripción mensual cuando lo considere oportuno. Sin embargo, la interrupción voluntaria del modelo activa de forma inmediata e irrevocable una Cláusula de Exclusión Punitiva, quedando la corporación sujeta a un veto innegociable de 6 meses. Durante este período de veto, el </w:t>
      </w:r>
      <w:r w:rsidRPr="006E1AE2">
        <w:rPr>
          <w:sz w:val="28"/>
          <w:szCs w:val="28"/>
        </w:rPr>
        <w:lastRenderedPageBreak/>
        <w:t xml:space="preserve">sistema desconectará por completo sus capas predictivas e ignorará los flujos de datos públicos de la empresa diana, asumiendo el Consejo de Administración toda la responsabilidad civil y mercantil de las fugas contables ante sus accionistas e inversores institucionales por omisión de diligencia debida. </w:t>
      </w:r>
    </w:p>
    <w:p w14:paraId="6668E6B1" w14:textId="77777777" w:rsidR="006E1AE2" w:rsidRPr="006E1AE2" w:rsidRDefault="006E1AE2" w:rsidP="006E1AE2">
      <w:pPr>
        <w:numPr>
          <w:ilvl w:val="0"/>
          <w:numId w:val="5"/>
        </w:numPr>
        <w:rPr>
          <w:sz w:val="28"/>
          <w:szCs w:val="28"/>
        </w:rPr>
      </w:pPr>
      <w:r w:rsidRPr="006E1AE2">
        <w:rPr>
          <w:b/>
          <w:bCs/>
          <w:sz w:val="28"/>
          <w:szCs w:val="28"/>
        </w:rPr>
        <w:t>VÍA II: El Protocolo de Liquidación por Intercepción Puntual (Escala Parabólica Wall Street):</w:t>
      </w:r>
      <w:r w:rsidRPr="006E1AE2">
        <w:rPr>
          <w:sz w:val="28"/>
          <w:szCs w:val="28"/>
        </w:rPr>
        <w:t xml:space="preserve"> Este flujo financiero de contingencia y asalto pericial se activa única y exclusivamente cuando nuestro activo tecnológico localiza una inconsistencia contable, asimetría o fuga real en los costes públicos de la compañía objetivo, emitiendo una Alerta Express dirigida a la presidencia. </w:t>
      </w:r>
    </w:p>
    <w:p w14:paraId="61670345" w14:textId="77777777" w:rsidR="006E1AE2" w:rsidRPr="006E1AE2" w:rsidRDefault="006E1AE2" w:rsidP="006E1AE2">
      <w:pPr>
        <w:numPr>
          <w:ilvl w:val="1"/>
          <w:numId w:val="5"/>
        </w:numPr>
        <w:rPr>
          <w:sz w:val="28"/>
          <w:szCs w:val="28"/>
        </w:rPr>
      </w:pPr>
      <w:r w:rsidRPr="006E1AE2">
        <w:rPr>
          <w:i/>
          <w:iCs/>
          <w:sz w:val="28"/>
          <w:szCs w:val="28"/>
        </w:rPr>
        <w:t>La Métrica por Tramos de Impacto Forense:</w:t>
      </w:r>
      <w:r w:rsidRPr="006E1AE2">
        <w:rPr>
          <w:sz w:val="28"/>
          <w:szCs w:val="28"/>
        </w:rPr>
        <w:t xml:space="preserve"> Se liquida de forma estricta el porcentaje de éxito neto sobre la sangría financiera total que las cinco capas analíticas del algoritmo aíslen, demuestren pericialmente y resuelvan con éxito, aplicando una escala variable indexada a la masa crítica de la herida detectada: </w:t>
      </w:r>
    </w:p>
    <w:p w14:paraId="47F54848" w14:textId="77777777" w:rsidR="006E1AE2" w:rsidRPr="006E1AE2" w:rsidRDefault="006E1AE2" w:rsidP="006E1AE2">
      <w:pPr>
        <w:numPr>
          <w:ilvl w:val="2"/>
          <w:numId w:val="5"/>
        </w:numPr>
        <w:rPr>
          <w:sz w:val="28"/>
          <w:szCs w:val="28"/>
        </w:rPr>
      </w:pPr>
      <w:r w:rsidRPr="006E1AE2">
        <w:rPr>
          <w:sz w:val="28"/>
          <w:szCs w:val="28"/>
        </w:rPr>
        <w:t xml:space="preserve">Tramo I (Masa Crítica de 300.000 € a 1.000.000 €) =&gt; Tasa Nominal: 10% neto </w:t>
      </w:r>
    </w:p>
    <w:p w14:paraId="27E2C04F" w14:textId="77777777" w:rsidR="006E1AE2" w:rsidRPr="006E1AE2" w:rsidRDefault="006E1AE2" w:rsidP="006E1AE2">
      <w:pPr>
        <w:numPr>
          <w:ilvl w:val="2"/>
          <w:numId w:val="5"/>
        </w:numPr>
        <w:rPr>
          <w:sz w:val="28"/>
          <w:szCs w:val="28"/>
        </w:rPr>
      </w:pPr>
      <w:r w:rsidRPr="006E1AE2">
        <w:rPr>
          <w:sz w:val="28"/>
          <w:szCs w:val="28"/>
        </w:rPr>
        <w:t xml:space="preserve">Tramo II (Masa Crítica de 1.000.000 € a 5.000.000 €) =&gt; Tasa Nominal: 15% neto </w:t>
      </w:r>
    </w:p>
    <w:p w14:paraId="40F85B7C" w14:textId="77777777" w:rsidR="006E1AE2" w:rsidRPr="006E1AE2" w:rsidRDefault="006E1AE2" w:rsidP="006E1AE2">
      <w:pPr>
        <w:numPr>
          <w:ilvl w:val="2"/>
          <w:numId w:val="5"/>
        </w:numPr>
        <w:rPr>
          <w:sz w:val="28"/>
          <w:szCs w:val="28"/>
        </w:rPr>
      </w:pPr>
      <w:r w:rsidRPr="006E1AE2">
        <w:rPr>
          <w:sz w:val="28"/>
          <w:szCs w:val="28"/>
        </w:rPr>
        <w:t xml:space="preserve">Tramo III (Masa Crítica de Alta Densidad &gt; 5.000.000 €) =&gt; Tasa Nominal: 25% neto </w:t>
      </w:r>
    </w:p>
    <w:p w14:paraId="12DA7426" w14:textId="77777777" w:rsidR="006E1AE2" w:rsidRPr="006E1AE2" w:rsidRDefault="006E1AE2" w:rsidP="006E1AE2">
      <w:pPr>
        <w:numPr>
          <w:ilvl w:val="1"/>
          <w:numId w:val="5"/>
        </w:numPr>
        <w:rPr>
          <w:sz w:val="28"/>
          <w:szCs w:val="28"/>
        </w:rPr>
      </w:pPr>
      <w:r w:rsidRPr="006E1AE2">
        <w:rPr>
          <w:i/>
          <w:iCs/>
          <w:sz w:val="28"/>
          <w:szCs w:val="28"/>
        </w:rPr>
        <w:t>La Regla de Suelo Duro Innegociable por Masa Crítica:</w:t>
      </w:r>
      <w:r w:rsidRPr="006E1AE2">
        <w:rPr>
          <w:sz w:val="28"/>
          <w:szCs w:val="28"/>
        </w:rPr>
        <w:t xml:space="preserve"> El suelo mínimo fijo de entrada en el Tramo I se vincula de forma estrictamente proporcional a la masa crítica de la herida financiera localizada, aplicando la siguiente escala paramétrica de forma algorítmica: </w:t>
      </w:r>
    </w:p>
    <w:p w14:paraId="61A68FF3" w14:textId="77777777" w:rsidR="006E1AE2" w:rsidRPr="006E1AE2" w:rsidRDefault="006E1AE2" w:rsidP="006E1AE2">
      <w:pPr>
        <w:numPr>
          <w:ilvl w:val="2"/>
          <w:numId w:val="5"/>
        </w:numPr>
        <w:rPr>
          <w:sz w:val="28"/>
          <w:szCs w:val="28"/>
        </w:rPr>
      </w:pPr>
      <w:r w:rsidRPr="006E1AE2">
        <w:rPr>
          <w:sz w:val="28"/>
          <w:szCs w:val="28"/>
        </w:rPr>
        <w:t xml:space="preserve">Masa Crítica &gt;= 300.000 € =&gt; Suelo Innegociable: 30.000 € fijos </w:t>
      </w:r>
    </w:p>
    <w:p w14:paraId="4DED3551" w14:textId="77777777" w:rsidR="006E1AE2" w:rsidRPr="006E1AE2" w:rsidRDefault="006E1AE2" w:rsidP="006E1AE2">
      <w:pPr>
        <w:numPr>
          <w:ilvl w:val="2"/>
          <w:numId w:val="5"/>
        </w:numPr>
        <w:rPr>
          <w:sz w:val="28"/>
          <w:szCs w:val="28"/>
        </w:rPr>
      </w:pPr>
      <w:r w:rsidRPr="006E1AE2">
        <w:rPr>
          <w:sz w:val="28"/>
          <w:szCs w:val="28"/>
        </w:rPr>
        <w:lastRenderedPageBreak/>
        <w:t xml:space="preserve">Masa Crítica &gt;= 600.000 € =&gt; Suelo Innegociable: 60.000 € fijos </w:t>
      </w:r>
    </w:p>
    <w:p w14:paraId="20234EAD" w14:textId="77777777" w:rsidR="006E1AE2" w:rsidRPr="006E1AE2" w:rsidRDefault="006E1AE2" w:rsidP="006E1AE2">
      <w:pPr>
        <w:numPr>
          <w:ilvl w:val="1"/>
          <w:numId w:val="5"/>
        </w:numPr>
        <w:rPr>
          <w:sz w:val="28"/>
          <w:szCs w:val="28"/>
        </w:rPr>
      </w:pPr>
      <w:r w:rsidRPr="006E1AE2">
        <w:rPr>
          <w:i/>
          <w:iCs/>
          <w:sz w:val="28"/>
          <w:szCs w:val="28"/>
        </w:rPr>
        <w:t>Nota Operativa de Entrada:</w:t>
      </w:r>
      <w:r w:rsidRPr="006E1AE2">
        <w:rPr>
          <w:sz w:val="28"/>
          <w:szCs w:val="28"/>
        </w:rPr>
        <w:t xml:space="preserve"> Si el porcentaje neto de la sangría real demostrada resulta inferior a estas cifras base, el Partner abonará el suelo duro de intervención fijado de forma íntegra según su nivel de masa crítica, asegurando la viabilidad comercial y el valor del peritaje exógeno. El filtro mínimo para que el Consejo de Dirección apruebe la prospección exógena de un balance público oficial en registros internacionales es de una herida contable estimada inicial de al menos 300.000 €, garantizando la eficiencia operativa del búnker. </w:t>
      </w:r>
    </w:p>
    <w:p w14:paraId="058E0C0E" w14:textId="77777777" w:rsidR="006E1AE2" w:rsidRPr="006E1AE2" w:rsidRDefault="006E1AE2" w:rsidP="006E1AE2">
      <w:pPr>
        <w:numPr>
          <w:ilvl w:val="0"/>
          <w:numId w:val="5"/>
        </w:numPr>
        <w:rPr>
          <w:sz w:val="28"/>
          <w:szCs w:val="28"/>
        </w:rPr>
      </w:pPr>
      <w:r w:rsidRPr="006E1AE2">
        <w:rPr>
          <w:b/>
          <w:bCs/>
          <w:sz w:val="28"/>
          <w:szCs w:val="28"/>
        </w:rPr>
        <w:t xml:space="preserve">El Cronómetro de la Espada de Damocles (Presión en </w:t>
      </w:r>
      <w:proofErr w:type="gramStart"/>
      <w:r w:rsidRPr="006E1AE2">
        <w:rPr>
          <w:b/>
          <w:bCs/>
          <w:sz w:val="28"/>
          <w:szCs w:val="28"/>
        </w:rPr>
        <w:t>Euros</w:t>
      </w:r>
      <w:proofErr w:type="gramEnd"/>
      <w:r w:rsidRPr="006E1AE2">
        <w:rPr>
          <w:b/>
          <w:bCs/>
          <w:sz w:val="28"/>
          <w:szCs w:val="28"/>
        </w:rPr>
        <w:t xml:space="preserve"> Constantes):</w:t>
      </w:r>
      <w:r w:rsidRPr="006E1AE2">
        <w:rPr>
          <w:sz w:val="28"/>
          <w:szCs w:val="28"/>
        </w:rPr>
        <w:t xml:space="preserve"> En cumplimiento estricto de nuestra política de confidencialidad de tarifas, la interfaz web corporativa no mostrará jamás tablas de porcentajes ni tramos en abierto al mercado. El panel seguro mostrará en el entorno privado de forma viva el importe neto en euros constantes a liquidar frente al tamaño de la herida financiera de su balance, ejerciendo una presión matemática indexada a tres ventanas de reacción ejecutiva rígidas para forzar la liquidación </w:t>
      </w:r>
      <w:proofErr w:type="spellStart"/>
      <w:r w:rsidRPr="006E1AE2">
        <w:rPr>
          <w:sz w:val="28"/>
          <w:szCs w:val="28"/>
        </w:rPr>
        <w:t>express</w:t>
      </w:r>
      <w:proofErr w:type="spellEnd"/>
      <w:r w:rsidRPr="006E1AE2">
        <w:rPr>
          <w:sz w:val="28"/>
          <w:szCs w:val="28"/>
        </w:rPr>
        <w:t xml:space="preserve">: </w:t>
      </w:r>
    </w:p>
    <w:p w14:paraId="35713A52" w14:textId="77777777" w:rsidR="006E1AE2" w:rsidRPr="006E1AE2" w:rsidRDefault="006E1AE2" w:rsidP="006E1AE2">
      <w:pPr>
        <w:numPr>
          <w:ilvl w:val="1"/>
          <w:numId w:val="5"/>
        </w:numPr>
        <w:rPr>
          <w:sz w:val="28"/>
          <w:szCs w:val="28"/>
        </w:rPr>
      </w:pPr>
      <w:r w:rsidRPr="006E1AE2">
        <w:rPr>
          <w:i/>
          <w:iCs/>
          <w:sz w:val="28"/>
          <w:szCs w:val="28"/>
        </w:rPr>
        <w:t>Ventana de Pronto Pago (&lt; 72 Horas):</w:t>
      </w:r>
      <w:r w:rsidRPr="006E1AE2">
        <w:rPr>
          <w:sz w:val="28"/>
          <w:szCs w:val="28"/>
        </w:rPr>
        <w:t xml:space="preserve"> Si la corporación ejecuta la transferencia de la Orden de Liquidación de Ineficiencias dentro de las primeras 72 horas de la notificación formal, se aplica una Bonificación por Pronto Pago que reduce la tasa asignada en 5 puntos porcentuales absolutos. El panel detalla con precisión el dinero exacto que ahorra si actúa con velocidad de pivote antes de que caiga el hacha financiera de la Espada de Damocles contable, reflejado en un </w:t>
      </w:r>
      <w:proofErr w:type="spellStart"/>
      <w:r w:rsidRPr="006E1AE2">
        <w:rPr>
          <w:sz w:val="28"/>
          <w:szCs w:val="28"/>
        </w:rPr>
        <w:t>micro-cronómetro</w:t>
      </w:r>
      <w:proofErr w:type="spellEnd"/>
      <w:r w:rsidRPr="006E1AE2">
        <w:rPr>
          <w:sz w:val="28"/>
          <w:szCs w:val="28"/>
        </w:rPr>
        <w:t xml:space="preserve"> descendente en tiempo real. </w:t>
      </w:r>
    </w:p>
    <w:p w14:paraId="53D72F55" w14:textId="77777777" w:rsidR="006E1AE2" w:rsidRPr="006E1AE2" w:rsidRDefault="006E1AE2" w:rsidP="006E1AE2">
      <w:pPr>
        <w:numPr>
          <w:ilvl w:val="1"/>
          <w:numId w:val="5"/>
        </w:numPr>
        <w:rPr>
          <w:sz w:val="28"/>
          <w:szCs w:val="28"/>
        </w:rPr>
      </w:pPr>
      <w:r w:rsidRPr="006E1AE2">
        <w:rPr>
          <w:i/>
          <w:iCs/>
          <w:sz w:val="28"/>
          <w:szCs w:val="28"/>
        </w:rPr>
        <w:t>Ventana de Fricción (72 Horas a 7 Días):</w:t>
      </w:r>
      <w:r w:rsidRPr="006E1AE2">
        <w:rPr>
          <w:sz w:val="28"/>
          <w:szCs w:val="28"/>
        </w:rPr>
        <w:t xml:space="preserve"> Transcurrido el plazo inicial de 72 horas, la bonificación de pronto pago </w:t>
      </w:r>
      <w:r w:rsidRPr="006E1AE2">
        <w:rPr>
          <w:sz w:val="28"/>
          <w:szCs w:val="28"/>
        </w:rPr>
        <w:lastRenderedPageBreak/>
        <w:t xml:space="preserve">decae automáticamente. El panel recalcula el coste de intervención al canon nominal debido a los costes de fricción y actualización de datos asíncronos. El número destacado de la herida en la pantalla se incrementa en tiempo real, evidenciando de forma implacable el coste diario de la indecisión burocrática del consejo. </w:t>
      </w:r>
    </w:p>
    <w:p w14:paraId="013FBE07" w14:textId="77777777" w:rsidR="006E1AE2" w:rsidRPr="006E1AE2" w:rsidRDefault="006E1AE2" w:rsidP="006E1AE2">
      <w:pPr>
        <w:numPr>
          <w:ilvl w:val="1"/>
          <w:numId w:val="5"/>
        </w:numPr>
        <w:rPr>
          <w:sz w:val="28"/>
          <w:szCs w:val="28"/>
        </w:rPr>
      </w:pPr>
      <w:r w:rsidRPr="006E1AE2">
        <w:rPr>
          <w:i/>
          <w:iCs/>
          <w:sz w:val="28"/>
          <w:szCs w:val="28"/>
        </w:rPr>
        <w:t>Escenario de Desprestigio (&gt; 7 Días):</w:t>
      </w:r>
      <w:r w:rsidRPr="006E1AE2">
        <w:rPr>
          <w:sz w:val="28"/>
          <w:szCs w:val="28"/>
        </w:rPr>
        <w:t xml:space="preserve"> Si la inacción alcanza la semana, la persistencia de la sangría contable se detalla en el panel como una responsabilidad directa por omisión de los administradores ante su junta de accionistas. El sistema alerta sobre el riesgo inminente de desprestigio institucional ante auditorías externas obligatorias y la consecuente desconexión del radar con aplicación inmediata del veto semestral innegociable. </w:t>
      </w:r>
    </w:p>
    <w:p w14:paraId="0569C679" w14:textId="77777777" w:rsidR="006E1AE2" w:rsidRPr="006E1AE2" w:rsidRDefault="006E1AE2" w:rsidP="006E1AE2">
      <w:pPr>
        <w:numPr>
          <w:ilvl w:val="0"/>
          <w:numId w:val="5"/>
        </w:numPr>
        <w:rPr>
          <w:sz w:val="28"/>
          <w:szCs w:val="28"/>
        </w:rPr>
      </w:pPr>
      <w:r w:rsidRPr="006E1AE2">
        <w:rPr>
          <w:b/>
          <w:bCs/>
          <w:sz w:val="28"/>
          <w:szCs w:val="28"/>
        </w:rPr>
        <w:t xml:space="preserve">Instrumentación, Cumplimiento Transfronterizo e Impacto Fiscal </w:t>
      </w:r>
      <w:proofErr w:type="spellStart"/>
      <w:r w:rsidRPr="006E1AE2">
        <w:rPr>
          <w:b/>
          <w:bCs/>
          <w:sz w:val="28"/>
          <w:szCs w:val="28"/>
        </w:rPr>
        <w:t>Multijurisdiccional</w:t>
      </w:r>
      <w:proofErr w:type="spellEnd"/>
      <w:r w:rsidRPr="006E1AE2">
        <w:rPr>
          <w:b/>
          <w:bCs/>
          <w:sz w:val="28"/>
          <w:szCs w:val="28"/>
        </w:rPr>
        <w:t>:</w:t>
      </w:r>
      <w:r w:rsidRPr="006E1AE2">
        <w:rPr>
          <w:sz w:val="28"/>
          <w:szCs w:val="28"/>
        </w:rPr>
        <w:t xml:space="preserve"> Cada liquidación por éxito se instrumenta jurídicamente mediante la emisión y entrega formal de un Dictamen Pericial de Arbitraje Exógeno e Informe Forense de Asimetría de Capital, firmado, visado y certificado en exclusiva por la máxima autoridad ejecutiva de la firma. Este documento de autor se confecciona bajo estructura bilingüe (</w:t>
      </w:r>
      <w:proofErr w:type="gramStart"/>
      <w:r w:rsidRPr="006E1AE2">
        <w:rPr>
          <w:sz w:val="28"/>
          <w:szCs w:val="28"/>
        </w:rPr>
        <w:t>Español</w:t>
      </w:r>
      <w:proofErr w:type="gramEnd"/>
      <w:r w:rsidRPr="006E1AE2">
        <w:rPr>
          <w:sz w:val="28"/>
          <w:szCs w:val="28"/>
        </w:rPr>
        <w:t>/</w:t>
      </w:r>
      <w:proofErr w:type="gramStart"/>
      <w:r w:rsidRPr="006E1AE2">
        <w:rPr>
          <w:sz w:val="28"/>
          <w:szCs w:val="28"/>
        </w:rPr>
        <w:t>Inglés</w:t>
      </w:r>
      <w:proofErr w:type="gramEnd"/>
      <w:r w:rsidRPr="006E1AE2">
        <w:rPr>
          <w:sz w:val="28"/>
          <w:szCs w:val="28"/>
        </w:rPr>
        <w:t xml:space="preserve">) y constituye la memoria técnica internacional estandarizada que justifica la deducibilidad absoluta del gasto operativo de consultoría exógena en las siguientes matrices fiscales y de cumplimiento regulatorio: </w:t>
      </w:r>
    </w:p>
    <w:p w14:paraId="45EFBEB7" w14:textId="77777777" w:rsidR="006E1AE2" w:rsidRPr="006E1AE2" w:rsidRDefault="006E1AE2" w:rsidP="006E1AE2">
      <w:pPr>
        <w:numPr>
          <w:ilvl w:val="1"/>
          <w:numId w:val="5"/>
        </w:numPr>
        <w:rPr>
          <w:sz w:val="28"/>
          <w:szCs w:val="28"/>
        </w:rPr>
      </w:pPr>
      <w:r w:rsidRPr="006E1AE2">
        <w:rPr>
          <w:i/>
          <w:iCs/>
          <w:sz w:val="28"/>
          <w:szCs w:val="28"/>
        </w:rPr>
        <w:t>Jurisdicción España / Unión Europea:</w:t>
      </w:r>
      <w:r w:rsidRPr="006E1AE2">
        <w:rPr>
          <w:sz w:val="28"/>
          <w:szCs w:val="28"/>
        </w:rPr>
        <w:t xml:space="preserve"> Justifica la deducibilidad íntegra de la contraprestación como gasto de explotación en el Impuesto sobre Sociedades ante la Agencia Estatal de Administración Tributaria (AEAT) y las haciendas forales locales, superando las exigencias de correlación con los ingresos establecidas por la normativa comunitaria. </w:t>
      </w:r>
    </w:p>
    <w:p w14:paraId="19743EA5" w14:textId="77777777" w:rsidR="006E1AE2" w:rsidRPr="006E1AE2" w:rsidRDefault="006E1AE2" w:rsidP="006E1AE2">
      <w:pPr>
        <w:numPr>
          <w:ilvl w:val="1"/>
          <w:numId w:val="5"/>
        </w:numPr>
        <w:rPr>
          <w:sz w:val="28"/>
          <w:szCs w:val="28"/>
        </w:rPr>
      </w:pPr>
      <w:r w:rsidRPr="006E1AE2">
        <w:rPr>
          <w:i/>
          <w:iCs/>
          <w:sz w:val="28"/>
          <w:szCs w:val="28"/>
        </w:rPr>
        <w:lastRenderedPageBreak/>
        <w:t>Jurisdicción Helvética (Suiza):</w:t>
      </w:r>
      <w:r w:rsidRPr="006E1AE2">
        <w:rPr>
          <w:sz w:val="28"/>
          <w:szCs w:val="28"/>
        </w:rPr>
        <w:t xml:space="preserve"> Satisface de forma estricta los requisitos de justificación comercial (</w:t>
      </w:r>
      <w:proofErr w:type="spellStart"/>
      <w:r w:rsidRPr="006E1AE2">
        <w:rPr>
          <w:i/>
          <w:iCs/>
          <w:sz w:val="28"/>
          <w:szCs w:val="28"/>
        </w:rPr>
        <w:t>geschäftsmässig</w:t>
      </w:r>
      <w:proofErr w:type="spellEnd"/>
      <w:r w:rsidRPr="006E1AE2">
        <w:rPr>
          <w:i/>
          <w:iCs/>
          <w:sz w:val="28"/>
          <w:szCs w:val="28"/>
        </w:rPr>
        <w:t xml:space="preserve"> </w:t>
      </w:r>
      <w:proofErr w:type="spellStart"/>
      <w:r w:rsidRPr="006E1AE2">
        <w:rPr>
          <w:i/>
          <w:iCs/>
          <w:sz w:val="28"/>
          <w:szCs w:val="28"/>
        </w:rPr>
        <w:t>begründeter</w:t>
      </w:r>
      <w:proofErr w:type="spellEnd"/>
      <w:r w:rsidRPr="006E1AE2">
        <w:rPr>
          <w:i/>
          <w:iCs/>
          <w:sz w:val="28"/>
          <w:szCs w:val="28"/>
        </w:rPr>
        <w:t xml:space="preserve"> </w:t>
      </w:r>
      <w:proofErr w:type="spellStart"/>
      <w:r w:rsidRPr="006E1AE2">
        <w:rPr>
          <w:i/>
          <w:iCs/>
          <w:sz w:val="28"/>
          <w:szCs w:val="28"/>
        </w:rPr>
        <w:t>Aufwand</w:t>
      </w:r>
      <w:proofErr w:type="spellEnd"/>
      <w:r w:rsidRPr="006E1AE2">
        <w:rPr>
          <w:sz w:val="28"/>
          <w:szCs w:val="28"/>
        </w:rPr>
        <w:t>) exigidos por la Administración Federal de Contribuciones de Suiza (ESTV / AFC) para la deducción directa en el Impuesto Federal Directo (</w:t>
      </w:r>
      <w:proofErr w:type="spellStart"/>
      <w:r w:rsidRPr="006E1AE2">
        <w:rPr>
          <w:i/>
          <w:iCs/>
          <w:sz w:val="28"/>
          <w:szCs w:val="28"/>
        </w:rPr>
        <w:t>Direkte</w:t>
      </w:r>
      <w:proofErr w:type="spellEnd"/>
      <w:r w:rsidRPr="006E1AE2">
        <w:rPr>
          <w:i/>
          <w:iCs/>
          <w:sz w:val="28"/>
          <w:szCs w:val="28"/>
        </w:rPr>
        <w:t xml:space="preserve"> </w:t>
      </w:r>
      <w:proofErr w:type="spellStart"/>
      <w:r w:rsidRPr="006E1AE2">
        <w:rPr>
          <w:i/>
          <w:iCs/>
          <w:sz w:val="28"/>
          <w:szCs w:val="28"/>
        </w:rPr>
        <w:t>Bundessteuer</w:t>
      </w:r>
      <w:proofErr w:type="spellEnd"/>
      <w:r w:rsidRPr="006E1AE2">
        <w:rPr>
          <w:sz w:val="28"/>
          <w:szCs w:val="28"/>
        </w:rPr>
        <w:t xml:space="preserve">) e impuestos cantonales, blindando la cuenta de resultados de holdings y banca en Zúrich o Ginebra. </w:t>
      </w:r>
    </w:p>
    <w:p w14:paraId="1B93F119" w14:textId="77777777" w:rsidR="006E1AE2" w:rsidRPr="006E1AE2" w:rsidRDefault="006E1AE2" w:rsidP="006E1AE2">
      <w:pPr>
        <w:numPr>
          <w:ilvl w:val="1"/>
          <w:numId w:val="5"/>
        </w:numPr>
        <w:rPr>
          <w:sz w:val="28"/>
          <w:szCs w:val="28"/>
        </w:rPr>
      </w:pPr>
      <w:r w:rsidRPr="006E1AE2">
        <w:rPr>
          <w:i/>
          <w:iCs/>
          <w:sz w:val="28"/>
          <w:szCs w:val="28"/>
        </w:rPr>
        <w:t>Jurisdicción Gran Ducado de Luxemburgo (</w:t>
      </w:r>
      <w:proofErr w:type="gramStart"/>
      <w:r w:rsidRPr="006E1AE2">
        <w:rPr>
          <w:i/>
          <w:iCs/>
          <w:sz w:val="28"/>
          <w:szCs w:val="28"/>
        </w:rPr>
        <w:t>Hub</w:t>
      </w:r>
      <w:proofErr w:type="gramEnd"/>
      <w:r w:rsidRPr="006E1AE2">
        <w:rPr>
          <w:i/>
          <w:iCs/>
          <w:sz w:val="28"/>
          <w:szCs w:val="28"/>
        </w:rPr>
        <w:t xml:space="preserve"> Financiero UE):</w:t>
      </w:r>
      <w:r w:rsidRPr="006E1AE2">
        <w:rPr>
          <w:sz w:val="28"/>
          <w:szCs w:val="28"/>
        </w:rPr>
        <w:t xml:space="preserve"> Cumple escrupulosamente con el principio de plena competencia (</w:t>
      </w:r>
      <w:proofErr w:type="spellStart"/>
      <w:r w:rsidRPr="006E1AE2">
        <w:rPr>
          <w:i/>
          <w:iCs/>
          <w:sz w:val="28"/>
          <w:szCs w:val="28"/>
        </w:rPr>
        <w:t>Arm's</w:t>
      </w:r>
      <w:proofErr w:type="spellEnd"/>
      <w:r w:rsidRPr="006E1AE2">
        <w:rPr>
          <w:i/>
          <w:iCs/>
          <w:sz w:val="28"/>
          <w:szCs w:val="28"/>
        </w:rPr>
        <w:t xml:space="preserve"> </w:t>
      </w:r>
      <w:proofErr w:type="spellStart"/>
      <w:r w:rsidRPr="006E1AE2">
        <w:rPr>
          <w:i/>
          <w:iCs/>
          <w:sz w:val="28"/>
          <w:szCs w:val="28"/>
        </w:rPr>
        <w:t>Length</w:t>
      </w:r>
      <w:proofErr w:type="spellEnd"/>
      <w:r w:rsidRPr="006E1AE2">
        <w:rPr>
          <w:i/>
          <w:iCs/>
          <w:sz w:val="28"/>
          <w:szCs w:val="28"/>
        </w:rPr>
        <w:t xml:space="preserve"> Principle</w:t>
      </w:r>
      <w:r w:rsidRPr="006E1AE2">
        <w:rPr>
          <w:sz w:val="28"/>
          <w:szCs w:val="28"/>
        </w:rPr>
        <w:t>) recogido en el artículo 56bis de la LIR (</w:t>
      </w:r>
      <w:r w:rsidRPr="006E1AE2">
        <w:rPr>
          <w:i/>
          <w:iCs/>
          <w:sz w:val="28"/>
          <w:szCs w:val="28"/>
        </w:rPr>
        <w:t xml:space="preserve">Loi de </w:t>
      </w:r>
      <w:proofErr w:type="spellStart"/>
      <w:r w:rsidRPr="006E1AE2">
        <w:rPr>
          <w:i/>
          <w:iCs/>
          <w:sz w:val="28"/>
          <w:szCs w:val="28"/>
        </w:rPr>
        <w:t>l'Impôt</w:t>
      </w:r>
      <w:proofErr w:type="spellEnd"/>
      <w:r w:rsidRPr="006E1AE2">
        <w:rPr>
          <w:i/>
          <w:iCs/>
          <w:sz w:val="28"/>
          <w:szCs w:val="28"/>
        </w:rPr>
        <w:t xml:space="preserve"> sur el </w:t>
      </w:r>
      <w:proofErr w:type="spellStart"/>
      <w:r w:rsidRPr="006E1AE2">
        <w:rPr>
          <w:i/>
          <w:iCs/>
          <w:sz w:val="28"/>
          <w:szCs w:val="28"/>
        </w:rPr>
        <w:t>Revenu</w:t>
      </w:r>
      <w:proofErr w:type="spellEnd"/>
      <w:r w:rsidRPr="006E1AE2">
        <w:rPr>
          <w:sz w:val="28"/>
          <w:szCs w:val="28"/>
        </w:rPr>
        <w:t xml:space="preserve">). El dictamen forense justifica el gasto ante la </w:t>
      </w:r>
      <w:proofErr w:type="spellStart"/>
      <w:r w:rsidRPr="006E1AE2">
        <w:rPr>
          <w:i/>
          <w:iCs/>
          <w:sz w:val="28"/>
          <w:szCs w:val="28"/>
        </w:rPr>
        <w:t>Administration</w:t>
      </w:r>
      <w:proofErr w:type="spellEnd"/>
      <w:r w:rsidRPr="006E1AE2">
        <w:rPr>
          <w:i/>
          <w:iCs/>
          <w:sz w:val="28"/>
          <w:szCs w:val="28"/>
        </w:rPr>
        <w:t xml:space="preserve"> des </w:t>
      </w:r>
      <w:proofErr w:type="spellStart"/>
      <w:r w:rsidRPr="006E1AE2">
        <w:rPr>
          <w:i/>
          <w:iCs/>
          <w:sz w:val="28"/>
          <w:szCs w:val="28"/>
        </w:rPr>
        <w:t>Contributions</w:t>
      </w:r>
      <w:proofErr w:type="spellEnd"/>
      <w:r w:rsidRPr="006E1AE2">
        <w:rPr>
          <w:i/>
          <w:iCs/>
          <w:sz w:val="28"/>
          <w:szCs w:val="28"/>
        </w:rPr>
        <w:t xml:space="preserve"> Directes</w:t>
      </w:r>
      <w:r w:rsidRPr="006E1AE2">
        <w:rPr>
          <w:sz w:val="28"/>
          <w:szCs w:val="28"/>
        </w:rPr>
        <w:t xml:space="preserve"> (ACD) como una optimización operativa real y legítima del EBITDA, protegiendo las estructuras de retención de dividendos de las sociedades holding de alta capitalización (SOPARFI). </w:t>
      </w:r>
    </w:p>
    <w:p w14:paraId="1595058E" w14:textId="77777777" w:rsidR="006E1AE2" w:rsidRPr="006E1AE2" w:rsidRDefault="006E1AE2" w:rsidP="006E1AE2">
      <w:pPr>
        <w:numPr>
          <w:ilvl w:val="1"/>
          <w:numId w:val="5"/>
        </w:numPr>
        <w:rPr>
          <w:sz w:val="28"/>
          <w:szCs w:val="28"/>
        </w:rPr>
      </w:pPr>
      <w:r w:rsidRPr="006E1AE2">
        <w:rPr>
          <w:i/>
          <w:iCs/>
          <w:sz w:val="28"/>
          <w:szCs w:val="28"/>
        </w:rPr>
        <w:t xml:space="preserve">Jurisdicción Estados Unidos (US </w:t>
      </w:r>
      <w:proofErr w:type="spellStart"/>
      <w:r w:rsidRPr="006E1AE2">
        <w:rPr>
          <w:i/>
          <w:iCs/>
          <w:sz w:val="28"/>
          <w:szCs w:val="28"/>
        </w:rPr>
        <w:t>Corporate</w:t>
      </w:r>
      <w:proofErr w:type="spellEnd"/>
      <w:r w:rsidRPr="006E1AE2">
        <w:rPr>
          <w:i/>
          <w:iCs/>
          <w:sz w:val="28"/>
          <w:szCs w:val="28"/>
        </w:rPr>
        <w:t xml:space="preserve"> Tax Framework):</w:t>
      </w:r>
      <w:r w:rsidRPr="006E1AE2">
        <w:rPr>
          <w:sz w:val="28"/>
          <w:szCs w:val="28"/>
        </w:rPr>
        <w:t xml:space="preserve"> El informe forense se estructura bajo los estándares técnicos de la Sección 162(a) del </w:t>
      </w:r>
      <w:proofErr w:type="spellStart"/>
      <w:r w:rsidRPr="006E1AE2">
        <w:rPr>
          <w:i/>
          <w:iCs/>
          <w:sz w:val="28"/>
          <w:szCs w:val="28"/>
        </w:rPr>
        <w:t>Internal</w:t>
      </w:r>
      <w:proofErr w:type="spellEnd"/>
      <w:r w:rsidRPr="006E1AE2">
        <w:rPr>
          <w:i/>
          <w:iCs/>
          <w:sz w:val="28"/>
          <w:szCs w:val="28"/>
        </w:rPr>
        <w:t xml:space="preserve"> </w:t>
      </w:r>
      <w:proofErr w:type="spellStart"/>
      <w:r w:rsidRPr="006E1AE2">
        <w:rPr>
          <w:i/>
          <w:iCs/>
          <w:sz w:val="28"/>
          <w:szCs w:val="28"/>
        </w:rPr>
        <w:t>Revenue</w:t>
      </w:r>
      <w:proofErr w:type="spellEnd"/>
      <w:r w:rsidRPr="006E1AE2">
        <w:rPr>
          <w:i/>
          <w:iCs/>
          <w:sz w:val="28"/>
          <w:szCs w:val="28"/>
        </w:rPr>
        <w:t xml:space="preserve"> Code</w:t>
      </w:r>
      <w:r w:rsidRPr="006E1AE2">
        <w:rPr>
          <w:sz w:val="28"/>
          <w:szCs w:val="28"/>
        </w:rPr>
        <w:t xml:space="preserve"> (IRC), tipificando la minuta de éxito como un gasto ordinario y estrictamente necesario (</w:t>
      </w:r>
      <w:proofErr w:type="spellStart"/>
      <w:r w:rsidRPr="006E1AE2">
        <w:rPr>
          <w:i/>
          <w:iCs/>
          <w:sz w:val="28"/>
          <w:szCs w:val="28"/>
        </w:rPr>
        <w:t>Ordinary</w:t>
      </w:r>
      <w:proofErr w:type="spellEnd"/>
      <w:r w:rsidRPr="006E1AE2">
        <w:rPr>
          <w:i/>
          <w:iCs/>
          <w:sz w:val="28"/>
          <w:szCs w:val="28"/>
        </w:rPr>
        <w:t xml:space="preserve"> and Necessary Business Expense</w:t>
      </w:r>
      <w:r w:rsidRPr="006E1AE2">
        <w:rPr>
          <w:sz w:val="28"/>
          <w:szCs w:val="28"/>
        </w:rPr>
        <w:t>) incurrido en el ejercicio de la actividad económica del cliente. Supera de forma automatizada las auditorías del IRS (</w:t>
      </w:r>
      <w:proofErr w:type="spellStart"/>
      <w:r w:rsidRPr="006E1AE2">
        <w:rPr>
          <w:i/>
          <w:iCs/>
          <w:sz w:val="28"/>
          <w:szCs w:val="28"/>
        </w:rPr>
        <w:t>Internal</w:t>
      </w:r>
      <w:proofErr w:type="spellEnd"/>
      <w:r w:rsidRPr="006E1AE2">
        <w:rPr>
          <w:i/>
          <w:iCs/>
          <w:sz w:val="28"/>
          <w:szCs w:val="28"/>
        </w:rPr>
        <w:t xml:space="preserve"> </w:t>
      </w:r>
      <w:proofErr w:type="spellStart"/>
      <w:r w:rsidRPr="006E1AE2">
        <w:rPr>
          <w:i/>
          <w:iCs/>
          <w:sz w:val="28"/>
          <w:szCs w:val="28"/>
        </w:rPr>
        <w:t>Revenue</w:t>
      </w:r>
      <w:proofErr w:type="spellEnd"/>
      <w:r w:rsidRPr="006E1AE2">
        <w:rPr>
          <w:i/>
          <w:iCs/>
          <w:sz w:val="28"/>
          <w:szCs w:val="28"/>
        </w:rPr>
        <w:t xml:space="preserve"> Service</w:t>
      </w:r>
      <w:r w:rsidRPr="006E1AE2">
        <w:rPr>
          <w:sz w:val="28"/>
          <w:szCs w:val="28"/>
        </w:rPr>
        <w:t xml:space="preserve">) al certificar la restitución del valor patrimonial neto del flujo de caja de corporaciones Delaware o entidades cotizadas en Wall Street. </w:t>
      </w:r>
    </w:p>
    <w:p w14:paraId="1102D847" w14:textId="77777777" w:rsidR="006E1AE2" w:rsidRPr="006E1AE2" w:rsidRDefault="006E1AE2" w:rsidP="006E1AE2">
      <w:pPr>
        <w:numPr>
          <w:ilvl w:val="1"/>
          <w:numId w:val="5"/>
        </w:numPr>
        <w:rPr>
          <w:sz w:val="28"/>
          <w:szCs w:val="28"/>
        </w:rPr>
      </w:pPr>
      <w:r w:rsidRPr="006E1AE2">
        <w:rPr>
          <w:i/>
          <w:iCs/>
          <w:sz w:val="28"/>
          <w:szCs w:val="28"/>
        </w:rPr>
        <w:t>Jurisdicción Países Latinoamericanos (MÉX, COL, CHL, PER, BRA):</w:t>
      </w:r>
      <w:r w:rsidRPr="006E1AE2">
        <w:rPr>
          <w:sz w:val="28"/>
          <w:szCs w:val="28"/>
        </w:rPr>
        <w:t xml:space="preserve"> Se ajusta de manera estricta al Principio de Causalidad y Necesidad indispensable para la deducibilidad de los gastos operativos transfronterizos en América Latina. El dictamen pericial constituye el soporte de sustancia económica indispensable exigido por los </w:t>
      </w:r>
      <w:r w:rsidRPr="006E1AE2">
        <w:rPr>
          <w:sz w:val="28"/>
          <w:szCs w:val="28"/>
        </w:rPr>
        <w:lastRenderedPageBreak/>
        <w:t xml:space="preserve">reguladores de la región (como el SAT en México, la DIAN en Colombia o la SUNAT en Perú) para desestimar la presunción de operaciones simuladas, superando las retenciones en la fuente aplicables mediante el correcto uso de los Convenios de Doble Imposición (CDI) vigentes. </w:t>
      </w:r>
    </w:p>
    <w:p w14:paraId="352FDE68" w14:textId="77777777" w:rsidR="006E1AE2" w:rsidRPr="006E1AE2" w:rsidRDefault="006E1AE2" w:rsidP="006E1AE2">
      <w:pPr>
        <w:numPr>
          <w:ilvl w:val="1"/>
          <w:numId w:val="5"/>
        </w:numPr>
        <w:rPr>
          <w:sz w:val="28"/>
          <w:szCs w:val="28"/>
        </w:rPr>
      </w:pPr>
      <w:proofErr w:type="spellStart"/>
      <w:r w:rsidRPr="006E1AE2">
        <w:rPr>
          <w:i/>
          <w:iCs/>
          <w:sz w:val="28"/>
          <w:szCs w:val="28"/>
        </w:rPr>
        <w:t>Compliance</w:t>
      </w:r>
      <w:proofErr w:type="spellEnd"/>
      <w:r w:rsidRPr="006E1AE2">
        <w:rPr>
          <w:i/>
          <w:iCs/>
          <w:sz w:val="28"/>
          <w:szCs w:val="28"/>
        </w:rPr>
        <w:t xml:space="preserve"> Bancario Internacional y Filtros Anti-Lavado (AML):</w:t>
      </w:r>
      <w:r w:rsidRPr="006E1AE2">
        <w:rPr>
          <w:sz w:val="28"/>
          <w:szCs w:val="28"/>
        </w:rPr>
        <w:t xml:space="preserve"> Debido al rigor econométrico y a la naturaleza de "Invasión Cero" del </w:t>
      </w:r>
      <w:proofErr w:type="spellStart"/>
      <w:r w:rsidRPr="006E1AE2">
        <w:rPr>
          <w:sz w:val="28"/>
          <w:szCs w:val="28"/>
        </w:rPr>
        <w:t>framework</w:t>
      </w:r>
      <w:proofErr w:type="spellEnd"/>
      <w:r w:rsidRPr="006E1AE2">
        <w:rPr>
          <w:sz w:val="28"/>
          <w:szCs w:val="28"/>
        </w:rPr>
        <w:t xml:space="preserve">, el Dictamen Pericial incorpora un dossier técnico de validación de activos que supera de forma automatizada los filtros de </w:t>
      </w:r>
      <w:proofErr w:type="spellStart"/>
      <w:r w:rsidRPr="006E1AE2">
        <w:rPr>
          <w:sz w:val="28"/>
          <w:szCs w:val="28"/>
        </w:rPr>
        <w:t>Compliance</w:t>
      </w:r>
      <w:proofErr w:type="spellEnd"/>
      <w:r w:rsidRPr="006E1AE2">
        <w:rPr>
          <w:sz w:val="28"/>
          <w:szCs w:val="28"/>
        </w:rPr>
        <w:t xml:space="preserve"> de la banca privada internacional y los protocolos de la FINMA en Suiza, la CSSF en Luxemburgo, la SEC/FINRA en EE. UU. y las normativas FATCA/CRS globales. Al clasificar el origen del cobro como una recuperación pericial demostrada de flujo de caja libre, se elimina cualquier fricción de </w:t>
      </w:r>
      <w:proofErr w:type="spellStart"/>
      <w:r w:rsidRPr="006E1AE2">
        <w:rPr>
          <w:sz w:val="28"/>
          <w:szCs w:val="28"/>
        </w:rPr>
        <w:t>clearing</w:t>
      </w:r>
      <w:proofErr w:type="spellEnd"/>
      <w:r w:rsidRPr="006E1AE2">
        <w:rPr>
          <w:sz w:val="28"/>
          <w:szCs w:val="28"/>
        </w:rPr>
        <w:t xml:space="preserve"> en las transferencias interbancarias de alta denominación. </w:t>
      </w:r>
    </w:p>
    <w:p w14:paraId="0874019E" w14:textId="77777777" w:rsidR="006E1AE2" w:rsidRPr="006E1AE2" w:rsidRDefault="006E1AE2" w:rsidP="006E1AE2">
      <w:pPr>
        <w:rPr>
          <w:b/>
          <w:bCs/>
          <w:sz w:val="28"/>
          <w:szCs w:val="28"/>
        </w:rPr>
      </w:pPr>
      <w:r w:rsidRPr="006E1AE2">
        <w:rPr>
          <w:b/>
          <w:bCs/>
          <w:sz w:val="28"/>
          <w:szCs w:val="28"/>
        </w:rPr>
        <w:t>SOLAPA 05 · Cumplimiento Regulatorio</w:t>
      </w:r>
    </w:p>
    <w:p w14:paraId="656EC8F6" w14:textId="77777777" w:rsidR="006E1AE2" w:rsidRPr="006E1AE2" w:rsidRDefault="006E1AE2" w:rsidP="006E1AE2">
      <w:pPr>
        <w:numPr>
          <w:ilvl w:val="0"/>
          <w:numId w:val="6"/>
        </w:numPr>
        <w:rPr>
          <w:sz w:val="28"/>
          <w:szCs w:val="28"/>
        </w:rPr>
      </w:pPr>
      <w:r w:rsidRPr="006E1AE2">
        <w:rPr>
          <w:b/>
          <w:bCs/>
          <w:sz w:val="28"/>
          <w:szCs w:val="28"/>
        </w:rPr>
        <w:t>Título Principal:</w:t>
      </w:r>
      <w:r w:rsidRPr="006E1AE2">
        <w:rPr>
          <w:sz w:val="28"/>
          <w:szCs w:val="28"/>
        </w:rPr>
        <w:t xml:space="preserve"> </w:t>
      </w:r>
      <w:r w:rsidRPr="006E1AE2">
        <w:rPr>
          <w:rFonts w:ascii="Segoe UI Emoji" w:hAnsi="Segoe UI Emoji" w:cs="Segoe UI Emoji"/>
          <w:sz w:val="28"/>
          <w:szCs w:val="28"/>
        </w:rPr>
        <w:t>🏛️</w:t>
      </w:r>
      <w:r w:rsidRPr="006E1AE2">
        <w:rPr>
          <w:sz w:val="28"/>
          <w:szCs w:val="28"/>
        </w:rPr>
        <w:t xml:space="preserve"> MARCO FUNDACIONAL, INMUNIDAD LEGAL Y PROTOCOLO MÁSTER DE CIERRE </w:t>
      </w:r>
    </w:p>
    <w:p w14:paraId="662078E8" w14:textId="77777777" w:rsidR="006E1AE2" w:rsidRPr="006E1AE2" w:rsidRDefault="006E1AE2" w:rsidP="006E1AE2">
      <w:pPr>
        <w:numPr>
          <w:ilvl w:val="0"/>
          <w:numId w:val="6"/>
        </w:numPr>
        <w:rPr>
          <w:sz w:val="28"/>
          <w:szCs w:val="28"/>
        </w:rPr>
      </w:pPr>
      <w:r w:rsidRPr="006E1AE2">
        <w:rPr>
          <w:b/>
          <w:bCs/>
          <w:sz w:val="28"/>
          <w:szCs w:val="28"/>
        </w:rPr>
        <w:t>Estatuto de Neutralidad Analítica, Gobernanza de Datos y Exclusión de Contingencias:</w:t>
      </w:r>
      <w:r w:rsidRPr="006E1AE2">
        <w:rPr>
          <w:sz w:val="28"/>
          <w:szCs w:val="28"/>
        </w:rPr>
        <w:t xml:space="preserve"> La sociedad establece los siguientes términos de uso de información y límites de responsabilidad legal, los cuales son aceptados de forma tácita e irrevocable por cualquier entidad, corporación, holding o tercero que acceda a esta plataforma o interactúe con sus protocolos: </w:t>
      </w:r>
    </w:p>
    <w:p w14:paraId="06CB3992" w14:textId="77777777" w:rsidR="006E1AE2" w:rsidRPr="006E1AE2" w:rsidRDefault="006E1AE2" w:rsidP="006E1AE2">
      <w:pPr>
        <w:numPr>
          <w:ilvl w:val="1"/>
          <w:numId w:val="6"/>
        </w:numPr>
        <w:rPr>
          <w:sz w:val="28"/>
          <w:szCs w:val="28"/>
        </w:rPr>
      </w:pPr>
      <w:r w:rsidRPr="006E1AE2">
        <w:rPr>
          <w:i/>
          <w:iCs/>
          <w:sz w:val="28"/>
          <w:szCs w:val="28"/>
        </w:rPr>
        <w:t>Protocolo Exógeno de Prospección Analítica Pasiva:</w:t>
      </w:r>
      <w:r w:rsidRPr="006E1AE2">
        <w:rPr>
          <w:sz w:val="28"/>
          <w:szCs w:val="28"/>
        </w:rPr>
        <w:t xml:space="preserve"> En ausencia de un contrato de consultoría pericial formal, el motor analítico opera de forma estrictamente desconectada del entorno corporativo. El sistema recopila, procesa y evalúa única y exclusivamente datos e informaciones de carácter público, real, validado y </w:t>
      </w:r>
      <w:r w:rsidRPr="006E1AE2">
        <w:rPr>
          <w:sz w:val="28"/>
          <w:szCs w:val="28"/>
        </w:rPr>
        <w:lastRenderedPageBreak/>
        <w:t xml:space="preserve">publicados de forma voluntaria por la propia entidad diana, registros mercantiles centralizados, diarios oficiales o autoridades de supervisión regulatoria. La firma actúa como un mero agente analítico e independiente, declinando toda responsabilidad sobre la veracidad, actualización o eventual sesgo de las cuentas y estados financieros de origen publicados por dichos terceros. </w:t>
      </w:r>
    </w:p>
    <w:p w14:paraId="3D6C4EFC" w14:textId="77777777" w:rsidR="006E1AE2" w:rsidRPr="006E1AE2" w:rsidRDefault="006E1AE2" w:rsidP="006E1AE2">
      <w:pPr>
        <w:numPr>
          <w:ilvl w:val="1"/>
          <w:numId w:val="6"/>
        </w:numPr>
        <w:rPr>
          <w:sz w:val="28"/>
          <w:szCs w:val="28"/>
        </w:rPr>
      </w:pPr>
      <w:r w:rsidRPr="006E1AE2">
        <w:rPr>
          <w:i/>
          <w:iCs/>
          <w:sz w:val="28"/>
          <w:szCs w:val="28"/>
        </w:rPr>
        <w:t>Protocolo Endógeno de Intervención por Contratación Expresa:</w:t>
      </w:r>
      <w:r w:rsidRPr="006E1AE2">
        <w:rPr>
          <w:sz w:val="28"/>
          <w:szCs w:val="28"/>
        </w:rPr>
        <w:t xml:space="preserve"> En el supuesto de que la corporación suscriba formalmente las fases operativas de control o detección de sangrías financieras, se activa el protocolo de Sustancia Informativa Concedida. Bajo este marco contractual, el cliente autoriza de manera expresa, informada e irrevocable el rastreo analítico y asume la obligación estricta de nutrir, abastecer y facilitar de forma voluntaria y proactiva a la plataforma todos los flujos de datos contables, fiscales, operativos y bancarios necesarios para la ejecución del peritaje forense. </w:t>
      </w:r>
    </w:p>
    <w:p w14:paraId="7F1EF52E" w14:textId="77777777" w:rsidR="006E1AE2" w:rsidRPr="006E1AE2" w:rsidRDefault="006E1AE2" w:rsidP="006E1AE2">
      <w:pPr>
        <w:numPr>
          <w:ilvl w:val="1"/>
          <w:numId w:val="6"/>
        </w:numPr>
        <w:rPr>
          <w:sz w:val="28"/>
          <w:szCs w:val="28"/>
        </w:rPr>
      </w:pPr>
      <w:r w:rsidRPr="006E1AE2">
        <w:rPr>
          <w:i/>
          <w:iCs/>
          <w:sz w:val="28"/>
          <w:szCs w:val="28"/>
        </w:rPr>
        <w:t>Cláusula de Indemnidad Absoluta e Inversión del Cumplimiento (</w:t>
      </w:r>
      <w:proofErr w:type="spellStart"/>
      <w:r w:rsidRPr="006E1AE2">
        <w:rPr>
          <w:i/>
          <w:iCs/>
          <w:sz w:val="28"/>
          <w:szCs w:val="28"/>
        </w:rPr>
        <w:t>Compliance</w:t>
      </w:r>
      <w:proofErr w:type="spellEnd"/>
      <w:r w:rsidRPr="006E1AE2">
        <w:rPr>
          <w:i/>
          <w:iCs/>
          <w:sz w:val="28"/>
          <w:szCs w:val="28"/>
        </w:rPr>
        <w:t xml:space="preserve"> </w:t>
      </w:r>
      <w:proofErr w:type="spellStart"/>
      <w:r w:rsidRPr="006E1AE2">
        <w:rPr>
          <w:i/>
          <w:iCs/>
          <w:sz w:val="28"/>
          <w:szCs w:val="28"/>
        </w:rPr>
        <w:t>Indemnity</w:t>
      </w:r>
      <w:proofErr w:type="spellEnd"/>
      <w:r w:rsidRPr="006E1AE2">
        <w:rPr>
          <w:i/>
          <w:iCs/>
          <w:sz w:val="28"/>
          <w:szCs w:val="28"/>
        </w:rPr>
        <w:t>):</w:t>
      </w:r>
      <w:r w:rsidRPr="006E1AE2">
        <w:rPr>
          <w:sz w:val="28"/>
          <w:szCs w:val="28"/>
        </w:rPr>
        <w:t xml:space="preserve"> En la modalidad de intervención endógena, la entidad contratante asume la obligación de nutrir la plataforma y la total, exclusiva e incondicional responsabilidad legal de garantizar que toda la información, bases de datos, extractos bancarios y documentación corporativa provista ha sido obtenida, tratada y transferida de conformidad con la legislación local e internacional aplicable (incluyendo normativas de protección de datos, directivas de secretos comerciales y pactos de confidencialidad cruzados con terceros). La entidad cliente exonera, blinda y mantendrá indemne a la firma, a su personal y a su dirección técnica ante cualquier reclamación, litigio, sanción administrativa, contingencia civil, mercantil o de orden penal que traiga causa del </w:t>
      </w:r>
      <w:r w:rsidRPr="006E1AE2">
        <w:rPr>
          <w:sz w:val="28"/>
          <w:szCs w:val="28"/>
        </w:rPr>
        <w:lastRenderedPageBreak/>
        <w:t xml:space="preserve">origen, licitud, integridad o custodia de dicha documentación. </w:t>
      </w:r>
    </w:p>
    <w:p w14:paraId="61B0EB88" w14:textId="77777777" w:rsidR="006E1AE2" w:rsidRPr="006E1AE2" w:rsidRDefault="006E1AE2" w:rsidP="006E1AE2">
      <w:pPr>
        <w:numPr>
          <w:ilvl w:val="1"/>
          <w:numId w:val="6"/>
        </w:numPr>
        <w:rPr>
          <w:sz w:val="28"/>
          <w:szCs w:val="28"/>
        </w:rPr>
      </w:pPr>
      <w:r w:rsidRPr="006E1AE2">
        <w:rPr>
          <w:i/>
          <w:iCs/>
          <w:sz w:val="28"/>
          <w:szCs w:val="28"/>
        </w:rPr>
        <w:t xml:space="preserve">Exclusión de Funciones Ejecutivas y </w:t>
      </w:r>
      <w:proofErr w:type="gramStart"/>
      <w:r w:rsidRPr="006E1AE2">
        <w:rPr>
          <w:i/>
          <w:iCs/>
          <w:sz w:val="28"/>
          <w:szCs w:val="28"/>
        </w:rPr>
        <w:t>Co-Dirección</w:t>
      </w:r>
      <w:proofErr w:type="gramEnd"/>
      <w:r w:rsidRPr="006E1AE2">
        <w:rPr>
          <w:i/>
          <w:iCs/>
          <w:sz w:val="28"/>
          <w:szCs w:val="28"/>
        </w:rPr>
        <w:t>:</w:t>
      </w:r>
      <w:r w:rsidRPr="006E1AE2">
        <w:rPr>
          <w:sz w:val="28"/>
          <w:szCs w:val="28"/>
        </w:rPr>
        <w:t xml:space="preserve"> Los informes de varianza residual y dictámenes emitidos por la firma constituyen herramientas analíticas de peritaje y detección estocástica. No constituyen asesoramiento financiero normativo, consultoría de inversión legalizada, ni implican la asunción de funciones de </w:t>
      </w:r>
      <w:proofErr w:type="spellStart"/>
      <w:r w:rsidRPr="006E1AE2">
        <w:rPr>
          <w:sz w:val="28"/>
          <w:szCs w:val="28"/>
        </w:rPr>
        <w:t>co-gobernanza</w:t>
      </w:r>
      <w:proofErr w:type="spellEnd"/>
      <w:r w:rsidRPr="006E1AE2">
        <w:rPr>
          <w:sz w:val="28"/>
          <w:szCs w:val="28"/>
        </w:rPr>
        <w:t xml:space="preserve"> o responsabilidad delegada en la gestión de la empresa cliente. La toma de decisiones estratégicas, la ejecución material de las reclamaciones propuestas y la dirección ordinaria contable siguen siendo competencia exclusiva e indelegable de los administradores del holding contratante, desvinculando por completo a la sociedad de las repercusiones de su implementación. </w:t>
      </w:r>
    </w:p>
    <w:p w14:paraId="5B48AA21" w14:textId="77777777" w:rsidR="006E1AE2" w:rsidRPr="006E1AE2" w:rsidRDefault="006E1AE2" w:rsidP="006E1AE2">
      <w:pPr>
        <w:numPr>
          <w:ilvl w:val="0"/>
          <w:numId w:val="6"/>
        </w:numPr>
        <w:rPr>
          <w:sz w:val="28"/>
          <w:szCs w:val="28"/>
        </w:rPr>
      </w:pPr>
      <w:r w:rsidRPr="006E1AE2">
        <w:rPr>
          <w:b/>
          <w:bCs/>
          <w:sz w:val="28"/>
          <w:szCs w:val="28"/>
        </w:rPr>
        <w:t>Compatibilidad Internacional KYC / AML y Sustancia Económica:</w:t>
      </w:r>
    </w:p>
    <w:p w14:paraId="0DB39925" w14:textId="77777777" w:rsidR="006E1AE2" w:rsidRPr="006E1AE2" w:rsidRDefault="006E1AE2" w:rsidP="006E1AE2">
      <w:pPr>
        <w:numPr>
          <w:ilvl w:val="1"/>
          <w:numId w:val="7"/>
        </w:numPr>
        <w:rPr>
          <w:sz w:val="28"/>
          <w:szCs w:val="28"/>
        </w:rPr>
      </w:pPr>
      <w:r w:rsidRPr="006E1AE2">
        <w:rPr>
          <w:i/>
          <w:iCs/>
          <w:sz w:val="28"/>
          <w:szCs w:val="28"/>
        </w:rPr>
        <w:t>Sustancia Económica Validada:</w:t>
      </w:r>
      <w:r w:rsidRPr="006E1AE2">
        <w:rPr>
          <w:sz w:val="28"/>
          <w:szCs w:val="28"/>
        </w:rPr>
        <w:t xml:space="preserve"> La sociedad certifica que no almacena, distribuye, gestiona ni procesa fondos de terceros en sus servidores, operando estrictamente mediante el cobro de cánones de </w:t>
      </w:r>
      <w:proofErr w:type="spellStart"/>
      <w:r w:rsidRPr="006E1AE2">
        <w:rPr>
          <w:sz w:val="28"/>
          <w:szCs w:val="28"/>
        </w:rPr>
        <w:t>retainer</w:t>
      </w:r>
      <w:proofErr w:type="spellEnd"/>
      <w:r w:rsidRPr="006E1AE2">
        <w:rPr>
          <w:sz w:val="28"/>
          <w:szCs w:val="28"/>
        </w:rPr>
        <w:t xml:space="preserve"> e intereses de éxito pericial devengados legítimamente. </w:t>
      </w:r>
    </w:p>
    <w:p w14:paraId="3E06DC29" w14:textId="77777777" w:rsidR="006E1AE2" w:rsidRPr="006E1AE2" w:rsidRDefault="006E1AE2" w:rsidP="006E1AE2">
      <w:pPr>
        <w:numPr>
          <w:ilvl w:val="1"/>
          <w:numId w:val="7"/>
        </w:numPr>
        <w:rPr>
          <w:sz w:val="28"/>
          <w:szCs w:val="28"/>
        </w:rPr>
      </w:pPr>
      <w:r w:rsidRPr="006E1AE2">
        <w:rPr>
          <w:i/>
          <w:iCs/>
          <w:sz w:val="28"/>
          <w:szCs w:val="28"/>
        </w:rPr>
        <w:t>Compatibilidad Transatlántica:</w:t>
      </w:r>
      <w:r w:rsidRPr="006E1AE2">
        <w:rPr>
          <w:sz w:val="28"/>
          <w:szCs w:val="28"/>
        </w:rPr>
        <w:t xml:space="preserve"> La delimitación jurídica de esta sección permite superar los filtros de Conozca a su Cliente (KYC) y Prevención de Blanqueo de Capitales (AML) exigidos por los reguladores e instituciones financieras internacionales (incluyendo Banco de España, FINMA, CSSF y SEC), al clasificar la actividad como una prestación pura de servicios intelectuales y peritaje forense de autor. </w:t>
      </w:r>
    </w:p>
    <w:p w14:paraId="2838E1D2" w14:textId="77777777" w:rsidR="006E1AE2" w:rsidRPr="006E1AE2" w:rsidRDefault="006E1AE2" w:rsidP="006E1AE2">
      <w:pPr>
        <w:numPr>
          <w:ilvl w:val="0"/>
          <w:numId w:val="6"/>
        </w:numPr>
        <w:rPr>
          <w:sz w:val="28"/>
          <w:szCs w:val="28"/>
        </w:rPr>
      </w:pPr>
      <w:r w:rsidRPr="006E1AE2">
        <w:rPr>
          <w:b/>
          <w:bCs/>
          <w:sz w:val="28"/>
          <w:szCs w:val="28"/>
        </w:rPr>
        <w:t>Embudo Jerárquico Predictivo: Módulo VEC-ALPHA (Vector de Elasticidad Crítica):</w:t>
      </w:r>
      <w:r w:rsidRPr="006E1AE2">
        <w:rPr>
          <w:sz w:val="28"/>
          <w:szCs w:val="28"/>
        </w:rPr>
        <w:t xml:space="preserve"> Para erradicar la naturaleza reactiva de los análisis financieros forenses, el </w:t>
      </w:r>
      <w:proofErr w:type="spellStart"/>
      <w:r w:rsidRPr="006E1AE2">
        <w:rPr>
          <w:sz w:val="28"/>
          <w:szCs w:val="28"/>
        </w:rPr>
        <w:t>framework</w:t>
      </w:r>
      <w:proofErr w:type="spellEnd"/>
      <w:r w:rsidRPr="006E1AE2">
        <w:rPr>
          <w:sz w:val="28"/>
          <w:szCs w:val="28"/>
        </w:rPr>
        <w:t xml:space="preserve"> incorpora de forma </w:t>
      </w:r>
      <w:r w:rsidRPr="006E1AE2">
        <w:rPr>
          <w:sz w:val="28"/>
          <w:szCs w:val="28"/>
        </w:rPr>
        <w:lastRenderedPageBreak/>
        <w:t xml:space="preserve">integrada el submódulo VEC-ALPHA, actuando como un embudo predictivo secuencial de dos fases para emitir un aviso con una ventana de anticipación crítica de 45 días antes de que el impacto dañe de forma irreversible el EBITDA contable. </w:t>
      </w:r>
    </w:p>
    <w:p w14:paraId="293BEF5C" w14:textId="77777777" w:rsidR="006E1AE2" w:rsidRPr="006E1AE2" w:rsidRDefault="006E1AE2" w:rsidP="006E1AE2">
      <w:pPr>
        <w:numPr>
          <w:ilvl w:val="1"/>
          <w:numId w:val="8"/>
        </w:numPr>
        <w:rPr>
          <w:sz w:val="28"/>
          <w:szCs w:val="28"/>
        </w:rPr>
      </w:pPr>
      <w:r w:rsidRPr="006E1AE2">
        <w:rPr>
          <w:i/>
          <w:iCs/>
          <w:sz w:val="28"/>
          <w:szCs w:val="28"/>
        </w:rPr>
        <w:t xml:space="preserve">Fase I: El Guardián en la Puerta (Markov </w:t>
      </w:r>
      <w:proofErr w:type="spellStart"/>
      <w:r w:rsidRPr="006E1AE2">
        <w:rPr>
          <w:i/>
          <w:iCs/>
          <w:sz w:val="28"/>
          <w:szCs w:val="28"/>
        </w:rPr>
        <w:t>Switching</w:t>
      </w:r>
      <w:proofErr w:type="spellEnd"/>
      <w:r w:rsidRPr="006E1AE2">
        <w:rPr>
          <w:i/>
          <w:iCs/>
          <w:sz w:val="28"/>
          <w:szCs w:val="28"/>
        </w:rPr>
        <w:t xml:space="preserve"> Model):</w:t>
      </w:r>
      <w:r w:rsidRPr="006E1AE2">
        <w:rPr>
          <w:sz w:val="28"/>
          <w:szCs w:val="28"/>
        </w:rPr>
        <w:t xml:space="preserve"> La señal procesada exógenamente es monitorizada permanentemente por un modelo de cambio de régimen de Markov de primer orden con un espacio de estados ocultos y discretos que segmenta la estabilidad operativa frente a la degradación financiera por extracción pasiva. Mediante la aplicación del Filtro de Hamilton, si la probabilidad filtrada de estar bajo el régimen de degradación cruza de forma sostenida el umbral crítico establecido en el 50%, la Fase II del embudo se inyecta de inmediato en caliente. </w:t>
      </w:r>
    </w:p>
    <w:p w14:paraId="7B5A6D7E" w14:textId="77777777" w:rsidR="006E1AE2" w:rsidRPr="006E1AE2" w:rsidRDefault="006E1AE2" w:rsidP="006E1AE2">
      <w:pPr>
        <w:numPr>
          <w:ilvl w:val="1"/>
          <w:numId w:val="8"/>
        </w:numPr>
        <w:rPr>
          <w:sz w:val="28"/>
          <w:szCs w:val="28"/>
        </w:rPr>
      </w:pPr>
      <w:r w:rsidRPr="006E1AE2">
        <w:rPr>
          <w:i/>
          <w:iCs/>
          <w:sz w:val="28"/>
          <w:szCs w:val="28"/>
        </w:rPr>
        <w:t>Fase II: El Escáner de Elasticidad Dinámica (Métrica Lag-1):</w:t>
      </w:r>
      <w:r w:rsidRPr="006E1AE2">
        <w:rPr>
          <w:sz w:val="28"/>
          <w:szCs w:val="28"/>
        </w:rPr>
        <w:t xml:space="preserve"> El </w:t>
      </w:r>
      <w:proofErr w:type="spellStart"/>
      <w:r w:rsidRPr="006E1AE2">
        <w:rPr>
          <w:sz w:val="28"/>
          <w:szCs w:val="28"/>
        </w:rPr>
        <w:t>framework</w:t>
      </w:r>
      <w:proofErr w:type="spellEnd"/>
      <w:r w:rsidRPr="006E1AE2">
        <w:rPr>
          <w:sz w:val="28"/>
          <w:szCs w:val="28"/>
        </w:rPr>
        <w:t xml:space="preserve"> evalúa el fenómeno macroeconómico de la Desaceleración Crítica (</w:t>
      </w:r>
      <w:proofErr w:type="spellStart"/>
      <w:r w:rsidRPr="006E1AE2">
        <w:rPr>
          <w:i/>
          <w:iCs/>
          <w:sz w:val="28"/>
          <w:szCs w:val="28"/>
        </w:rPr>
        <w:t>Critical</w:t>
      </w:r>
      <w:proofErr w:type="spellEnd"/>
      <w:r w:rsidRPr="006E1AE2">
        <w:rPr>
          <w:i/>
          <w:iCs/>
          <w:sz w:val="28"/>
          <w:szCs w:val="28"/>
        </w:rPr>
        <w:t xml:space="preserve"> </w:t>
      </w:r>
      <w:proofErr w:type="spellStart"/>
      <w:r w:rsidRPr="006E1AE2">
        <w:rPr>
          <w:i/>
          <w:iCs/>
          <w:sz w:val="28"/>
          <w:szCs w:val="28"/>
        </w:rPr>
        <w:t>Slowing</w:t>
      </w:r>
      <w:proofErr w:type="spellEnd"/>
      <w:r w:rsidRPr="006E1AE2">
        <w:rPr>
          <w:i/>
          <w:iCs/>
          <w:sz w:val="28"/>
          <w:szCs w:val="28"/>
        </w:rPr>
        <w:t xml:space="preserve"> Down</w:t>
      </w:r>
      <w:r w:rsidRPr="006E1AE2">
        <w:rPr>
          <w:sz w:val="28"/>
          <w:szCs w:val="28"/>
        </w:rPr>
        <w:t xml:space="preserve">), donde el sistema financiero interno pierde su capacidad elástica para disipar perturbaciones. Se calcula el coeficiente de autocorrelación a corto plazo de primer orden sobre los residuos estandarizados. Cuando el indicador de fatiga de materiales financieros alcanza asintóticamente la unidad, encendiendo la alerta de colisión contable, se desencadena la emisión de una firma criptográfica única de alerta asimétrica de resolución </w:t>
      </w:r>
      <w:proofErr w:type="spellStart"/>
      <w:r w:rsidRPr="006E1AE2">
        <w:rPr>
          <w:sz w:val="28"/>
          <w:szCs w:val="28"/>
        </w:rPr>
        <w:t>express</w:t>
      </w:r>
      <w:proofErr w:type="spellEnd"/>
      <w:r w:rsidRPr="006E1AE2">
        <w:rPr>
          <w:sz w:val="28"/>
          <w:szCs w:val="28"/>
        </w:rPr>
        <w:t xml:space="preserve"> unificada en un umbral estricto de 45 días antes de la manifestación visible en el balance corporativo. </w:t>
      </w:r>
    </w:p>
    <w:p w14:paraId="57276924" w14:textId="77777777" w:rsidR="006E1AE2" w:rsidRPr="006E1AE2" w:rsidRDefault="006E1AE2" w:rsidP="006E1AE2">
      <w:pPr>
        <w:numPr>
          <w:ilvl w:val="0"/>
          <w:numId w:val="6"/>
        </w:numPr>
        <w:rPr>
          <w:sz w:val="28"/>
          <w:szCs w:val="28"/>
        </w:rPr>
      </w:pPr>
      <w:r w:rsidRPr="006E1AE2">
        <w:rPr>
          <w:b/>
          <w:bCs/>
          <w:sz w:val="28"/>
          <w:szCs w:val="28"/>
        </w:rPr>
        <w:t>Archivo de Control: Cláusula de Exclusión Operativa (Medidas Antisabotaje):</w:t>
      </w:r>
      <w:r w:rsidRPr="006E1AE2">
        <w:rPr>
          <w:sz w:val="28"/>
          <w:szCs w:val="28"/>
        </w:rPr>
        <w:t xml:space="preserve"> Se prohíbe explícitamente la inyección o ejecución automatizada de algoritmos de Entropía Multiescala dentro de los bucles de análisis continuo en tiempo real del motor. Su uso introduce alta volatilidad artificial y sobreajuste computacional (</w:t>
      </w:r>
      <w:proofErr w:type="spellStart"/>
      <w:r w:rsidRPr="006E1AE2">
        <w:rPr>
          <w:i/>
          <w:iCs/>
          <w:sz w:val="28"/>
          <w:szCs w:val="28"/>
        </w:rPr>
        <w:t>overfitting</w:t>
      </w:r>
      <w:proofErr w:type="spellEnd"/>
      <w:r w:rsidRPr="006E1AE2">
        <w:rPr>
          <w:sz w:val="28"/>
          <w:szCs w:val="28"/>
        </w:rPr>
        <w:t xml:space="preserve">) ante señales estocásticas exógenas. </w:t>
      </w:r>
      <w:r w:rsidRPr="006E1AE2">
        <w:rPr>
          <w:sz w:val="28"/>
          <w:szCs w:val="28"/>
        </w:rPr>
        <w:lastRenderedPageBreak/>
        <w:t xml:space="preserve">Las métricas de regularidad de entropía quedan estrictamente limitadas a protocolos de peritaje forense manual extraordinario y bajo demanda expresa de la dirección técnica. </w:t>
      </w:r>
    </w:p>
    <w:p w14:paraId="1DF97959" w14:textId="77777777" w:rsidR="006E1AE2" w:rsidRPr="006E1AE2" w:rsidRDefault="006E1AE2" w:rsidP="006E1AE2">
      <w:pPr>
        <w:numPr>
          <w:ilvl w:val="0"/>
          <w:numId w:val="6"/>
        </w:numPr>
        <w:rPr>
          <w:sz w:val="28"/>
          <w:szCs w:val="28"/>
        </w:rPr>
      </w:pPr>
      <w:r w:rsidRPr="006E1AE2">
        <w:rPr>
          <w:b/>
          <w:bCs/>
          <w:sz w:val="28"/>
          <w:szCs w:val="28"/>
        </w:rPr>
        <w:t>Mandato Obligatorio de Salida: Protocolo Máster de Cierre Forense:</w:t>
      </w:r>
      <w:r w:rsidRPr="006E1AE2">
        <w:rPr>
          <w:sz w:val="28"/>
          <w:szCs w:val="28"/>
        </w:rPr>
        <w:t xml:space="preserve"> Queda establecido por orden expresa y jerárquica de la Presidencia Ejecutiva que todo análisis profundo finalizado sobre una corporación deberá incluir obligatoriamente, como paso previo a su validación o rechazo, la siguiente estructura analítica de conclusiones fijas: </w:t>
      </w:r>
    </w:p>
    <w:p w14:paraId="06B11B0F" w14:textId="77777777" w:rsidR="006E1AE2" w:rsidRPr="006E1AE2" w:rsidRDefault="006E1AE2" w:rsidP="006E1AE2">
      <w:pPr>
        <w:numPr>
          <w:ilvl w:val="1"/>
          <w:numId w:val="9"/>
        </w:numPr>
        <w:rPr>
          <w:sz w:val="28"/>
          <w:szCs w:val="28"/>
        </w:rPr>
      </w:pPr>
      <w:r w:rsidRPr="006E1AE2">
        <w:rPr>
          <w:sz w:val="28"/>
          <w:szCs w:val="28"/>
        </w:rPr>
        <w:t>IMPORTE EN EUROS DE LA SANGRÍA DETECTADA: [Cifra en € absolutos aislada por las capas del algoritmo]</w:t>
      </w:r>
    </w:p>
    <w:p w14:paraId="5367CC1D" w14:textId="77777777" w:rsidR="006E1AE2" w:rsidRPr="006E1AE2" w:rsidRDefault="006E1AE2" w:rsidP="006E1AE2">
      <w:pPr>
        <w:numPr>
          <w:ilvl w:val="1"/>
          <w:numId w:val="9"/>
        </w:numPr>
        <w:rPr>
          <w:sz w:val="28"/>
          <w:szCs w:val="28"/>
        </w:rPr>
      </w:pPr>
      <w:r w:rsidRPr="006E1AE2">
        <w:rPr>
          <w:sz w:val="28"/>
          <w:szCs w:val="28"/>
        </w:rPr>
        <w:t xml:space="preserve">IMPORTE EN EUROS DEL COSTE DE OPORTUNIDAD DE ESA COMPAÑÍA: [Cálculo del secuestro estocástico mediante el diferencial de la integral de </w:t>
      </w:r>
      <w:proofErr w:type="spellStart"/>
      <w:r w:rsidRPr="006E1AE2">
        <w:rPr>
          <w:sz w:val="28"/>
          <w:szCs w:val="28"/>
        </w:rPr>
        <w:t>float</w:t>
      </w:r>
      <w:proofErr w:type="spellEnd"/>
      <w:r w:rsidRPr="006E1AE2">
        <w:rPr>
          <w:sz w:val="28"/>
          <w:szCs w:val="28"/>
        </w:rPr>
        <w:t>]</w:t>
      </w:r>
    </w:p>
    <w:p w14:paraId="500E612E" w14:textId="77777777" w:rsidR="006E1AE2" w:rsidRPr="006E1AE2" w:rsidRDefault="006E1AE2" w:rsidP="006E1AE2">
      <w:pPr>
        <w:numPr>
          <w:ilvl w:val="1"/>
          <w:numId w:val="9"/>
        </w:numPr>
        <w:rPr>
          <w:sz w:val="28"/>
          <w:szCs w:val="28"/>
        </w:rPr>
      </w:pPr>
      <w:r w:rsidRPr="006E1AE2">
        <w:rPr>
          <w:sz w:val="28"/>
          <w:szCs w:val="28"/>
        </w:rPr>
        <w:t>NOMBRE DE LA COMPAÑÍA QUE SUFRE LA SANGRÍA: [Denominación social y CIF verificado de la diana a través de North Data]</w:t>
      </w:r>
    </w:p>
    <w:p w14:paraId="52B30A16" w14:textId="77777777" w:rsidR="006E1AE2" w:rsidRPr="006E1AE2" w:rsidRDefault="006E1AE2" w:rsidP="006E1AE2">
      <w:pPr>
        <w:numPr>
          <w:ilvl w:val="1"/>
          <w:numId w:val="9"/>
        </w:numPr>
        <w:rPr>
          <w:sz w:val="28"/>
          <w:szCs w:val="28"/>
        </w:rPr>
      </w:pPr>
      <w:r w:rsidRPr="006E1AE2">
        <w:rPr>
          <w:sz w:val="28"/>
          <w:szCs w:val="28"/>
        </w:rPr>
        <w:t>DETALLE DEL CONCEPTO DE ESA SANGRÍA: [Concepto técnico estructurado de la fuga según los Vectores I a VI interceptados]</w:t>
      </w:r>
    </w:p>
    <w:p w14:paraId="3996C8CE" w14:textId="77777777" w:rsidR="006E1AE2" w:rsidRPr="006E1AE2" w:rsidRDefault="006E1AE2" w:rsidP="006E1AE2">
      <w:pPr>
        <w:numPr>
          <w:ilvl w:val="1"/>
          <w:numId w:val="9"/>
        </w:numPr>
        <w:rPr>
          <w:sz w:val="28"/>
          <w:szCs w:val="28"/>
        </w:rPr>
      </w:pPr>
      <w:r w:rsidRPr="006E1AE2">
        <w:rPr>
          <w:sz w:val="28"/>
          <w:szCs w:val="28"/>
        </w:rPr>
        <w:t>DETALLE DEL CONCEPTO DEL COSTE DE OPORTUNIDAD: [Brecha de rendimiento operativo frente a la frontera teórica y tasas libres de riesgo]</w:t>
      </w:r>
    </w:p>
    <w:p w14:paraId="68A2665E" w14:textId="77777777" w:rsidR="006E1AE2" w:rsidRPr="006E1AE2" w:rsidRDefault="006E1AE2" w:rsidP="006E1AE2">
      <w:pPr>
        <w:numPr>
          <w:ilvl w:val="1"/>
          <w:numId w:val="9"/>
        </w:numPr>
        <w:rPr>
          <w:sz w:val="28"/>
          <w:szCs w:val="28"/>
        </w:rPr>
      </w:pPr>
      <w:r w:rsidRPr="006E1AE2">
        <w:rPr>
          <w:sz w:val="28"/>
          <w:szCs w:val="28"/>
        </w:rPr>
        <w:t>QUÉ PARTIDA CONTABLE DEL EBITDA PODRÍAMOS MEJORAR: [Partida exacta de la cuenta de pérdidas y ganancias a impactar: aprovisionamientos, consumos, transportes, etc.]</w:t>
      </w:r>
    </w:p>
    <w:p w14:paraId="393E14B1" w14:textId="77777777" w:rsidR="006E1AE2" w:rsidRPr="006E1AE2" w:rsidRDefault="006E1AE2" w:rsidP="006E1AE2">
      <w:pPr>
        <w:numPr>
          <w:ilvl w:val="1"/>
          <w:numId w:val="9"/>
        </w:numPr>
        <w:rPr>
          <w:sz w:val="28"/>
          <w:szCs w:val="28"/>
        </w:rPr>
      </w:pPr>
      <w:proofErr w:type="gramStart"/>
      <w:r w:rsidRPr="006E1AE2">
        <w:rPr>
          <w:sz w:val="28"/>
          <w:szCs w:val="28"/>
        </w:rPr>
        <w:t>IMPORTE A PERCIBIR</w:t>
      </w:r>
      <w:proofErr w:type="gramEnd"/>
      <w:r w:rsidRPr="006E1AE2">
        <w:rPr>
          <w:sz w:val="28"/>
          <w:szCs w:val="28"/>
        </w:rPr>
        <w:t xml:space="preserve"> EN EUROS POR LUXE VELA PRIVE STRATEGIC CONSULTING SL: [Cálculo estricto aplicando las tasas de éxito por Tramos (10%, 15% o 25%) o suelos obligatorios indexados a la masa crítica]</w:t>
      </w:r>
    </w:p>
    <w:p w14:paraId="1DAC9D66" w14:textId="77777777" w:rsidR="006E1AE2" w:rsidRPr="006E1AE2" w:rsidRDefault="006E1AE2" w:rsidP="006E1AE2">
      <w:pPr>
        <w:numPr>
          <w:ilvl w:val="0"/>
          <w:numId w:val="6"/>
        </w:numPr>
        <w:rPr>
          <w:sz w:val="28"/>
          <w:szCs w:val="28"/>
        </w:rPr>
      </w:pPr>
      <w:r w:rsidRPr="006E1AE2">
        <w:rPr>
          <w:b/>
          <w:bCs/>
          <w:sz w:val="28"/>
          <w:szCs w:val="28"/>
        </w:rPr>
        <w:lastRenderedPageBreak/>
        <w:t>Módulo de Enrutamiento Institucional:</w:t>
      </w:r>
      <w:r w:rsidRPr="006E1AE2">
        <w:rPr>
          <w:sz w:val="28"/>
          <w:szCs w:val="28"/>
        </w:rPr>
        <w:t xml:space="preserve"> [ </w:t>
      </w:r>
      <w:r w:rsidRPr="006E1AE2">
        <w:rPr>
          <w:rFonts w:ascii="Segoe UI Emoji" w:hAnsi="Segoe UI Emoji" w:cs="Segoe UI Emoji"/>
          <w:sz w:val="28"/>
          <w:szCs w:val="28"/>
        </w:rPr>
        <w:t>⚡</w:t>
      </w:r>
      <w:r w:rsidRPr="006E1AE2">
        <w:rPr>
          <w:sz w:val="28"/>
          <w:szCs w:val="28"/>
        </w:rPr>
        <w:t xml:space="preserve"> SOLICITAR ACCESO A DOSSIER REGISTRAL </w:t>
      </w:r>
      <w:proofErr w:type="gramStart"/>
      <w:r w:rsidRPr="006E1AE2">
        <w:rPr>
          <w:sz w:val="28"/>
          <w:szCs w:val="28"/>
        </w:rPr>
        <w:t>CIFRADO ]</w:t>
      </w:r>
      <w:proofErr w:type="gramEnd"/>
    </w:p>
    <w:p w14:paraId="021F1665" w14:textId="77777777" w:rsidR="006E1AE2" w:rsidRPr="006E1AE2" w:rsidRDefault="006E1AE2" w:rsidP="006E1AE2">
      <w:pPr>
        <w:rPr>
          <w:b/>
          <w:bCs/>
          <w:sz w:val="28"/>
          <w:szCs w:val="28"/>
        </w:rPr>
      </w:pPr>
      <w:r w:rsidRPr="006E1AE2">
        <w:rPr>
          <w:rFonts w:ascii="Segoe UI Emoji" w:hAnsi="Segoe UI Emoji" w:cs="Segoe UI Emoji"/>
          <w:b/>
          <w:bCs/>
          <w:sz w:val="28"/>
          <w:szCs w:val="28"/>
        </w:rPr>
        <w:t>📑</w:t>
      </w:r>
      <w:r w:rsidRPr="006E1AE2">
        <w:rPr>
          <w:b/>
          <w:bCs/>
          <w:sz w:val="28"/>
          <w:szCs w:val="28"/>
        </w:rPr>
        <w:t xml:space="preserve"> BLOCK VI: FOOTER INSTITUCIONAL / DATA VAULT SECURITY PERIMETER</w:t>
      </w:r>
    </w:p>
    <w:p w14:paraId="7DAAC6FA" w14:textId="77777777" w:rsidR="006E1AE2" w:rsidRPr="006E1AE2" w:rsidRDefault="006E1AE2" w:rsidP="006E1AE2">
      <w:pPr>
        <w:rPr>
          <w:sz w:val="28"/>
          <w:szCs w:val="28"/>
        </w:rPr>
      </w:pPr>
      <w:r w:rsidRPr="006E1AE2">
        <w:rPr>
          <w:i/>
          <w:iCs/>
          <w:sz w:val="28"/>
          <w:szCs w:val="28"/>
        </w:rPr>
        <w:t>(Bloque Global Inamovible Fijado en la Base de la Interfaz)</w:t>
      </w:r>
    </w:p>
    <w:p w14:paraId="1BA05E0F" w14:textId="77777777" w:rsidR="006E1AE2" w:rsidRPr="006E1AE2" w:rsidRDefault="006E1AE2" w:rsidP="006E1AE2">
      <w:pPr>
        <w:numPr>
          <w:ilvl w:val="0"/>
          <w:numId w:val="10"/>
        </w:numPr>
        <w:rPr>
          <w:sz w:val="28"/>
          <w:szCs w:val="28"/>
        </w:rPr>
      </w:pPr>
      <w:r w:rsidRPr="006E1AE2">
        <w:rPr>
          <w:b/>
          <w:bCs/>
          <w:sz w:val="28"/>
          <w:szCs w:val="28"/>
        </w:rPr>
        <w:t>Línea 1 — Copyright, Propiedad Intelectual y Soberanía de Autor:</w:t>
      </w:r>
      <w:r w:rsidRPr="006E1AE2">
        <w:rPr>
          <w:sz w:val="28"/>
          <w:szCs w:val="28"/>
        </w:rPr>
        <w:t xml:space="preserve"> © 2026 LUXE VELA PRIVE STRATEGIC CONSULTING SL. Todos los derechos reservados. El algoritmo pericial de control de varianza residual, la arquitectura de intercepción estocástica del </w:t>
      </w:r>
      <w:proofErr w:type="spellStart"/>
      <w:r w:rsidRPr="006E1AE2">
        <w:rPr>
          <w:sz w:val="28"/>
          <w:szCs w:val="28"/>
        </w:rPr>
        <w:t>framework</w:t>
      </w:r>
      <w:proofErr w:type="spellEnd"/>
      <w:r w:rsidRPr="006E1AE2">
        <w:rPr>
          <w:sz w:val="28"/>
          <w:szCs w:val="28"/>
        </w:rPr>
        <w:t xml:space="preserve"> LVP-OMEGA (Versión 3.0) y los desarrollos avanzados de inteligencia artificial dedicados a la detección de spam cognitivo, control de alucinaciones de datos y filtrado de flujos críticos de información constituyen propiedad intelectual inalienable y activos intangibles diseñados, conceptualizados y desarrollados en su totalidad por la presidencia ejecutiva del holding. </w:t>
      </w:r>
    </w:p>
    <w:p w14:paraId="72452BF4" w14:textId="77777777" w:rsidR="006E1AE2" w:rsidRPr="006E1AE2" w:rsidRDefault="006E1AE2" w:rsidP="006E1AE2">
      <w:pPr>
        <w:numPr>
          <w:ilvl w:val="0"/>
          <w:numId w:val="10"/>
        </w:numPr>
        <w:rPr>
          <w:sz w:val="28"/>
          <w:szCs w:val="28"/>
        </w:rPr>
      </w:pPr>
      <w:r w:rsidRPr="006E1AE2">
        <w:rPr>
          <w:b/>
          <w:bCs/>
          <w:sz w:val="28"/>
          <w:szCs w:val="28"/>
        </w:rPr>
        <w:t>Línea 2 — Tasación de Activos Digitales y Cláusula de Indemnización de Dominio:</w:t>
      </w:r>
      <w:r w:rsidRPr="006E1AE2">
        <w:rPr>
          <w:sz w:val="28"/>
          <w:szCs w:val="28"/>
        </w:rPr>
        <w:t xml:space="preserve"> Los desarrollos tecnológicos de inferencia algorítmica y la infraestructura del entorno digital asociado a la detección de spam cognitivo de alta gama se declaran formalmente como activos críticos de explotación económica vinculados al patrimonio de la sociedad principal. Se establece una valoración de adquisición indexada e innegociable del Core del proyecto y sus activos intangibles de 1.500.000 €. Cualquier intento de uso no autorizado, plagio de la arquitectura lógica, réplica de los procesos analíticos o vulneración de los derechos de explotación sobre el ecosistema de IA activará de forma automatizada acciones judiciales transfronterizas de indemnización por daños patrimoniales, sujetas a arbitraje internacional de gran capital. </w:t>
      </w:r>
    </w:p>
    <w:p w14:paraId="62B42CEB" w14:textId="77777777" w:rsidR="006E1AE2" w:rsidRPr="006E1AE2" w:rsidRDefault="006E1AE2" w:rsidP="006E1AE2">
      <w:pPr>
        <w:numPr>
          <w:ilvl w:val="0"/>
          <w:numId w:val="10"/>
        </w:numPr>
        <w:rPr>
          <w:sz w:val="28"/>
          <w:szCs w:val="28"/>
        </w:rPr>
      </w:pPr>
      <w:r w:rsidRPr="006E1AE2">
        <w:rPr>
          <w:b/>
          <w:bCs/>
          <w:sz w:val="28"/>
          <w:szCs w:val="28"/>
        </w:rPr>
        <w:t>Línea 3 — Protocolo de Custodia Criptográfica y Perímetro Estático Inmutable:</w:t>
      </w:r>
      <w:r w:rsidRPr="006E1AE2">
        <w:rPr>
          <w:sz w:val="28"/>
          <w:szCs w:val="28"/>
        </w:rPr>
        <w:t xml:space="preserve"> ADVERTENCIA DE SEGURIDAD OPERATIVA: LUXE VELA PRIVE STRATEGIC CONSULTING SL no almacena </w:t>
      </w:r>
      <w:r w:rsidRPr="006E1AE2">
        <w:rPr>
          <w:sz w:val="28"/>
          <w:szCs w:val="28"/>
        </w:rPr>
        <w:lastRenderedPageBreak/>
        <w:t xml:space="preserve">informes contables forenses, dictámenes periciales, dossiers consolidados de operaciones transatlánticas ni datos analíticos de entidades diana en servidores web comerciales expuestos a la red pública o a procesos de indexación masiva. El archivo de proyectos consolidado y los registros de auditoría exógena se encuentran estrictamente custodiados y aislados en un contenedor digital de seguridad asíncrona con cifrado criptográfico simétrico de extremo a extremo. Queda terminantemente prohibido el uso de </w:t>
      </w:r>
      <w:proofErr w:type="spellStart"/>
      <w:r w:rsidRPr="006E1AE2">
        <w:rPr>
          <w:sz w:val="28"/>
          <w:szCs w:val="28"/>
        </w:rPr>
        <w:t>bots</w:t>
      </w:r>
      <w:proofErr w:type="spellEnd"/>
      <w:r w:rsidRPr="006E1AE2">
        <w:rPr>
          <w:sz w:val="28"/>
          <w:szCs w:val="28"/>
        </w:rPr>
        <w:t>, rastreadores automatizados o herramientas de raspado de datos (</w:t>
      </w:r>
      <w:proofErr w:type="spellStart"/>
      <w:r w:rsidRPr="006E1AE2">
        <w:rPr>
          <w:sz w:val="28"/>
          <w:szCs w:val="28"/>
        </w:rPr>
        <w:t>scraping</w:t>
      </w:r>
      <w:proofErr w:type="spellEnd"/>
      <w:r w:rsidRPr="006E1AE2">
        <w:rPr>
          <w:sz w:val="28"/>
          <w:szCs w:val="28"/>
        </w:rPr>
        <w:t xml:space="preserve">) sobre el perímetro estático de esta interfaz, considerándose cualquier intrusión como una violación del secreto empresarial. </w:t>
      </w:r>
    </w:p>
    <w:p w14:paraId="175E1589" w14:textId="77777777" w:rsidR="003658E8" w:rsidRPr="006E1AE2" w:rsidRDefault="003658E8">
      <w:pPr>
        <w:rPr>
          <w:sz w:val="28"/>
          <w:szCs w:val="28"/>
        </w:rPr>
      </w:pPr>
    </w:p>
    <w:sectPr w:rsidR="003658E8" w:rsidRPr="006E1A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0F2"/>
    <w:multiLevelType w:val="multilevel"/>
    <w:tmpl w:val="F06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24D66"/>
    <w:multiLevelType w:val="multilevel"/>
    <w:tmpl w:val="2458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53CE8"/>
    <w:multiLevelType w:val="multilevel"/>
    <w:tmpl w:val="BB7C0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5469A"/>
    <w:multiLevelType w:val="multilevel"/>
    <w:tmpl w:val="8E3C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71FEC"/>
    <w:multiLevelType w:val="hybridMultilevel"/>
    <w:tmpl w:val="CEB80A1A"/>
    <w:lvl w:ilvl="0" w:tplc="E1F2A3BC">
      <w:start w:val="1"/>
      <w:numFmt w:val="bullet"/>
      <w:lvlText w:val=""/>
      <w:lvlJc w:val="left"/>
      <w:pPr>
        <w:tabs>
          <w:tab w:val="num" w:pos="720"/>
        </w:tabs>
        <w:ind w:left="720" w:hanging="360"/>
      </w:pPr>
      <w:rPr>
        <w:rFonts w:ascii="Symbol" w:hAnsi="Symbol" w:hint="default"/>
        <w:sz w:val="20"/>
      </w:rPr>
    </w:lvl>
    <w:lvl w:ilvl="1" w:tplc="F9AAA14A">
      <w:start w:val="1"/>
      <w:numFmt w:val="decimal"/>
      <w:lvlText w:val="%2."/>
      <w:lvlJc w:val="left"/>
      <w:pPr>
        <w:tabs>
          <w:tab w:val="num" w:pos="1440"/>
        </w:tabs>
        <w:ind w:left="1440" w:hanging="360"/>
      </w:pPr>
    </w:lvl>
    <w:lvl w:ilvl="2" w:tplc="1E54D258" w:tentative="1">
      <w:start w:val="1"/>
      <w:numFmt w:val="bullet"/>
      <w:lvlText w:val=""/>
      <w:lvlJc w:val="left"/>
      <w:pPr>
        <w:tabs>
          <w:tab w:val="num" w:pos="2160"/>
        </w:tabs>
        <w:ind w:left="2160" w:hanging="360"/>
      </w:pPr>
      <w:rPr>
        <w:rFonts w:ascii="Wingdings" w:hAnsi="Wingdings" w:hint="default"/>
        <w:sz w:val="20"/>
      </w:rPr>
    </w:lvl>
    <w:lvl w:ilvl="3" w:tplc="274281A8" w:tentative="1">
      <w:start w:val="1"/>
      <w:numFmt w:val="bullet"/>
      <w:lvlText w:val=""/>
      <w:lvlJc w:val="left"/>
      <w:pPr>
        <w:tabs>
          <w:tab w:val="num" w:pos="2880"/>
        </w:tabs>
        <w:ind w:left="2880" w:hanging="360"/>
      </w:pPr>
      <w:rPr>
        <w:rFonts w:ascii="Wingdings" w:hAnsi="Wingdings" w:hint="default"/>
        <w:sz w:val="20"/>
      </w:rPr>
    </w:lvl>
    <w:lvl w:ilvl="4" w:tplc="77069B32" w:tentative="1">
      <w:start w:val="1"/>
      <w:numFmt w:val="bullet"/>
      <w:lvlText w:val=""/>
      <w:lvlJc w:val="left"/>
      <w:pPr>
        <w:tabs>
          <w:tab w:val="num" w:pos="3600"/>
        </w:tabs>
        <w:ind w:left="3600" w:hanging="360"/>
      </w:pPr>
      <w:rPr>
        <w:rFonts w:ascii="Wingdings" w:hAnsi="Wingdings" w:hint="default"/>
        <w:sz w:val="20"/>
      </w:rPr>
    </w:lvl>
    <w:lvl w:ilvl="5" w:tplc="628ACC46" w:tentative="1">
      <w:start w:val="1"/>
      <w:numFmt w:val="bullet"/>
      <w:lvlText w:val=""/>
      <w:lvlJc w:val="left"/>
      <w:pPr>
        <w:tabs>
          <w:tab w:val="num" w:pos="4320"/>
        </w:tabs>
        <w:ind w:left="4320" w:hanging="360"/>
      </w:pPr>
      <w:rPr>
        <w:rFonts w:ascii="Wingdings" w:hAnsi="Wingdings" w:hint="default"/>
        <w:sz w:val="20"/>
      </w:rPr>
    </w:lvl>
    <w:lvl w:ilvl="6" w:tplc="237CD8FC" w:tentative="1">
      <w:start w:val="1"/>
      <w:numFmt w:val="bullet"/>
      <w:lvlText w:val=""/>
      <w:lvlJc w:val="left"/>
      <w:pPr>
        <w:tabs>
          <w:tab w:val="num" w:pos="5040"/>
        </w:tabs>
        <w:ind w:left="5040" w:hanging="360"/>
      </w:pPr>
      <w:rPr>
        <w:rFonts w:ascii="Wingdings" w:hAnsi="Wingdings" w:hint="default"/>
        <w:sz w:val="20"/>
      </w:rPr>
    </w:lvl>
    <w:lvl w:ilvl="7" w:tplc="ED708C06" w:tentative="1">
      <w:start w:val="1"/>
      <w:numFmt w:val="bullet"/>
      <w:lvlText w:val=""/>
      <w:lvlJc w:val="left"/>
      <w:pPr>
        <w:tabs>
          <w:tab w:val="num" w:pos="5760"/>
        </w:tabs>
        <w:ind w:left="5760" w:hanging="360"/>
      </w:pPr>
      <w:rPr>
        <w:rFonts w:ascii="Wingdings" w:hAnsi="Wingdings" w:hint="default"/>
        <w:sz w:val="20"/>
      </w:rPr>
    </w:lvl>
    <w:lvl w:ilvl="8" w:tplc="39B073F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35C07"/>
    <w:multiLevelType w:val="multilevel"/>
    <w:tmpl w:val="707A5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A1CD2"/>
    <w:multiLevelType w:val="multilevel"/>
    <w:tmpl w:val="D1E4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64977">
    <w:abstractNumId w:val="6"/>
  </w:num>
  <w:num w:numId="2" w16cid:durableId="281812522">
    <w:abstractNumId w:val="1"/>
  </w:num>
  <w:num w:numId="3" w16cid:durableId="1770851937">
    <w:abstractNumId w:val="3"/>
  </w:num>
  <w:num w:numId="4" w16cid:durableId="270472768">
    <w:abstractNumId w:val="4"/>
  </w:num>
  <w:num w:numId="5" w16cid:durableId="661471495">
    <w:abstractNumId w:val="2"/>
  </w:num>
  <w:num w:numId="6" w16cid:durableId="862549187">
    <w:abstractNumId w:val="5"/>
  </w:num>
  <w:num w:numId="7" w16cid:durableId="15291691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9302588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89109182">
    <w:abstractNumId w:val="5"/>
    <w:lvlOverride w:ilvl="1">
      <w:startOverride w:val="1"/>
    </w:lvlOverride>
  </w:num>
  <w:num w:numId="10" w16cid:durableId="135273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E2"/>
    <w:rsid w:val="000E5645"/>
    <w:rsid w:val="003658E8"/>
    <w:rsid w:val="006E1AE2"/>
    <w:rsid w:val="008E55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DEDD"/>
  <w15:chartTrackingRefBased/>
  <w15:docId w15:val="{6AC97B7E-7300-4490-BC54-639B8027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1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1A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1A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1A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1A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1A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1A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1A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A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1A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1A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1A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1A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1A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1A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1A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1AE2"/>
    <w:rPr>
      <w:rFonts w:eastAsiaTheme="majorEastAsia" w:cstheme="majorBidi"/>
      <w:color w:val="272727" w:themeColor="text1" w:themeTint="D8"/>
    </w:rPr>
  </w:style>
  <w:style w:type="paragraph" w:styleId="Ttulo">
    <w:name w:val="Title"/>
    <w:basedOn w:val="Normal"/>
    <w:next w:val="Normal"/>
    <w:link w:val="TtuloCar"/>
    <w:uiPriority w:val="10"/>
    <w:qFormat/>
    <w:rsid w:val="006E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1A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1A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1A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1AE2"/>
    <w:pPr>
      <w:spacing w:before="160"/>
      <w:jc w:val="center"/>
    </w:pPr>
    <w:rPr>
      <w:i/>
      <w:iCs/>
      <w:color w:val="404040" w:themeColor="text1" w:themeTint="BF"/>
    </w:rPr>
  </w:style>
  <w:style w:type="character" w:customStyle="1" w:styleId="CitaCar">
    <w:name w:val="Cita Car"/>
    <w:basedOn w:val="Fuentedeprrafopredeter"/>
    <w:link w:val="Cita"/>
    <w:uiPriority w:val="29"/>
    <w:rsid w:val="006E1AE2"/>
    <w:rPr>
      <w:i/>
      <w:iCs/>
      <w:color w:val="404040" w:themeColor="text1" w:themeTint="BF"/>
    </w:rPr>
  </w:style>
  <w:style w:type="paragraph" w:styleId="Prrafodelista">
    <w:name w:val="List Paragraph"/>
    <w:basedOn w:val="Normal"/>
    <w:uiPriority w:val="34"/>
    <w:qFormat/>
    <w:rsid w:val="006E1AE2"/>
    <w:pPr>
      <w:ind w:left="720"/>
      <w:contextualSpacing/>
    </w:pPr>
  </w:style>
  <w:style w:type="character" w:styleId="nfasisintenso">
    <w:name w:val="Intense Emphasis"/>
    <w:basedOn w:val="Fuentedeprrafopredeter"/>
    <w:uiPriority w:val="21"/>
    <w:qFormat/>
    <w:rsid w:val="006E1AE2"/>
    <w:rPr>
      <w:i/>
      <w:iCs/>
      <w:color w:val="0F4761" w:themeColor="accent1" w:themeShade="BF"/>
    </w:rPr>
  </w:style>
  <w:style w:type="paragraph" w:styleId="Citadestacada">
    <w:name w:val="Intense Quote"/>
    <w:basedOn w:val="Normal"/>
    <w:next w:val="Normal"/>
    <w:link w:val="CitadestacadaCar"/>
    <w:uiPriority w:val="30"/>
    <w:qFormat/>
    <w:rsid w:val="006E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1AE2"/>
    <w:rPr>
      <w:i/>
      <w:iCs/>
      <w:color w:val="0F4761" w:themeColor="accent1" w:themeShade="BF"/>
    </w:rPr>
  </w:style>
  <w:style w:type="character" w:styleId="Referenciaintensa">
    <w:name w:val="Intense Reference"/>
    <w:basedOn w:val="Fuentedeprrafopredeter"/>
    <w:uiPriority w:val="32"/>
    <w:qFormat/>
    <w:rsid w:val="006E1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5645</Words>
  <Characters>31052</Characters>
  <Application>Microsoft Office Word</Application>
  <DocSecurity>0</DocSecurity>
  <Lines>258</Lines>
  <Paragraphs>73</Paragraphs>
  <ScaleCrop>false</ScaleCrop>
  <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Pedidos Havanna</dc:creator>
  <cp:keywords/>
  <dc:description/>
  <cp:lastModifiedBy>Pedidos Havanna</cp:lastModifiedBy>
  <cp:revision>1</cp:revision>
  <dcterms:created xsi:type="dcterms:W3CDTF">2026-06-15T18:49:00Z</dcterms:created>
  <dcterms:modified xsi:type="dcterms:W3CDTF">2026-06-15T18:52:00Z</dcterms:modified>
</cp:coreProperties>
</file>