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t50ph67scx7q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Декомпозиция действий курьеров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-911061</wp:posOffset>
            </wp:positionH>
            <wp:positionV relativeFrom="paragraph">
              <wp:posOffset>619125</wp:posOffset>
            </wp:positionV>
            <wp:extent cx="7553325" cy="1800169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24689" l="0" r="0" t="16250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8001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Цель декомпозиции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  <w:t xml:space="preserve">Детализировать последовательность операций, выполняемых курьером в рамках рабочего процесса, для последующего проектирования функциональности мобильного приложения и определения требований к интерфейсу.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Вид декомпозиции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  <w:t xml:space="preserve">Функциональная (процессная)- разбиение по этапам выполнения заказа курьером.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Количество уровней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- 2 уровня.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ic2j598d93e4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Объектная декомпозиция действующих лиц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667375" cy="1704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Цель декомпозиции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  <w:t xml:space="preserve">Идентифицировать всех участников системы доставки для определения их функциональных обязанностей, прав доступа и взаимодействия с системой.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Вид декомпозиции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бъектная (компонентная), так как выделяются самостоятельные субъекты системы.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Количество уровней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 уровень (глубина разбиения достаточна для перечисления ролей).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