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myif3smhlr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Активности дня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Пробуждение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Гигиенические процедуры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Завтрак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Сборы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Дорога на учебу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Учеба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Обед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Дорога на работу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Спорт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Дорога домой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Ужин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Подготовка ко сну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qw5r3omtf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Цели декомпозиции, пользователи и потребности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1-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Оптимизация временных затрат для повышения продуктивности дня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Пользователь: я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Потребность: выявить активности, занимающие непропорционально много времени, определить «пожирателей» времени и найти возможности для сокращения или перераспределения нагрузки (например, совмещение или автоматизация рутинных действий).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Цель 2-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Оценка баланса между работой, отдыхом и физической активностью для поддержания здорового образа жизни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Пользователь: я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Потребность: понять соотношение времени, затрачиваемого на работу, сон, отдых и спорт; выявить перекосы (например, недостаток движения или переработки) и скорректировать распорядок для соблюдения норм здорового режима.</w:t>
      </w:r>
    </w:p>
    <w:p w:rsidR="00000000" w:rsidDel="00000000" w:rsidP="00000000" w:rsidRDefault="00000000" w:rsidRPr="00000000" w14:paraId="00000016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Для построения событийной декомпозиции выбрана цель 1.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</w:rPr>
      </w:pPr>
      <w:bookmarkStart w:colFirst="0" w:colLast="0" w:name="_hi5vc51ezkrf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highlight w:val="white"/>
          <w:rtl w:val="0"/>
        </w:rPr>
        <w:t xml:space="preserve">3. Событийная декомпозиция активностей дня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Вид декомпозиции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событийная (темпоральная)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, так как разбиение происходит по временным этапам и последовательности событий в течение дня.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Критерий разбиения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хронологическая последовательность (временные интервалы / этапы дня). Критерий для 1-го уровня- крупные временные блоки. для 2-го - конкретные активности.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Количество уровней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2.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-857249</wp:posOffset>
            </wp:positionH>
            <wp:positionV relativeFrom="paragraph">
              <wp:posOffset>333375</wp:posOffset>
            </wp:positionV>
            <wp:extent cx="7421208" cy="131602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1208" cy="13160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