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Censo</w:t>
      </w:r>
      <w:r>
        <w:t xml:space="preserve"> </w:t>
      </w:r>
      <w:r>
        <w:t xml:space="preserve">Nacional</w:t>
      </w:r>
      <w:r>
        <w:t xml:space="preserve"> </w:t>
      </w:r>
      <w:r>
        <w:t xml:space="preserve">de</w:t>
      </w:r>
      <w:r>
        <w:t xml:space="preserve"> </w:t>
      </w:r>
      <w:r>
        <w:t xml:space="preserve">Comisarías</w:t>
      </w:r>
      <w:r>
        <w:t xml:space="preserve"> </w:t>
      </w:r>
      <w:r>
        <w:t xml:space="preserve">2017</w:t>
      </w:r>
    </w:p>
    <w:p>
      <w:pPr>
        <w:pStyle w:val="Sub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Infraestructura</w:t>
      </w:r>
      <w:r>
        <w:t xml:space="preserve"> </w:t>
      </w:r>
      <w:r>
        <w:t xml:space="preserve">y</w:t>
      </w:r>
      <w:r>
        <w:t xml:space="preserve"> </w:t>
      </w:r>
      <w:r>
        <w:t xml:space="preserve">Equipamiento</w:t>
      </w:r>
    </w:p>
    <w:p>
      <w:pPr>
        <w:pStyle w:val="Author"/>
      </w:pPr>
      <w:r>
        <w:t xml:space="preserve">Vilma</w:t>
      </w:r>
      <w:r>
        <w:t xml:space="preserve"> </w:t>
      </w:r>
      <w:r>
        <w:t xml:space="preserve">Romero</w:t>
      </w:r>
    </w:p>
    <w:p>
      <w:pPr>
        <w:pStyle w:val="Date"/>
      </w:pPr>
      <w:r>
        <w:t xml:space="preserve">06/12/2018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cion"/>
      <w:bookmarkEnd w:id="21"/>
      <w:r>
        <w:t xml:space="preserve">Introducción</w:t>
      </w:r>
    </w:p>
    <w:p>
      <w:pPr>
        <w:pStyle w:val="FirstParagraph"/>
      </w:pPr>
      <w:r>
        <w:t xml:space="preserve">Los datos que vamos a analizar provienen del</w:t>
      </w:r>
      <w:r>
        <w:t xml:space="preserve"> </w:t>
      </w:r>
      <w:r>
        <w:rPr>
          <w:i/>
        </w:rPr>
        <w:t xml:space="preserve">VI Censo Nacional de Comisarías</w:t>
      </w:r>
      <w:r>
        <w:t xml:space="preserve"> </w:t>
      </w:r>
      <w:r>
        <w:t xml:space="preserve">realizado en el año 2017 por el</w:t>
      </w:r>
      <w:r>
        <w:t xml:space="preserve"> </w:t>
      </w:r>
      <w:hyperlink r:id="rId22">
        <w:r>
          <w:rPr>
            <w:b/>
            <w:rStyle w:val="Hyperlink"/>
          </w:rPr>
          <w:t xml:space="preserve">Instituto Nacional de Estadística e Informática</w:t>
        </w:r>
      </w:hyperlink>
      <w:r>
        <w:t xml:space="preserve">. El objetivo primordial de dicho censo fue conocer mejor la infraestructura y equipamiento con el que cuentan los locales donde funcionan las Comisarías de la Policía Nacional del Perú. Entre las principales características a evaluar fueron:</w:t>
      </w:r>
    </w:p>
    <w:p>
      <w:pPr>
        <w:pStyle w:val="Compact"/>
        <w:numPr>
          <w:numId w:val="1001"/>
          <w:ilvl w:val="0"/>
        </w:numPr>
      </w:pPr>
      <w:r>
        <w:t xml:space="preserve">Ámbito jurisdiccional de la comisaría</w:t>
      </w:r>
    </w:p>
    <w:p>
      <w:pPr>
        <w:pStyle w:val="Compact"/>
        <w:numPr>
          <w:numId w:val="1001"/>
          <w:ilvl w:val="0"/>
        </w:numPr>
      </w:pPr>
      <w:r>
        <w:t xml:space="preserve">Número de policías asignados</w:t>
      </w:r>
    </w:p>
    <w:p>
      <w:pPr>
        <w:pStyle w:val="Compact"/>
        <w:numPr>
          <w:numId w:val="1001"/>
          <w:ilvl w:val="0"/>
        </w:numPr>
      </w:pPr>
      <w:r>
        <w:t xml:space="preserve">Labor de cada policiía asignado</w:t>
      </w:r>
    </w:p>
    <w:p>
      <w:pPr>
        <w:pStyle w:val="Compact"/>
        <w:numPr>
          <w:numId w:val="1001"/>
          <w:ilvl w:val="0"/>
        </w:numPr>
      </w:pPr>
      <w:r>
        <w:t xml:space="preserve">Accesorios de trabajo</w:t>
      </w:r>
    </w:p>
    <w:p>
      <w:pPr>
        <w:pStyle w:val="Compact"/>
        <w:numPr>
          <w:numId w:val="1001"/>
          <w:ilvl w:val="0"/>
        </w:numPr>
      </w:pPr>
      <w:r>
        <w:t xml:space="preserve">Planes operativos y de emergencia</w:t>
      </w:r>
    </w:p>
    <w:p>
      <w:pPr>
        <w:pStyle w:val="FirstParagraph"/>
      </w:pPr>
      <w:r>
        <w:t xml:space="preserve">Pueden conocer más sobre el ánalisis final de este censo en la publicación oficial del INEI:</w:t>
      </w:r>
      <w:r>
        <w:t xml:space="preserve"> </w:t>
      </w:r>
      <w:hyperlink r:id="rId23">
        <w:r>
          <w:rPr>
            <w:b/>
            <w:rStyle w:val="Hyperlink"/>
          </w:rPr>
          <w:t xml:space="preserve">PERÚ: VI CENSO NACIONAL DE COMISARÍAS 2017, Resultados Definitivos</w:t>
        </w:r>
      </w:hyperlink>
      <w:r>
        <w:t xml:space="preserve">.</w:t>
      </w:r>
    </w:p>
    <w:p>
      <w:pPr>
        <w:pStyle w:val="Heading1"/>
      </w:pPr>
      <w:bookmarkStart w:id="24" w:name="analisis-descriptivo"/>
      <w:bookmarkEnd w:id="24"/>
      <w:r>
        <w:t xml:space="preserve">Análisis Descriptivo</w:t>
      </w:r>
    </w:p>
    <w:p>
      <w:pPr>
        <w:pStyle w:val="Heading2"/>
      </w:pPr>
      <w:bookmarkStart w:id="25" w:name="lectura-de-datos"/>
      <w:bookmarkEnd w:id="25"/>
      <w:r>
        <w:t xml:space="preserve">Lectura de Datos</w:t>
      </w:r>
    </w:p>
    <w:p>
      <w:pPr>
        <w:pStyle w:val="FirstParagraph"/>
      </w:pPr>
      <w:r>
        <w:t xml:space="preserve">El archivo con la información descargada del INEI se encuentra en la carpeta datos y tiene por nombre</w:t>
      </w:r>
      <w:r>
        <w:t xml:space="preserve"> </w:t>
      </w:r>
      <w:r>
        <w:rPr>
          <w:i/>
        </w:rPr>
        <w:t xml:space="preserve">CensoComisarias.sav</w:t>
      </w:r>
      <w:r>
        <w:t xml:space="preserve">. El formato de este archivo corresponde a bases de datos registradas en el software SPSS, por lo que, se debe importar al R haciendo uso del paquete</w:t>
      </w:r>
      <w:r>
        <w:t xml:space="preserve"> </w:t>
      </w:r>
      <w:r>
        <w:rPr>
          <w:rStyle w:val="VerbatimChar"/>
        </w:rPr>
        <w:t xml:space="preserve">foreign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install.packages("foreign")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 </w:t>
      </w:r>
      <w:r>
        <w:br w:type="textWrapping"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"datos/CensoComisarias.sav"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Veamos cuanta información tenemos,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1495  280</w:t>
      </w:r>
    </w:p>
    <w:p>
      <w:pPr>
        <w:pStyle w:val="FirstParagraph"/>
      </w:pPr>
      <w:r>
        <w:t xml:space="preserve">Existen 1495 registros y 280 variables.</w:t>
      </w:r>
    </w:p>
    <w:p>
      <w:pPr>
        <w:pStyle w:val="BodyText"/>
      </w:pPr>
      <w:r>
        <w:t xml:space="preserve">Ahora, veamos un pequeño extracto de los datos.</w:t>
      </w:r>
    </w:p>
    <w:p>
      <w:pPr>
        <w:pStyle w:val="SourceCode"/>
      </w:pPr>
      <w:r>
        <w:rPr>
          <w:rStyle w:val="NormalTok"/>
        </w:rPr>
        <w:t xml:space="preserve">datos[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NOMBREDI               INF109    INF109A</w:t>
      </w:r>
      <w:r>
        <w:br w:type="textWrapping"/>
      </w:r>
      <w:r>
        <w:rPr>
          <w:rStyle w:val="VerbatimChar"/>
        </w:rPr>
        <w:t xml:space="preserve">## 1 RUPA-RUPA                            De 40001 - 80000 Hab  Distrital</w:t>
      </w:r>
      <w:r>
        <w:br w:type="textWrapping"/>
      </w:r>
      <w:r>
        <w:rPr>
          <w:rStyle w:val="VerbatimChar"/>
        </w:rPr>
        <w:t xml:space="preserve">## 2 MARIANO DAMASO BERAUN                 De 5000 - 10000 Hab  Distrital</w:t>
      </w:r>
      <w:r>
        <w:br w:type="textWrapping"/>
      </w:r>
      <w:r>
        <w:rPr>
          <w:rStyle w:val="VerbatimChar"/>
        </w:rPr>
        <w:t xml:space="preserve">## 3 JOSE CRESPO Y CASTILLO               De 20001 - 40000 Hab  Distrital</w:t>
      </w:r>
      <w:r>
        <w:br w:type="textWrapping"/>
      </w:r>
      <w:r>
        <w:rPr>
          <w:rStyle w:val="VerbatimChar"/>
        </w:rPr>
        <w:t xml:space="preserve">## 4 TOCACHE                               De 5000 - 10000 Hab Provincial</w:t>
      </w:r>
      <w:r>
        <w:br w:type="textWrapping"/>
      </w:r>
      <w:r>
        <w:rPr>
          <w:rStyle w:val="VerbatimChar"/>
        </w:rPr>
        <w:t xml:space="preserve">## 5 NUEVO PROGRESO                        De 5000 - 10000 Hab  Distrital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(datos[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NOMBREDI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INF109A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RUPA-RUPA</w:t>
            </w:r>
          </w:p>
        </w:tc>
        <w:tc>
          <w:p>
            <w:pPr>
              <w:pStyle w:val="Compact"/>
              <w:jc w:val="left"/>
            </w:pPr>
            <w:r>
              <w:t xml:space="preserve">De 40001 - 80000 Hab</w:t>
            </w:r>
          </w:p>
        </w:tc>
        <w:tc>
          <w:p>
            <w:pPr>
              <w:pStyle w:val="Compact"/>
              <w:jc w:val="left"/>
            </w:pPr>
            <w:r>
              <w:t xml:space="preserve">Distrital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MARIANO DAMASO BERAUN</w:t>
            </w:r>
          </w:p>
        </w:tc>
        <w:tc>
          <w:p>
            <w:pPr>
              <w:pStyle w:val="Compact"/>
              <w:jc w:val="left"/>
            </w:pPr>
            <w:r>
              <w:t xml:space="preserve">De 5000 - 10000 Hab</w:t>
            </w:r>
          </w:p>
        </w:tc>
        <w:tc>
          <w:p>
            <w:pPr>
              <w:pStyle w:val="Compact"/>
              <w:jc w:val="left"/>
            </w:pPr>
            <w:r>
              <w:t xml:space="preserve">Distrital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JOSE CRESPO Y CASTILLO</w:t>
            </w:r>
          </w:p>
        </w:tc>
        <w:tc>
          <w:p>
            <w:pPr>
              <w:pStyle w:val="Compact"/>
              <w:jc w:val="left"/>
            </w:pPr>
            <w:r>
              <w:t xml:space="preserve">De 20001 - 40000 Hab</w:t>
            </w:r>
          </w:p>
        </w:tc>
        <w:tc>
          <w:p>
            <w:pPr>
              <w:pStyle w:val="Compact"/>
              <w:jc w:val="left"/>
            </w:pPr>
            <w:r>
              <w:t xml:space="preserve">Distrital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TOCACHE</w:t>
            </w:r>
          </w:p>
        </w:tc>
        <w:tc>
          <w:p>
            <w:pPr>
              <w:pStyle w:val="Compact"/>
              <w:jc w:val="left"/>
            </w:pPr>
            <w:r>
              <w:t xml:space="preserve">De 5000 - 10000 Hab</w:t>
            </w:r>
          </w:p>
        </w:tc>
        <w:tc>
          <w:p>
            <w:pPr>
              <w:pStyle w:val="Compact"/>
              <w:jc w:val="left"/>
            </w:pPr>
            <w:r>
              <w:t xml:space="preserve">Provincial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NUEVO PROGRESO</w:t>
            </w:r>
          </w:p>
        </w:tc>
        <w:tc>
          <w:p>
            <w:pPr>
              <w:pStyle w:val="Compact"/>
              <w:jc w:val="left"/>
            </w:pPr>
            <w:r>
              <w:t xml:space="preserve">De 5000 - 10000 Hab</w:t>
            </w:r>
          </w:p>
        </w:tc>
        <w:tc>
          <w:p>
            <w:pPr>
              <w:pStyle w:val="Compact"/>
              <w:jc w:val="left"/>
            </w:pPr>
            <w:r>
              <w:t xml:space="preserve">Distrital</w:t>
            </w:r>
          </w:p>
        </w:tc>
      </w:tr>
    </w:tbl>
    <w:p>
      <w:pPr>
        <w:pStyle w:val="Heading2"/>
      </w:pPr>
      <w:bookmarkStart w:id="26" w:name="jurisdiccion"/>
      <w:bookmarkEnd w:id="26"/>
      <w:r>
        <w:t xml:space="preserve">Jurisdicción</w:t>
      </w:r>
    </w:p>
    <w:p>
      <w:pPr>
        <w:pStyle w:val="Heading3"/>
      </w:pPr>
      <w:bookmarkStart w:id="27" w:name="alcance-de-jurisdiccion"/>
      <w:bookmarkEnd w:id="27"/>
      <w:r>
        <w:t xml:space="preserve">Alcance de Jurisdicción</w:t>
      </w:r>
    </w:p>
    <w:p>
      <w:pPr>
        <w:pStyle w:val="SourceCode"/>
      </w:pPr>
      <w:r>
        <w:rPr>
          <w:rStyle w:val="NormalTok"/>
        </w:rPr>
        <w:t xml:space="preserve">cuadro1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INF109))</w:t>
      </w:r>
      <w:r>
        <w:br w:type="textWrapping"/>
      </w:r>
      <w:r>
        <w:rPr>
          <w:rStyle w:val="NormalTok"/>
        </w:rPr>
        <w:t xml:space="preserve">cuadro2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INF109)))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(cuadro1)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cuadro1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Porcentaje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cuadro2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(cuadro1)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Menos de 5000 Hab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0.1926421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5000 - 10000 Hab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0.2200669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10001 - 20000 Hab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0.1939799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20001 - 40000 Hab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0.1658863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40001 - 80000 Hab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0.1311037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80001 a más Hab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0.0963211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INF109))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"Habitantes"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Alcance de Jurisdicción de las Comisarías" title="" id="1" name="Picture"/>
            <a:graphic>
              <a:graphicData uri="http://schemas.openxmlformats.org/drawingml/2006/picture">
                <pic:pic>
                  <pic:nvPicPr>
                    <pic:cNvPr descr="Cens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Alcance de Jurisdicción de las Comisarías</w:t>
      </w:r>
    </w:p>
    <w:p>
      <w:pPr>
        <w:pStyle w:val="Heading3"/>
      </w:pPr>
      <w:bookmarkStart w:id="29" w:name="tipo-de-jurisdiccion"/>
      <w:bookmarkEnd w:id="29"/>
      <w:r>
        <w:t xml:space="preserve">Tipo de Jurisdicción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INF109A),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Regional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Distrital</w:t>
            </w:r>
          </w:p>
        </w:tc>
        <w:tc>
          <w:p>
            <w:pPr>
              <w:pStyle w:val="Compact"/>
              <w:jc w:val="right"/>
            </w:pPr>
            <w:r>
              <w:t xml:space="preserve">1241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Otros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INF109A))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ipo de Jurisdicción de las Comisarías" title="" id="1" name="Picture"/>
            <a:graphic>
              <a:graphicData uri="http://schemas.openxmlformats.org/drawingml/2006/picture">
                <pic:pic>
                  <pic:nvPicPr>
                    <pic:cNvPr descr="Cens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 de Jurisdicción de las Comisarías</w:t>
      </w:r>
    </w:p>
    <w:p>
      <w:pPr>
        <w:pStyle w:val="BodyText"/>
      </w:pPr>
      <w:r>
        <w:t xml:space="preserve">Estos gráficos fueron elaborados con el paquete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desarrollado por</w:t>
      </w:r>
      <w:r>
        <w:t xml:space="preserve"> </w:t>
      </w:r>
      <w:r>
        <w:t xml:space="preserve">Wickham (2009)</w:t>
      </w:r>
      <w:r>
        <w:t xml:space="preserve">. Además, el reporte fue generado usando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 Pueden aprender más en el libro de</w:t>
      </w:r>
      <w:r>
        <w:t xml:space="preserve"> </w:t>
      </w:r>
      <w:r>
        <w:t xml:space="preserve">Xie, Allaire, and Grolemund (2016)</w:t>
      </w:r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Springer.</w:t>
      </w:r>
    </w:p>
    <w:p>
      <w:pPr>
        <w:pStyle w:val="Bibliography"/>
      </w:pPr>
      <w:r>
        <w:t xml:space="preserve">Xie, Yihui, J.J. Allaire, and Garrett Grolemund. 2016.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1st ed. Chapman; Hall/CRC.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7f4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f9f5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s://www.inei.gob.pe" TargetMode="External" /><Relationship Type="http://schemas.openxmlformats.org/officeDocument/2006/relationships/hyperlink" Id="rId23" Target="https://www.inei.gob.pe/media/MenuRecursivo/publicaciones_digitales/Est/Lib1528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inei.gob.pe" TargetMode="External" /><Relationship Type="http://schemas.openxmlformats.org/officeDocument/2006/relationships/hyperlink" Id="rId23" Target="https://www.inei.gob.pe/media/MenuRecursivo/publicaciones_digitales/Est/Lib1528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Censo Nacional de Comisarías 2017</dc:title>
  <dc:creator>Vilma Romero</dc:creator>
  <dcterms:created xsi:type="dcterms:W3CDTF">2018-12-06T18:00:15Z</dcterms:created>
  <dcterms:modified xsi:type="dcterms:W3CDTF">2018-12-06T18:00:15Z</dcterms:modified>
</cp:coreProperties>
</file>