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2026-10-14</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audit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Two sub-processors handle data in the United States: Google</w:t>
      </w:r>
      <w:r>
        <w:t xml:space="preserve"> </w:t>
      </w:r>
      <w:r>
        <w:t xml:space="preserve">Firebase (sign-in), under the EU-US Data Privacy Framework, and OpenAI, through OpenAI Ireland Ltd</w:t>
      </w:r>
      <w:r>
        <w:t xml:space="preserve"> </w:t>
      </w:r>
      <w:r>
        <w:t xml:space="preserve">under the European Commission’s standard 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audit log: 24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audit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audit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2026-10-14T08:09:30Z</dcterms:created>
  <dcterms:modified xsi:type="dcterms:W3CDTF">2026-10-14T08:09:30Z</dcterms:modified>
</cp:coreProperties>
</file>

<file path=docProps/custom.xml><?xml version="1.0" encoding="utf-8"?>
<Properties xmlns="http://schemas.openxmlformats.org/officeDocument/2006/custom-properties" xmlns:vt="http://schemas.openxmlformats.org/officeDocument/2006/docPropsVTypes"/>
</file>