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14287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828675"/>
                    </a:xfrm>
                    <a:prstGeom prst="rect">
                      <a:avLst/>
                    </a:prstGeom>
                  </pic:spPr>
                </pic:pic>
              </a:graphicData>
            </a:graphic>
          </wp:inline>
        </w:drawing>
      </w:r>
    </w:p>
    <w:p>
      <w:pPr>
        <w:spacing w:after="40" w:before="200"/>
        <w:jc w:val="center"/>
      </w:pPr>
      <w:r>
        <w:rPr>
          <w:b/>
          <w:bCs/>
          <w:color w:val="0159AE"/>
          <w:sz w:val="32"/>
          <w:szCs w:val="32"/>
        </w:rPr>
        <w:t xml:space="preserve">MegaTech Arabia</w:t>
      </w:r>
    </w:p>
    <w:p>
      <w:pPr>
        <w:spacing w:after="300"/>
        <w:jc w:val="center"/>
      </w:pPr>
      <w:r>
        <w:rPr>
          <w:i/>
          <w:iCs/>
          <w:color w:val="5B6472"/>
          <w:sz w:val="20"/>
          <w:szCs w:val="20"/>
        </w:rPr>
        <w:t xml:space="preserve">Turnkey technology, engineered end to end.</w:t>
      </w:r>
    </w:p>
    <w:p>
      <w:pPr>
        <w:pBdr>
          <w:bottom w:val="single" w:color="0159AE" w:sz="6" w:space="8"/>
        </w:pBdr>
        <w:spacing w:after="240"/>
        <w:jc w:val="center"/>
      </w:pPr>
      <w:r>
        <w:rPr>
          <w:b/>
          <w:bCs/>
          <w:sz w:val="30"/>
          <w:szCs w:val="30"/>
        </w:rPr>
        <w:t xml:space="preserve">WEBSITE &amp; STUDIO PLATFORM — QUOTATION</w:t>
      </w:r>
    </w:p>
    <w:tbl>
      <w:tblPr>
        <w:tblW w:type="dxa" w:w="9746"/>
        <w:tblBorders>
          <w:top w:val="none"/>
          <w:left w:val="none"/>
          <w:bottom w:val="none"/>
          <w:right w:val="none"/>
          <w:insideH w:val="none"/>
          <w:insideV w:val="none"/>
        </w:tblBorders>
      </w:tblPr>
      <w:tblGrid>
        <w:gridCol w:w="2436"/>
        <w:gridCol w:w="2437"/>
        <w:gridCol w:w="2436"/>
        <w:gridCol w:w="2437"/>
      </w:tblGrid>
      <w:tr>
        <w:tc>
          <w:tcPr>
            <w:tcW w:type="dxa" w:w="2436"/>
            <w:tcMar>
              <w:top w:type="dxa" w:w="100"/>
              <w:left w:type="dxa" w:w="100"/>
              <w:bottom w:type="dxa" w:w="100"/>
              <w:right w:type="dxa" w:w="100"/>
            </w:tcMar>
            <w:vAlign w:val="center"/>
          </w:tcPr>
          <w:p>
            <w:pPr>
              <w:jc w:val="left"/>
            </w:pPr>
            <w:r>
              <w:rPr>
                <w:b/>
                <w:bCs/>
                <w:i w:val="false"/>
                <w:iCs w:val="false"/>
                <w:color w:val="5B6472"/>
                <w:sz w:val="18"/>
                <w:szCs w:val="18"/>
              </w:rPr>
              <w:t xml:space="preserve">Quotation No.</w:t>
            </w:r>
          </w:p>
        </w:tc>
        <w:tc>
          <w:tcPr>
            <w:tcW w:type="dxa" w:w="2437"/>
            <w:tcMar>
              <w:top w:type="dxa" w:w="100"/>
              <w:left w:type="dxa" w:w="100"/>
              <w:bottom w:type="dxa" w:w="100"/>
              <w:right w:type="dxa" w:w="100"/>
            </w:tcMar>
            <w:vAlign w:val="center"/>
          </w:tcPr>
          <w:p>
            <w:pPr>
              <w:jc w:val="left"/>
            </w:pPr>
            <w:r>
              <w:rPr>
                <w:b w:val="false"/>
                <w:bCs w:val="false"/>
                <w:i w:val="false"/>
                <w:iCs w:val="false"/>
                <w:sz w:val="18"/>
                <w:szCs w:val="18"/>
              </w:rPr>
              <w:t xml:space="preserve">Q-WEB-2026-001</w:t>
            </w:r>
          </w:p>
        </w:tc>
        <w:tc>
          <w:tcPr>
            <w:tcW w:type="dxa" w:w="2436"/>
            <w:tcMar>
              <w:top w:type="dxa" w:w="100"/>
              <w:left w:type="dxa" w:w="100"/>
              <w:bottom w:type="dxa" w:w="100"/>
              <w:right w:type="dxa" w:w="100"/>
            </w:tcMar>
            <w:vAlign w:val="center"/>
          </w:tcPr>
          <w:p>
            <w:pPr>
              <w:jc w:val="left"/>
            </w:pPr>
            <w:r>
              <w:rPr>
                <w:b/>
                <w:bCs/>
                <w:i w:val="false"/>
                <w:iCs w:val="false"/>
                <w:color w:val="5B6472"/>
                <w:sz w:val="18"/>
                <w:szCs w:val="18"/>
              </w:rPr>
              <w:t xml:space="preserve">Date</w:t>
            </w:r>
          </w:p>
        </w:tc>
        <w:tc>
          <w:tcPr>
            <w:tcW w:type="dxa" w:w="2437"/>
            <w:tcMar>
              <w:top w:type="dxa" w:w="100"/>
              <w:left w:type="dxa" w:w="100"/>
              <w:bottom w:type="dxa" w:w="100"/>
              <w:right w:type="dxa" w:w="100"/>
            </w:tcMar>
            <w:vAlign w:val="center"/>
          </w:tcPr>
          <w:p>
            <w:pPr>
              <w:jc w:val="left"/>
            </w:pPr>
            <w:r>
              <w:rPr>
                <w:b w:val="false"/>
                <w:bCs w:val="false"/>
                <w:i w:val="false"/>
                <w:iCs w:val="false"/>
                <w:sz w:val="18"/>
                <w:szCs w:val="18"/>
              </w:rPr>
              <w:t xml:space="preserve">23 July 2026</w:t>
            </w:r>
          </w:p>
        </w:tc>
      </w:tr>
      <w:tr>
        <w:tc>
          <w:tcPr>
            <w:tcW w:type="dxa" w:w="2436"/>
            <w:tcMar>
              <w:top w:type="dxa" w:w="100"/>
              <w:left w:type="dxa" w:w="100"/>
              <w:bottom w:type="dxa" w:w="100"/>
              <w:right w:type="dxa" w:w="100"/>
            </w:tcMar>
            <w:vAlign w:val="center"/>
          </w:tcPr>
          <w:p>
            <w:pPr>
              <w:jc w:val="left"/>
            </w:pPr>
            <w:r>
              <w:rPr>
                <w:b/>
                <w:bCs/>
                <w:i w:val="false"/>
                <w:iCs w:val="false"/>
                <w:color w:val="5B6472"/>
                <w:sz w:val="18"/>
                <w:szCs w:val="18"/>
              </w:rPr>
              <w:t xml:space="preserve">Prepared for</w:t>
            </w:r>
          </w:p>
        </w:tc>
        <w:tc>
          <w:tcPr>
            <w:tcW w:type="dxa" w:w="2437"/>
            <w:tcMar>
              <w:top w:type="dxa" w:w="100"/>
              <w:left w:type="dxa" w:w="100"/>
              <w:bottom w:type="dxa" w:w="100"/>
              <w:right w:type="dxa" w:w="100"/>
            </w:tcMar>
            <w:vAlign w:val="center"/>
          </w:tcPr>
          <w:p>
            <w:pPr>
              <w:jc w:val="left"/>
            </w:pPr>
            <w:r>
              <w:rPr>
                <w:b w:val="false"/>
                <w:bCs w:val="false"/>
                <w:i w:val="false"/>
                <w:iCs w:val="false"/>
                <w:sz w:val="18"/>
                <w:szCs w:val="18"/>
              </w:rPr>
              <w:t xml:space="preserve">MegaTech Arabia</w:t>
            </w:r>
          </w:p>
        </w:tc>
        <w:tc>
          <w:tcPr>
            <w:tcW w:type="dxa" w:w="2436"/>
            <w:tcMar>
              <w:top w:type="dxa" w:w="100"/>
              <w:left w:type="dxa" w:w="100"/>
              <w:bottom w:type="dxa" w:w="100"/>
              <w:right w:type="dxa" w:w="100"/>
            </w:tcMar>
            <w:vAlign w:val="center"/>
          </w:tcPr>
          <w:p>
            <w:pPr>
              <w:jc w:val="left"/>
            </w:pPr>
            <w:r>
              <w:rPr>
                <w:b/>
                <w:bCs/>
                <w:i w:val="false"/>
                <w:iCs w:val="false"/>
                <w:color w:val="5B6472"/>
                <w:sz w:val="18"/>
                <w:szCs w:val="18"/>
              </w:rPr>
              <w:t xml:space="preserve">Valid until</w:t>
            </w:r>
          </w:p>
        </w:tc>
        <w:tc>
          <w:tcPr>
            <w:tcW w:type="dxa" w:w="2437"/>
            <w:tcMar>
              <w:top w:type="dxa" w:w="100"/>
              <w:left w:type="dxa" w:w="100"/>
              <w:bottom w:type="dxa" w:w="100"/>
              <w:right w:type="dxa" w:w="100"/>
            </w:tcMar>
            <w:vAlign w:val="center"/>
          </w:tcPr>
          <w:p>
            <w:pPr>
              <w:jc w:val="left"/>
            </w:pPr>
            <w:r>
              <w:rPr>
                <w:b w:val="false"/>
                <w:bCs w:val="false"/>
                <w:i w:val="false"/>
                <w:iCs w:val="false"/>
                <w:sz w:val="18"/>
                <w:szCs w:val="18"/>
              </w:rPr>
              <w:t xml:space="preserve">22 August 2026</w:t>
            </w:r>
          </w:p>
        </w:tc>
      </w:tr>
      <w:tr>
        <w:tc>
          <w:tcPr>
            <w:tcW w:type="dxa" w:w="2436"/>
            <w:tcMar>
              <w:top w:type="dxa" w:w="100"/>
              <w:left w:type="dxa" w:w="100"/>
              <w:bottom w:type="dxa" w:w="100"/>
              <w:right w:type="dxa" w:w="100"/>
            </w:tcMar>
            <w:vAlign w:val="center"/>
          </w:tcPr>
          <w:p>
            <w:pPr>
              <w:jc w:val="left"/>
            </w:pPr>
            <w:r>
              <w:rPr>
                <w:b/>
                <w:bCs/>
                <w:i w:val="false"/>
                <w:iCs w:val="false"/>
                <w:color w:val="5B6472"/>
                <w:sz w:val="18"/>
                <w:szCs w:val="18"/>
              </w:rPr>
              <w:t xml:space="preserve">Currency</w:t>
            </w:r>
          </w:p>
        </w:tc>
        <w:tc>
          <w:tcPr>
            <w:tcW w:type="dxa" w:w="2437"/>
            <w:tcMar>
              <w:top w:type="dxa" w:w="100"/>
              <w:left w:type="dxa" w:w="100"/>
              <w:bottom w:type="dxa" w:w="100"/>
              <w:right w:type="dxa" w:w="100"/>
            </w:tcMar>
            <w:vAlign w:val="center"/>
          </w:tcPr>
          <w:p>
            <w:pPr>
              <w:jc w:val="left"/>
            </w:pPr>
            <w:r>
              <w:rPr>
                <w:b w:val="false"/>
                <w:bCs w:val="false"/>
                <w:i w:val="false"/>
                <w:iCs w:val="false"/>
                <w:sz w:val="18"/>
                <w:szCs w:val="18"/>
              </w:rPr>
              <w:t xml:space="preserve">Jordanian Dinar (JD)</w:t>
            </w:r>
          </w:p>
        </w:tc>
        <w:tc>
          <w:tcPr>
            <w:tcW w:type="dxa" w:w="2436"/>
            <w:tcMar>
              <w:top w:type="dxa" w:w="100"/>
              <w:left w:type="dxa" w:w="100"/>
              <w:bottom w:type="dxa" w:w="100"/>
              <w:right w:type="dxa" w:w="100"/>
            </w:tcMar>
            <w:vAlign w:val="center"/>
          </w:tcPr>
          <w:p>
            <w:pPr>
              <w:jc w:val="left"/>
            </w:pPr>
            <w:r>
              <w:rPr>
                <w:b/>
                <w:bCs/>
                <w:i w:val="false"/>
                <w:iCs w:val="false"/>
                <w:color w:val="5B6472"/>
                <w:sz w:val="18"/>
                <w:szCs w:val="18"/>
              </w:rPr>
              <w:t xml:space="preserve">Prepared by</w:t>
            </w:r>
          </w:p>
        </w:tc>
        <w:tc>
          <w:tcPr>
            <w:tcW w:type="dxa" w:w="2437"/>
            <w:tcMar>
              <w:top w:type="dxa" w:w="100"/>
              <w:left w:type="dxa" w:w="100"/>
              <w:bottom w:type="dxa" w:w="100"/>
              <w:right w:type="dxa" w:w="100"/>
            </w:tcMar>
            <w:vAlign w:val="center"/>
          </w:tcPr>
          <w:p>
            <w:pPr>
              <w:jc w:val="left"/>
            </w:pPr>
            <w:r>
              <w:rPr>
                <w:b w:val="false"/>
                <w:bCs w:val="false"/>
                <w:i w:val="false"/>
                <w:iCs w:val="false"/>
                <w:sz w:val="18"/>
                <w:szCs w:val="18"/>
              </w:rPr>
              <w:t xml:space="preserve">________________</w:t>
            </w:r>
          </w:p>
        </w:tc>
      </w:tr>
    </w:tbl>
    <w:p>
      <w:pPr>
        <w:spacing w:after="200" w:before="300"/>
      </w:pPr>
      <w:r>
        <w:rPr>
          <w:sz w:val="20"/>
          <w:szCs w:val="20"/>
        </w:rPr>
        <w:t xml:space="preserve">This quotation itemizes the functionalities delivered across the MegaTech Arabia public website and its Studio administration platform. Each item is priced individually and broken down by Frontend, Backend, and Database effort so the technical composition of the investment is transparent.</w:t>
      </w:r>
    </w:p>
    <w:p>
      <w:pPr>
        <w:pStyle w:val="Heading2"/>
        <w:spacing w:after="160" w:before="360"/>
      </w:pPr>
      <w:r>
        <w:rPr>
          <w:b/>
          <w:bCs/>
          <w:color w:val="0159AE"/>
        </w:rPr>
        <w:t xml:space="preserve">1. Public Website</w:t>
      </w:r>
    </w:p>
    <w:tbl>
      <w:tblPr>
        <w:tblW w:type="dxa" w:w="9746"/>
        <w:tblBorders>
          <w:top w:val="single" w:color="C7D2E0" w:sz="4"/>
          <w:left w:val="single" w:color="C7D2E0" w:sz="4"/>
          <w:bottom w:val="single" w:color="C7D2E0" w:sz="4"/>
          <w:right w:val="single" w:color="C7D2E0" w:sz="4"/>
          <w:insideH w:val="single" w:color="DCE3EC" w:sz="2"/>
          <w:insideV w:val="single" w:color="DCE3EC" w:sz="2"/>
        </w:tblBorders>
      </w:tblPr>
      <w:tblGrid>
        <w:gridCol w:w="400"/>
        <w:gridCol w:w="3746"/>
        <w:gridCol w:w="1200"/>
        <w:gridCol w:w="1200"/>
        <w:gridCol w:w="1200"/>
        <w:gridCol w:w="2000"/>
      </w:tblGrid>
      <w:tr>
        <w:trPr>
          <w:tblHeader/>
        </w:trPr>
        <w:tc>
          <w:tcPr>
            <w:tcW w:type="dxa" w:w="400"/>
            <w:shd w:fill="0159AE" w:color="auto" w:val="clear"/>
            <w:tcMar>
              <w:top w:type="dxa" w:w="100"/>
              <w:left w:type="dxa" w:w="100"/>
              <w:bottom w:type="dxa" w:w="100"/>
              <w:right w:type="dxa" w:w="100"/>
            </w:tcMar>
            <w:vAlign w:val="center"/>
          </w:tcPr>
          <w:p>
            <w:pPr>
              <w:jc w:val="center"/>
            </w:pPr>
            <w:r>
              <w:rPr>
                <w:b/>
                <w:bCs/>
                <w:i w:val="false"/>
                <w:iCs w:val="false"/>
                <w:color w:val="FFFFFF"/>
                <w:sz w:val="19"/>
                <w:szCs w:val="19"/>
              </w:rPr>
              <w:t xml:space="preserve">#</w:t>
            </w:r>
          </w:p>
        </w:tc>
        <w:tc>
          <w:tcPr>
            <w:tcW w:type="dxa" w:w="3746"/>
            <w:shd w:fill="0159AE" w:color="auto" w:val="clear"/>
            <w:tcMar>
              <w:top w:type="dxa" w:w="100"/>
              <w:left w:type="dxa" w:w="100"/>
              <w:bottom w:type="dxa" w:w="100"/>
              <w:right w:type="dxa" w:w="100"/>
            </w:tcMar>
            <w:vAlign w:val="center"/>
          </w:tcPr>
          <w:p>
            <w:pPr>
              <w:jc w:val="left"/>
            </w:pPr>
            <w:r>
              <w:rPr>
                <w:b/>
                <w:bCs/>
                <w:i w:val="false"/>
                <w:iCs w:val="false"/>
                <w:color w:val="FFFFFF"/>
                <w:sz w:val="19"/>
                <w:szCs w:val="19"/>
              </w:rPr>
              <w:t xml:space="preserve">Functionality</w:t>
            </w:r>
          </w:p>
        </w:tc>
        <w:tc>
          <w:tcPr>
            <w:tcW w:type="dxa" w:w="1200"/>
            <w:shd w:fill="0159AE" w:color="auto" w:val="clear"/>
            <w:tcMar>
              <w:top w:type="dxa" w:w="100"/>
              <w:left w:type="dxa" w:w="100"/>
              <w:bottom w:type="dxa" w:w="100"/>
              <w:right w:type="dxa" w:w="100"/>
            </w:tcMar>
            <w:vAlign w:val="center"/>
          </w:tcPr>
          <w:p>
            <w:pPr>
              <w:jc w:val="right"/>
            </w:pPr>
            <w:r>
              <w:rPr>
                <w:b/>
                <w:bCs/>
                <w:i w:val="false"/>
                <w:iCs w:val="false"/>
                <w:color w:val="FFFFFF"/>
                <w:sz w:val="16"/>
                <w:szCs w:val="16"/>
              </w:rPr>
              <w:t xml:space="preserve">Frontend</w:t>
            </w:r>
          </w:p>
        </w:tc>
        <w:tc>
          <w:tcPr>
            <w:tcW w:type="dxa" w:w="1200"/>
            <w:shd w:fill="0159AE" w:color="auto" w:val="clear"/>
            <w:tcMar>
              <w:top w:type="dxa" w:w="100"/>
              <w:left w:type="dxa" w:w="100"/>
              <w:bottom w:type="dxa" w:w="100"/>
              <w:right w:type="dxa" w:w="100"/>
            </w:tcMar>
            <w:vAlign w:val="center"/>
          </w:tcPr>
          <w:p>
            <w:pPr>
              <w:jc w:val="right"/>
            </w:pPr>
            <w:r>
              <w:rPr>
                <w:b/>
                <w:bCs/>
                <w:i w:val="false"/>
                <w:iCs w:val="false"/>
                <w:color w:val="FFFFFF"/>
                <w:sz w:val="16"/>
                <w:szCs w:val="16"/>
              </w:rPr>
              <w:t xml:space="preserve">Backend</w:t>
            </w:r>
          </w:p>
        </w:tc>
        <w:tc>
          <w:tcPr>
            <w:tcW w:type="dxa" w:w="1200"/>
            <w:shd w:fill="0159AE" w:color="auto" w:val="clear"/>
            <w:tcMar>
              <w:top w:type="dxa" w:w="100"/>
              <w:left w:type="dxa" w:w="100"/>
              <w:bottom w:type="dxa" w:w="100"/>
              <w:right w:type="dxa" w:w="100"/>
            </w:tcMar>
            <w:vAlign w:val="center"/>
          </w:tcPr>
          <w:p>
            <w:pPr>
              <w:jc w:val="right"/>
            </w:pPr>
            <w:r>
              <w:rPr>
                <w:b/>
                <w:bCs/>
                <w:i w:val="false"/>
                <w:iCs w:val="false"/>
                <w:color w:val="FFFFFF"/>
                <w:sz w:val="16"/>
                <w:szCs w:val="16"/>
              </w:rPr>
              <w:t xml:space="preserve">Database</w:t>
            </w:r>
          </w:p>
        </w:tc>
        <w:tc>
          <w:tcPr>
            <w:tcW w:type="dxa" w:w="2000"/>
            <w:shd w:fill="0159AE" w:color="auto" w:val="clear"/>
            <w:tcMar>
              <w:top w:type="dxa" w:w="100"/>
              <w:left w:type="dxa" w:w="100"/>
              <w:bottom w:type="dxa" w:w="100"/>
              <w:right w:type="dxa" w:w="100"/>
            </w:tcMar>
            <w:vAlign w:val="center"/>
          </w:tcPr>
          <w:p>
            <w:pPr>
              <w:jc w:val="right"/>
            </w:pPr>
            <w:r>
              <w:rPr>
                <w:b/>
                <w:bCs/>
                <w:i w:val="false"/>
                <w:iCs w:val="false"/>
                <w:color w:val="FFFFFF"/>
                <w:sz w:val="19"/>
                <w:szCs w:val="19"/>
              </w:rPr>
              <w:t xml:space="preserve">Total (JD)</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1</w:t>
            </w:r>
          </w:p>
        </w:tc>
        <w:tc>
          <w:tcPr>
            <w:tcW w:type="dxa" w:w="3746"/>
            <w:tcMar>
              <w:top w:type="dxa" w:w="100"/>
              <w:left w:type="dxa" w:w="120"/>
              <w:bottom w:type="dxa" w:w="100"/>
              <w:right w:type="dxa" w:w="120"/>
            </w:tcMar>
            <w:vAlign w:val="center"/>
          </w:tcPr>
          <w:p>
            <w:pPr>
              <w:spacing w:after="40"/>
            </w:pPr>
            <w:r>
              <w:rPr>
                <w:b/>
                <w:bCs/>
                <w:sz w:val="19"/>
                <w:szCs w:val="19"/>
              </w:rPr>
              <w:t xml:space="preserve">Homepage &amp; Brand Experience</w:t>
            </w:r>
          </w:p>
          <w:p>
            <w:r>
              <w:rPr>
                <w:color w:val="5B6472"/>
                <w:sz w:val="17"/>
                <w:szCs w:val="17"/>
              </w:rPr>
              <w:t xml:space="preserve">Animated hero section with particle effects and logo animation, bilingual EN/AR hero content, a stats band, and a full dark/light theme toggle across a responsive layout.</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630.000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180.000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90.000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900.000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2</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Services Showcase</w:t>
            </w:r>
          </w:p>
          <w:p>
            <w:r>
              <w:rPr>
                <w:color w:val="5B6472"/>
                <w:sz w:val="17"/>
                <w:szCs w:val="17"/>
              </w:rPr>
              <w:t xml:space="preserve">Public-facing services listing pulling live content from the admin panel, with icons, descriptions, and a responsive grid layout.</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247.500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135.000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67.500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450.000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3</w:t>
            </w:r>
          </w:p>
        </w:tc>
        <w:tc>
          <w:tcPr>
            <w:tcW w:type="dxa" w:w="3746"/>
            <w:tcMar>
              <w:top w:type="dxa" w:w="100"/>
              <w:left w:type="dxa" w:w="120"/>
              <w:bottom w:type="dxa" w:w="100"/>
              <w:right w:type="dxa" w:w="120"/>
            </w:tcMar>
            <w:vAlign w:val="center"/>
          </w:tcPr>
          <w:p>
            <w:pPr>
              <w:spacing w:after="40"/>
            </w:pPr>
            <w:r>
              <w:rPr>
                <w:b/>
                <w:bCs/>
                <w:sz w:val="19"/>
                <w:szCs w:val="19"/>
              </w:rPr>
              <w:t xml:space="preserve">Projects Portfolio</w:t>
            </w:r>
          </w:p>
          <w:p>
            <w:r>
              <w:rPr>
                <w:color w:val="5B6472"/>
                <w:sz w:val="17"/>
                <w:szCs w:val="17"/>
              </w:rPr>
              <w:t xml:space="preserve">Public projects showcase with home-featured highlights, category grouping, and detail views.</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247.500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135.000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67.500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450.000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4</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Vendors &amp; Partners Showcase</w:t>
            </w:r>
          </w:p>
          <w:p>
            <w:r>
              <w:rPr>
                <w:color w:val="5B6472"/>
                <w:sz w:val="17"/>
                <w:szCs w:val="17"/>
              </w:rPr>
              <w:t xml:space="preserve">Logo grid of partner/vendor brands with manual ordering control from the admin panel.</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180.000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75.000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45.000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300.000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5</w:t>
            </w:r>
          </w:p>
        </w:tc>
        <w:tc>
          <w:tcPr>
            <w:tcW w:type="dxa" w:w="3746"/>
            <w:tcMar>
              <w:top w:type="dxa" w:w="100"/>
              <w:left w:type="dxa" w:w="120"/>
              <w:bottom w:type="dxa" w:w="100"/>
              <w:right w:type="dxa" w:w="120"/>
            </w:tcMar>
            <w:vAlign w:val="center"/>
          </w:tcPr>
          <w:p>
            <w:pPr>
              <w:spacing w:after="40"/>
            </w:pPr>
            <w:r>
              <w:rPr>
                <w:b/>
                <w:bCs/>
                <w:sz w:val="19"/>
                <w:szCs w:val="19"/>
              </w:rPr>
              <w:t xml:space="preserve">Clients Showcase</w:t>
            </w:r>
          </w:p>
          <w:p>
            <w:r>
              <w:rPr>
                <w:color w:val="5B6472"/>
                <w:sz w:val="17"/>
                <w:szCs w:val="17"/>
              </w:rPr>
              <w:t xml:space="preserve">Logo grid of client brands, independently ordered and manageable from the admin panel.</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180.000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75.000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45.000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300.000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6</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Team Directory</w:t>
            </w:r>
          </w:p>
          <w:p>
            <w:r>
              <w:rPr>
                <w:color w:val="5B6472"/>
                <w:sz w:val="17"/>
                <w:szCs w:val="17"/>
              </w:rPr>
              <w:t xml:space="preserve">Public team member profiles with photo, position, years of experience, skill tags, and certification badges.</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275.000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165.000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110.000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550.000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7</w:t>
            </w:r>
          </w:p>
        </w:tc>
        <w:tc>
          <w:tcPr>
            <w:tcW w:type="dxa" w:w="3746"/>
            <w:tcMar>
              <w:top w:type="dxa" w:w="100"/>
              <w:left w:type="dxa" w:w="120"/>
              <w:bottom w:type="dxa" w:w="100"/>
              <w:right w:type="dxa" w:w="120"/>
            </w:tcMar>
            <w:vAlign w:val="center"/>
          </w:tcPr>
          <w:p>
            <w:pPr>
              <w:spacing w:after="40"/>
            </w:pPr>
            <w:r>
              <w:rPr>
                <w:b/>
                <w:bCs/>
                <w:sz w:val="19"/>
                <w:szCs w:val="19"/>
              </w:rPr>
              <w:t xml:space="preserve">Careers &amp; Job Applications</w:t>
            </w:r>
          </w:p>
          <w:p>
            <w:r>
              <w:rPr>
                <w:color w:val="5B6472"/>
                <w:sz w:val="17"/>
                <w:szCs w:val="17"/>
              </w:rPr>
              <w:t xml:space="preserve">Public job listings, an application form with CV upload (PDF/Word, 5MB limit), and automatic 7-day file retention for rejected applicants.</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315.000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245.000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140.000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700.000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8</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Showcase Gallery</w:t>
            </w:r>
          </w:p>
          <w:p>
            <w:r>
              <w:rPr>
                <w:color w:val="5B6472"/>
                <w:sz w:val="17"/>
                <w:szCs w:val="17"/>
              </w:rPr>
              <w:t xml:space="preserve">Curated image gallery with hero-featured selections used in the homepage's animated side panels.</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192.500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105.000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52.500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350.000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9</w:t>
            </w:r>
          </w:p>
        </w:tc>
        <w:tc>
          <w:tcPr>
            <w:tcW w:type="dxa" w:w="3746"/>
            <w:tcMar>
              <w:top w:type="dxa" w:w="100"/>
              <w:left w:type="dxa" w:w="120"/>
              <w:bottom w:type="dxa" w:w="100"/>
              <w:right w:type="dxa" w:w="120"/>
            </w:tcMar>
            <w:vAlign w:val="center"/>
          </w:tcPr>
          <w:p>
            <w:pPr>
              <w:spacing w:after="40"/>
            </w:pPr>
            <w:r>
              <w:rPr>
                <w:b/>
                <w:bCs/>
                <w:sz w:val="19"/>
                <w:szCs w:val="19"/>
              </w:rPr>
              <w:t xml:space="preserve">Case-Study Videos</w:t>
            </w:r>
          </w:p>
          <w:p>
            <w:r>
              <w:rPr>
                <w:color w:val="5B6472"/>
                <w:sz w:val="17"/>
                <w:szCs w:val="17"/>
              </w:rPr>
              <w:t xml:space="preserve">Video-based case studies showcasing completed engagements ("Previous Projects").</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192.500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105.000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52.500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350.000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10</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Contact &amp; Inbox</w:t>
            </w:r>
          </w:p>
          <w:p>
            <w:r>
              <w:rPr>
                <w:color w:val="5B6472"/>
                <w:sz w:val="17"/>
                <w:szCs w:val="17"/>
              </w:rPr>
              <w:t xml:space="preserve">Public contact form wired directly into an admin messages inbox for follow-up.</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120.000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120.000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60.000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300.000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11</w:t>
            </w:r>
          </w:p>
        </w:tc>
        <w:tc>
          <w:tcPr>
            <w:tcW w:type="dxa" w:w="3746"/>
            <w:tcMar>
              <w:top w:type="dxa" w:w="100"/>
              <w:left w:type="dxa" w:w="120"/>
              <w:bottom w:type="dxa" w:w="100"/>
              <w:right w:type="dxa" w:w="120"/>
            </w:tcMar>
            <w:vAlign w:val="center"/>
          </w:tcPr>
          <w:p>
            <w:pPr>
              <w:spacing w:after="40"/>
            </w:pPr>
            <w:r>
              <w:rPr>
                <w:b/>
                <w:bCs/>
                <w:sz w:val="19"/>
                <w:szCs w:val="19"/>
              </w:rPr>
              <w:t xml:space="preserve">Client Reviews</w:t>
            </w:r>
          </w:p>
          <w:p>
            <w:r>
              <w:rPr>
                <w:color w:val="5B6472"/>
                <w:sz w:val="17"/>
                <w:szCs w:val="17"/>
              </w:rPr>
              <w:t xml:space="preserve">Public review submission with star ratings; reviews stay hidden until an admin approves them, then appear in a testimonials carousel.</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180.000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140.000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80.000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400.000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12</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Bilingual (English/Arabic) &amp; RTL Layout</w:t>
            </w:r>
          </w:p>
          <w:p>
            <w:r>
              <w:rPr>
                <w:color w:val="5B6472"/>
                <w:sz w:val="17"/>
                <w:szCs w:val="17"/>
              </w:rPr>
              <w:t xml:space="preserve">Full site translation with a mirrored right-to-left layout for Arabic, including typography and iconography adjustments.</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640.000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120.000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40.000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800.000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13</w:t>
            </w:r>
          </w:p>
        </w:tc>
        <w:tc>
          <w:tcPr>
            <w:tcW w:type="dxa" w:w="3746"/>
            <w:tcMar>
              <w:top w:type="dxa" w:w="100"/>
              <w:left w:type="dxa" w:w="120"/>
              <w:bottom w:type="dxa" w:w="100"/>
              <w:right w:type="dxa" w:w="120"/>
            </w:tcMar>
            <w:vAlign w:val="center"/>
          </w:tcPr>
          <w:p>
            <w:pPr>
              <w:spacing w:after="40"/>
            </w:pPr>
            <w:r>
              <w:rPr>
                <w:b/>
                <w:bCs/>
                <w:sz w:val="19"/>
                <w:szCs w:val="19"/>
              </w:rPr>
              <w:t xml:space="preserve">Dark / Light Theme System</w:t>
            </w:r>
          </w:p>
          <w:p>
            <w:r>
              <w:rPr>
                <w:color w:val="5B6472"/>
                <w:sz w:val="17"/>
                <w:szCs w:val="17"/>
              </w:rPr>
              <w:t xml:space="preserve">Site-wide theme toggle with a persisted preference and tuned color/contrast handling for both modes.</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297.500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35.000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17.500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350.000</w:t>
            </w:r>
          </w:p>
        </w:tc>
      </w:tr>
    </w:tbl>
    <w:p>
      <w:pPr>
        <w:spacing w:after="40" w:before="120"/>
        <w:jc w:val="right"/>
      </w:pPr>
      <w:r>
        <w:rPr>
          <w:b/>
          <w:bCs/>
          <w:sz w:val="20"/>
          <w:szCs w:val="20"/>
        </w:rPr>
        <w:t xml:space="preserve">Subtotal — Public Website:  6,200.000 JD</w:t>
      </w:r>
    </w:p>
    <w:p>
      <w:r>
        <w:br w:type="page"/>
      </w:r>
    </w:p>
    <w:p>
      <w:pPr>
        <w:pStyle w:val="Heading2"/>
        <w:spacing w:after="160" w:before="360"/>
      </w:pPr>
      <w:r>
        <w:rPr>
          <w:b/>
          <w:bCs/>
          <w:color w:val="0159AE"/>
        </w:rPr>
        <w:t xml:space="preserve">2. Studio Admin &amp; Business Operations Platform</w:t>
      </w:r>
    </w:p>
    <w:tbl>
      <w:tblPr>
        <w:tblW w:type="dxa" w:w="9746"/>
        <w:tblBorders>
          <w:top w:val="single" w:color="C7D2E0" w:sz="4"/>
          <w:left w:val="single" w:color="C7D2E0" w:sz="4"/>
          <w:bottom w:val="single" w:color="C7D2E0" w:sz="4"/>
          <w:right w:val="single" w:color="C7D2E0" w:sz="4"/>
          <w:insideH w:val="single" w:color="DCE3EC" w:sz="2"/>
          <w:insideV w:val="single" w:color="DCE3EC" w:sz="2"/>
        </w:tblBorders>
      </w:tblPr>
      <w:tblGrid>
        <w:gridCol w:w="400"/>
        <w:gridCol w:w="3746"/>
        <w:gridCol w:w="1200"/>
        <w:gridCol w:w="1200"/>
        <w:gridCol w:w="1200"/>
        <w:gridCol w:w="2000"/>
      </w:tblGrid>
      <w:tr>
        <w:trPr>
          <w:tblHeader/>
        </w:trPr>
        <w:tc>
          <w:tcPr>
            <w:tcW w:type="dxa" w:w="400"/>
            <w:shd w:fill="0159AE" w:color="auto" w:val="clear"/>
            <w:tcMar>
              <w:top w:type="dxa" w:w="100"/>
              <w:left w:type="dxa" w:w="100"/>
              <w:bottom w:type="dxa" w:w="100"/>
              <w:right w:type="dxa" w:w="100"/>
            </w:tcMar>
            <w:vAlign w:val="center"/>
          </w:tcPr>
          <w:p>
            <w:pPr>
              <w:jc w:val="center"/>
            </w:pPr>
            <w:r>
              <w:rPr>
                <w:b/>
                <w:bCs/>
                <w:i w:val="false"/>
                <w:iCs w:val="false"/>
                <w:color w:val="FFFFFF"/>
                <w:sz w:val="19"/>
                <w:szCs w:val="19"/>
              </w:rPr>
              <w:t xml:space="preserve">#</w:t>
            </w:r>
          </w:p>
        </w:tc>
        <w:tc>
          <w:tcPr>
            <w:tcW w:type="dxa" w:w="3746"/>
            <w:shd w:fill="0159AE" w:color="auto" w:val="clear"/>
            <w:tcMar>
              <w:top w:type="dxa" w:w="100"/>
              <w:left w:type="dxa" w:w="100"/>
              <w:bottom w:type="dxa" w:w="100"/>
              <w:right w:type="dxa" w:w="100"/>
            </w:tcMar>
            <w:vAlign w:val="center"/>
          </w:tcPr>
          <w:p>
            <w:pPr>
              <w:jc w:val="left"/>
            </w:pPr>
            <w:r>
              <w:rPr>
                <w:b/>
                <w:bCs/>
                <w:i w:val="false"/>
                <w:iCs w:val="false"/>
                <w:color w:val="FFFFFF"/>
                <w:sz w:val="19"/>
                <w:szCs w:val="19"/>
              </w:rPr>
              <w:t xml:space="preserve">Functionality</w:t>
            </w:r>
          </w:p>
        </w:tc>
        <w:tc>
          <w:tcPr>
            <w:tcW w:type="dxa" w:w="1200"/>
            <w:shd w:fill="0159AE" w:color="auto" w:val="clear"/>
            <w:tcMar>
              <w:top w:type="dxa" w:w="100"/>
              <w:left w:type="dxa" w:w="100"/>
              <w:bottom w:type="dxa" w:w="100"/>
              <w:right w:type="dxa" w:w="100"/>
            </w:tcMar>
            <w:vAlign w:val="center"/>
          </w:tcPr>
          <w:p>
            <w:pPr>
              <w:jc w:val="right"/>
            </w:pPr>
            <w:r>
              <w:rPr>
                <w:b/>
                <w:bCs/>
                <w:i w:val="false"/>
                <w:iCs w:val="false"/>
                <w:color w:val="FFFFFF"/>
                <w:sz w:val="16"/>
                <w:szCs w:val="16"/>
              </w:rPr>
              <w:t xml:space="preserve">Frontend</w:t>
            </w:r>
          </w:p>
        </w:tc>
        <w:tc>
          <w:tcPr>
            <w:tcW w:type="dxa" w:w="1200"/>
            <w:shd w:fill="0159AE" w:color="auto" w:val="clear"/>
            <w:tcMar>
              <w:top w:type="dxa" w:w="100"/>
              <w:left w:type="dxa" w:w="100"/>
              <w:bottom w:type="dxa" w:w="100"/>
              <w:right w:type="dxa" w:w="100"/>
            </w:tcMar>
            <w:vAlign w:val="center"/>
          </w:tcPr>
          <w:p>
            <w:pPr>
              <w:jc w:val="right"/>
            </w:pPr>
            <w:r>
              <w:rPr>
                <w:b/>
                <w:bCs/>
                <w:i w:val="false"/>
                <w:iCs w:val="false"/>
                <w:color w:val="FFFFFF"/>
                <w:sz w:val="16"/>
                <w:szCs w:val="16"/>
              </w:rPr>
              <w:t xml:space="preserve">Backend</w:t>
            </w:r>
          </w:p>
        </w:tc>
        <w:tc>
          <w:tcPr>
            <w:tcW w:type="dxa" w:w="1200"/>
            <w:shd w:fill="0159AE" w:color="auto" w:val="clear"/>
            <w:tcMar>
              <w:top w:type="dxa" w:w="100"/>
              <w:left w:type="dxa" w:w="100"/>
              <w:bottom w:type="dxa" w:w="100"/>
              <w:right w:type="dxa" w:w="100"/>
            </w:tcMar>
            <w:vAlign w:val="center"/>
          </w:tcPr>
          <w:p>
            <w:pPr>
              <w:jc w:val="right"/>
            </w:pPr>
            <w:r>
              <w:rPr>
                <w:b/>
                <w:bCs/>
                <w:i w:val="false"/>
                <w:iCs w:val="false"/>
                <w:color w:val="FFFFFF"/>
                <w:sz w:val="16"/>
                <w:szCs w:val="16"/>
              </w:rPr>
              <w:t xml:space="preserve">Database</w:t>
            </w:r>
          </w:p>
        </w:tc>
        <w:tc>
          <w:tcPr>
            <w:tcW w:type="dxa" w:w="2000"/>
            <w:shd w:fill="0159AE" w:color="auto" w:val="clear"/>
            <w:tcMar>
              <w:top w:type="dxa" w:w="100"/>
              <w:left w:type="dxa" w:w="100"/>
              <w:bottom w:type="dxa" w:w="100"/>
              <w:right w:type="dxa" w:w="100"/>
            </w:tcMar>
            <w:vAlign w:val="center"/>
          </w:tcPr>
          <w:p>
            <w:pPr>
              <w:jc w:val="right"/>
            </w:pPr>
            <w:r>
              <w:rPr>
                <w:b/>
                <w:bCs/>
                <w:i w:val="false"/>
                <w:iCs w:val="false"/>
                <w:color w:val="FFFFFF"/>
                <w:sz w:val="19"/>
                <w:szCs w:val="19"/>
              </w:rPr>
              <w:t xml:space="preserve">Total (JD)</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1</w:t>
            </w:r>
          </w:p>
        </w:tc>
        <w:tc>
          <w:tcPr>
            <w:tcW w:type="dxa" w:w="3746"/>
            <w:tcMar>
              <w:top w:type="dxa" w:w="100"/>
              <w:left w:type="dxa" w:w="120"/>
              <w:bottom w:type="dxa" w:w="100"/>
              <w:right w:type="dxa" w:w="120"/>
            </w:tcMar>
            <w:vAlign w:val="center"/>
          </w:tcPr>
          <w:p>
            <w:pPr>
              <w:spacing w:after="40"/>
            </w:pPr>
            <w:r>
              <w:rPr>
                <w:b/>
                <w:bCs/>
                <w:sz w:val="19"/>
                <w:szCs w:val="19"/>
              </w:rPr>
              <w:t xml:space="preserve">Authentication &amp; Session Management</w:t>
            </w:r>
          </w:p>
          <w:p>
            <w:r>
              <w:rPr>
                <w:color w:val="5B6472"/>
                <w:sz w:val="17"/>
                <w:szCs w:val="17"/>
              </w:rPr>
              <w:t xml:space="preserve">Secure per-user login with hashed passwords, a 30-day "Remember me" option, multi-device session support, and an admin break-glass recovery path.</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105.000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350.000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245.000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700.000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2</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Tag-Based Permission System</w:t>
            </w:r>
          </w:p>
          <w:p>
            <w:r>
              <w:rPr>
                <w:color w:val="5B6472"/>
                <w:sz w:val="17"/>
                <w:szCs w:val="17"/>
              </w:rPr>
              <w:t xml:space="preserve">Role/tag assignment per user, section-and-subsection access control with cascading grants, and a categorized admin screen for managing access.</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480.000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720.000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400.000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1,600.000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3</w:t>
            </w:r>
          </w:p>
        </w:tc>
        <w:tc>
          <w:tcPr>
            <w:tcW w:type="dxa" w:w="3746"/>
            <w:tcMar>
              <w:top w:type="dxa" w:w="100"/>
              <w:left w:type="dxa" w:w="120"/>
              <w:bottom w:type="dxa" w:w="100"/>
              <w:right w:type="dxa" w:w="120"/>
            </w:tcMar>
            <w:vAlign w:val="center"/>
          </w:tcPr>
          <w:p>
            <w:pPr>
              <w:spacing w:after="40"/>
            </w:pPr>
            <w:r>
              <w:rPr>
                <w:b/>
                <w:bCs/>
                <w:sz w:val="19"/>
                <w:szCs w:val="19"/>
              </w:rPr>
              <w:t xml:space="preserve">Content Management Suite</w:t>
            </w:r>
          </w:p>
          <w:p>
            <w:r>
              <w:rPr>
                <w:color w:val="5B6472"/>
                <w:sz w:val="17"/>
                <w:szCs w:val="17"/>
              </w:rPr>
              <w:t xml:space="preserve">Full create/edit/delete admin panels for Services, Projects, Vendors, Clients, Team, Careers, Gallery, Case-Study Videos, and Reviews.</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880.000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770.000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550.000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2,200.000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4</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Company Settings &amp; Branding</w:t>
            </w:r>
          </w:p>
          <w:p>
            <w:r>
              <w:rPr>
                <w:color w:val="5B6472"/>
                <w:sz w:val="17"/>
                <w:szCs w:val="17"/>
              </w:rPr>
              <w:t xml:space="preserve">Editable company profile, uploadable signature images, and service/SLA term configuration.</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225.000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175.000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100.000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500.000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5</w:t>
            </w:r>
          </w:p>
        </w:tc>
        <w:tc>
          <w:tcPr>
            <w:tcW w:type="dxa" w:w="3746"/>
            <w:tcMar>
              <w:top w:type="dxa" w:w="100"/>
              <w:left w:type="dxa" w:w="120"/>
              <w:bottom w:type="dxa" w:w="100"/>
              <w:right w:type="dxa" w:w="120"/>
            </w:tcMar>
            <w:vAlign w:val="center"/>
          </w:tcPr>
          <w:p>
            <w:pPr>
              <w:spacing w:after="40"/>
            </w:pPr>
            <w:r>
              <w:rPr>
                <w:b/>
                <w:bCs/>
                <w:sz w:val="19"/>
                <w:szCs w:val="19"/>
              </w:rPr>
              <w:t xml:space="preserve">Technical Operations Module</w:t>
            </w:r>
          </w:p>
          <w:p>
            <w:r>
              <w:rPr>
                <w:color w:val="5B6472"/>
                <w:sz w:val="17"/>
                <w:szCs w:val="17"/>
              </w:rPr>
              <w:t xml:space="preserve">Quotation tracking with a status workflow, RFQ intake and conversion, and a real-time auto-refreshing "Live view" with a configurable column picker.</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840.000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1,260.000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700.000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2,800.000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6</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Sales Pipeline Module</w:t>
            </w:r>
          </w:p>
          <w:p>
            <w:r>
              <w:rPr>
                <w:color w:val="5B6472"/>
                <w:sz w:val="17"/>
                <w:szCs w:val="17"/>
              </w:rPr>
              <w:t xml:space="preserve">Sales ticket/lead tracking with deadlines, win-probability forecasting, urgency flagging, a multi-contact client directory, and RFQ requests linked to Technical.</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960.000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1,440.000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800.000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3,200.000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7</w:t>
            </w:r>
          </w:p>
        </w:tc>
        <w:tc>
          <w:tcPr>
            <w:tcW w:type="dxa" w:w="3746"/>
            <w:tcMar>
              <w:top w:type="dxa" w:w="100"/>
              <w:left w:type="dxa" w:w="120"/>
              <w:bottom w:type="dxa" w:w="100"/>
              <w:right w:type="dxa" w:w="120"/>
            </w:tcMar>
            <w:vAlign w:val="center"/>
          </w:tcPr>
          <w:p>
            <w:pPr>
              <w:spacing w:after="40"/>
            </w:pPr>
            <w:r>
              <w:rPr>
                <w:b/>
                <w:bCs/>
                <w:sz w:val="19"/>
                <w:szCs w:val="19"/>
              </w:rPr>
              <w:t xml:space="preserve">Notifications &amp; Activity Feed</w:t>
            </w:r>
          </w:p>
          <w:p>
            <w:r>
              <w:rPr>
                <w:color w:val="5B6472"/>
                <w:sz w:val="17"/>
                <w:szCs w:val="17"/>
              </w:rPr>
              <w:t xml:space="preserve">Studio-wide activity log, a header notification bell with a per-tag scoped feed for regular users and a full feed for admins, with per-item "new" indicators.</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350.000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700.000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350.000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1,400.000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8</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Customizable Dashboards</w:t>
            </w:r>
          </w:p>
          <w:p>
            <w:r>
              <w:rPr>
                <w:color w:val="5B6472"/>
                <w:sz w:val="17"/>
                <w:szCs w:val="17"/>
              </w:rPr>
              <w:t xml:space="preserve">Personalized, role-aware dashboards that surface the statistics relevant to each user's access.</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810.000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720.000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270.000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1,800.000</w:t>
            </w:r>
          </w:p>
        </w:tc>
      </w:tr>
      <w:tr>
        <w:tc>
          <w:tcPr>
            <w:tcW w:type="dxa" w:w="400"/>
            <w:tcMar>
              <w:top w:type="dxa" w:w="100"/>
              <w:left w:type="dxa" w:w="100"/>
              <w:bottom w:type="dxa" w:w="100"/>
              <w:right w:type="dxa" w:w="100"/>
            </w:tcMar>
            <w:vAlign w:val="center"/>
          </w:tcPr>
          <w:p>
            <w:pPr>
              <w:jc w:val="center"/>
            </w:pPr>
            <w:r>
              <w:rPr>
                <w:b w:val="false"/>
                <w:bCs w:val="false"/>
                <w:i w:val="false"/>
                <w:iCs w:val="false"/>
                <w:sz w:val="19"/>
                <w:szCs w:val="19"/>
              </w:rPr>
              <w:t xml:space="preserve">9</w:t>
            </w:r>
          </w:p>
        </w:tc>
        <w:tc>
          <w:tcPr>
            <w:tcW w:type="dxa" w:w="3746"/>
            <w:tcMar>
              <w:top w:type="dxa" w:w="100"/>
              <w:left w:type="dxa" w:w="120"/>
              <w:bottom w:type="dxa" w:w="100"/>
              <w:right w:type="dxa" w:w="120"/>
            </w:tcMar>
            <w:vAlign w:val="center"/>
          </w:tcPr>
          <w:p>
            <w:pPr>
              <w:spacing w:after="40"/>
            </w:pPr>
            <w:r>
              <w:rPr>
                <w:b/>
                <w:bCs/>
                <w:sz w:val="19"/>
                <w:szCs w:val="19"/>
              </w:rPr>
              <w:t xml:space="preserve">User, Tag &amp; Access Administration</w:t>
            </w:r>
          </w:p>
          <w:p>
            <w:r>
              <w:rPr>
                <w:color w:val="5B6472"/>
                <w:sz w:val="17"/>
                <w:szCs w:val="17"/>
              </w:rPr>
              <w:t xml:space="preserve">Admin tooling to create users, assign tags, and configure section access, with safeguards against admin lockout.</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270.000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405.000</w:t>
            </w:r>
          </w:p>
        </w:tc>
        <w:tc>
          <w:tcPr>
            <w:tcW w:type="dxa" w:w="1200"/>
            <w:tcMar>
              <w:top w:type="dxa" w:w="100"/>
              <w:left w:type="dxa" w:w="100"/>
              <w:bottom w:type="dxa" w:w="100"/>
              <w:right w:type="dxa" w:w="100"/>
            </w:tcMar>
            <w:vAlign w:val="center"/>
          </w:tcPr>
          <w:p>
            <w:pPr>
              <w:jc w:val="right"/>
            </w:pPr>
            <w:r>
              <w:rPr>
                <w:b w:val="false"/>
                <w:bCs w:val="false"/>
                <w:i w:val="false"/>
                <w:iCs w:val="false"/>
                <w:sz w:val="17"/>
                <w:szCs w:val="17"/>
              </w:rPr>
              <w:t xml:space="preserve">225.000</w:t>
            </w:r>
          </w:p>
        </w:tc>
        <w:tc>
          <w:tcPr>
            <w:tcW w:type="dxa" w:w="2000"/>
            <w:tcMar>
              <w:top w:type="dxa" w:w="100"/>
              <w:left w:type="dxa" w:w="100"/>
              <w:bottom w:type="dxa" w:w="100"/>
              <w:right w:type="dxa" w:w="100"/>
            </w:tcMar>
            <w:vAlign w:val="center"/>
          </w:tcPr>
          <w:p>
            <w:pPr>
              <w:jc w:val="right"/>
            </w:pPr>
            <w:r>
              <w:rPr>
                <w:b/>
                <w:bCs/>
                <w:i w:val="false"/>
                <w:iCs w:val="false"/>
                <w:sz w:val="19"/>
                <w:szCs w:val="19"/>
              </w:rPr>
              <w:t xml:space="preserve">900.000</w:t>
            </w:r>
          </w:p>
        </w:tc>
      </w:tr>
      <w:tr>
        <w:tc>
          <w:tcPr>
            <w:tcW w:type="dxa" w:w="400"/>
            <w:shd w:fill="EAF1FB" w:color="auto" w:val="clear"/>
            <w:tcMar>
              <w:top w:type="dxa" w:w="100"/>
              <w:left w:type="dxa" w:w="100"/>
              <w:bottom w:type="dxa" w:w="100"/>
              <w:right w:type="dxa" w:w="100"/>
            </w:tcMar>
            <w:vAlign w:val="center"/>
          </w:tcPr>
          <w:p>
            <w:pPr>
              <w:jc w:val="center"/>
            </w:pPr>
            <w:r>
              <w:rPr>
                <w:b w:val="false"/>
                <w:bCs w:val="false"/>
                <w:i w:val="false"/>
                <w:iCs w:val="false"/>
                <w:sz w:val="19"/>
                <w:szCs w:val="19"/>
              </w:rPr>
              <w:t xml:space="preserve">10</w:t>
            </w:r>
          </w:p>
        </w:tc>
        <w:tc>
          <w:tcPr>
            <w:tcW w:type="dxa" w:w="3746"/>
            <w:shd w:fill="EAF1FB" w:color="auto" w:val="clear"/>
            <w:tcMar>
              <w:top w:type="dxa" w:w="100"/>
              <w:left w:type="dxa" w:w="120"/>
              <w:bottom w:type="dxa" w:w="100"/>
              <w:right w:type="dxa" w:w="120"/>
            </w:tcMar>
            <w:vAlign w:val="center"/>
          </w:tcPr>
          <w:p>
            <w:pPr>
              <w:spacing w:after="40"/>
            </w:pPr>
            <w:r>
              <w:rPr>
                <w:b/>
                <w:bCs/>
                <w:sz w:val="19"/>
                <w:szCs w:val="19"/>
              </w:rPr>
              <w:t xml:space="preserve">Job Application Review Workflow</w:t>
            </w:r>
          </w:p>
          <w:p>
            <w:r>
              <w:rPr>
                <w:color w:val="5B6472"/>
                <w:sz w:val="17"/>
                <w:szCs w:val="17"/>
              </w:rPr>
              <w:t xml:space="preserve">Admin queue for reviewing CVs, updating application status, and automatic data retention/cleanup after rejection.</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210.000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240.000</w:t>
            </w:r>
          </w:p>
        </w:tc>
        <w:tc>
          <w:tcPr>
            <w:tcW w:type="dxa" w:w="1200"/>
            <w:shd w:fill="EAF1FB" w:color="auto" w:val="clear"/>
            <w:tcMar>
              <w:top w:type="dxa" w:w="100"/>
              <w:left w:type="dxa" w:w="100"/>
              <w:bottom w:type="dxa" w:w="100"/>
              <w:right w:type="dxa" w:w="100"/>
            </w:tcMar>
            <w:vAlign w:val="center"/>
          </w:tcPr>
          <w:p>
            <w:pPr>
              <w:jc w:val="right"/>
            </w:pPr>
            <w:r>
              <w:rPr>
                <w:b w:val="false"/>
                <w:bCs w:val="false"/>
                <w:i w:val="false"/>
                <w:iCs w:val="false"/>
                <w:sz w:val="17"/>
                <w:szCs w:val="17"/>
              </w:rPr>
              <w:t xml:space="preserve">150.000</w:t>
            </w:r>
          </w:p>
        </w:tc>
        <w:tc>
          <w:tcPr>
            <w:tcW w:type="dxa" w:w="2000"/>
            <w:shd w:fill="EAF1FB" w:color="auto" w:val="clear"/>
            <w:tcMar>
              <w:top w:type="dxa" w:w="100"/>
              <w:left w:type="dxa" w:w="100"/>
              <w:bottom w:type="dxa" w:w="100"/>
              <w:right w:type="dxa" w:w="100"/>
            </w:tcMar>
            <w:vAlign w:val="center"/>
          </w:tcPr>
          <w:p>
            <w:pPr>
              <w:jc w:val="right"/>
            </w:pPr>
            <w:r>
              <w:rPr>
                <w:b/>
                <w:bCs/>
                <w:i w:val="false"/>
                <w:iCs w:val="false"/>
                <w:sz w:val="19"/>
                <w:szCs w:val="19"/>
              </w:rPr>
              <w:t xml:space="preserve">600.000</w:t>
            </w:r>
          </w:p>
        </w:tc>
      </w:tr>
    </w:tbl>
    <w:p>
      <w:pPr>
        <w:spacing w:after="40" w:before="120"/>
        <w:jc w:val="right"/>
      </w:pPr>
      <w:r>
        <w:rPr>
          <w:b/>
          <w:bCs/>
          <w:sz w:val="20"/>
          <w:szCs w:val="20"/>
        </w:rPr>
        <w:t xml:space="preserve">Subtotal — Studio Platform:  15,700.000 JD</w:t>
      </w:r>
    </w:p>
    <w:p>
      <w:pPr>
        <w:pBdr>
          <w:top w:val="single" w:color="0159AE" w:sz="6" w:space="6"/>
        </w:pBdr>
        <w:spacing w:after="200" w:before="200"/>
        <w:jc w:val="right"/>
      </w:pPr>
      <w:r>
        <w:rPr>
          <w:b/>
          <w:bCs/>
          <w:color w:val="0159AE"/>
          <w:sz w:val="26"/>
          <w:szCs w:val="26"/>
        </w:rPr>
        <w:t xml:space="preserve">TOTAL:  21,900.000 JD</w:t>
      </w:r>
    </w:p>
    <w:p>
      <w:pPr>
        <w:pStyle w:val="Heading3"/>
        <w:spacing w:after="120" w:before="260"/>
      </w:pPr>
      <w:r>
        <w:rPr>
          <w:b/>
          <w:bCs/>
          <w:color w:val="0159AE"/>
          <w:sz w:val="22"/>
          <w:szCs w:val="22"/>
        </w:rPr>
        <w:t xml:space="preserve">Cost by Layer (all 23 functionalities)</w:t>
      </w:r>
    </w:p>
    <w:tbl>
      <w:tblPr>
        <w:tblW w:type="dxa" w:w="9746"/>
        <w:tblBorders>
          <w:top w:val="single" w:color="C7D2E0" w:sz="4"/>
          <w:left w:val="single" w:color="C7D2E0" w:sz="4"/>
          <w:bottom w:val="single" w:color="C7D2E0" w:sz="4"/>
          <w:right w:val="single" w:color="C7D2E0" w:sz="4"/>
          <w:insideH w:val="single" w:color="DCE3EC" w:sz="2"/>
          <w:insideV w:val="single" w:color="DCE3EC" w:sz="2"/>
        </w:tblBorders>
      </w:tblPr>
      <w:tblGrid>
        <w:gridCol w:w="3246"/>
        <w:gridCol w:w="2500"/>
        <w:gridCol w:w="2500"/>
        <w:gridCol w:w="1500"/>
      </w:tblGrid>
      <w:tr>
        <w:trPr>
          <w:tblHeader/>
        </w:trPr>
        <w:tc>
          <w:tcPr>
            <w:tcW w:type="dxa" w:w="3246"/>
            <w:shd w:fill="0159AE" w:color="auto" w:val="clear"/>
            <w:tcMar>
              <w:top w:type="dxa" w:w="100"/>
              <w:left w:type="dxa" w:w="100"/>
              <w:bottom w:type="dxa" w:w="100"/>
              <w:right w:type="dxa" w:w="100"/>
            </w:tcMar>
            <w:vAlign w:val="center"/>
          </w:tcPr>
          <w:p>
            <w:pPr>
              <w:jc w:val="left"/>
            </w:pPr>
            <w:r>
              <w:rPr>
                <w:b/>
                <w:bCs/>
                <w:i w:val="false"/>
                <w:iCs w:val="false"/>
                <w:color w:val="FFFFFF"/>
                <w:sz w:val="19"/>
                <w:szCs w:val="19"/>
              </w:rPr>
              <w:t xml:space="preserve">Layer</w:t>
            </w:r>
          </w:p>
        </w:tc>
        <w:tc>
          <w:tcPr>
            <w:tcW w:type="dxa" w:w="2500"/>
            <w:shd w:fill="0159AE" w:color="auto" w:val="clear"/>
            <w:tcMar>
              <w:top w:type="dxa" w:w="100"/>
              <w:left w:type="dxa" w:w="100"/>
              <w:bottom w:type="dxa" w:w="100"/>
              <w:right w:type="dxa" w:w="100"/>
            </w:tcMar>
            <w:vAlign w:val="center"/>
          </w:tcPr>
          <w:p>
            <w:pPr>
              <w:jc w:val="right"/>
            </w:pPr>
            <w:r>
              <w:rPr>
                <w:b/>
                <w:bCs/>
                <w:i w:val="false"/>
                <w:iCs w:val="false"/>
                <w:color w:val="FFFFFF"/>
                <w:sz w:val="19"/>
                <w:szCs w:val="19"/>
              </w:rPr>
              <w:t xml:space="preserve">Total (JD)</w:t>
            </w:r>
          </w:p>
        </w:tc>
        <w:tc>
          <w:tcPr>
            <w:tcW w:type="dxa" w:w="2500"/>
            <w:shd w:fill="0159AE" w:color="auto" w:val="clear"/>
            <w:tcMar>
              <w:top w:type="dxa" w:w="100"/>
              <w:left w:type="dxa" w:w="100"/>
              <w:bottom w:type="dxa" w:w="100"/>
              <w:right w:type="dxa" w:w="100"/>
            </w:tcMar>
            <w:vAlign w:val="center"/>
          </w:tcPr>
          <w:p>
            <w:pPr>
              <w:jc w:val="right"/>
            </w:pPr>
            <w:r>
              <w:rPr>
                <w:b/>
                <w:bCs/>
                <w:i w:val="false"/>
                <w:iCs w:val="false"/>
                <w:color w:val="FFFFFF"/>
                <w:sz w:val="19"/>
                <w:szCs w:val="19"/>
              </w:rPr>
              <w:t xml:space="preserve">Share of Project</w:t>
            </w:r>
          </w:p>
        </w:tc>
        <w:tc>
          <w:tcPr>
            <w:tcW w:type="dxa" w:w="1500"/>
            <w:shd w:fill="0159AE" w:color="auto" w:val="clear"/>
            <w:tcMar>
              <w:top w:type="dxa" w:w="100"/>
              <w:left w:type="dxa" w:w="100"/>
              <w:bottom w:type="dxa" w:w="100"/>
              <w:right w:type="dxa" w:w="100"/>
            </w:tcMar>
            <w:vAlign w:val="center"/>
          </w:tcPr>
          <w:p>
            <w:pPr>
              <w:jc w:val="left"/>
            </w:pPr>
            <w:r>
              <w:rPr>
                <w:b w:val="false"/>
                <w:bCs w:val="false"/>
                <w:i w:val="false"/>
                <w:iCs w:val="false"/>
                <w:sz w:val="19"/>
                <w:szCs w:val="19"/>
              </w:rPr>
              <w:t xml:space="preserve"/>
            </w:r>
          </w:p>
        </w:tc>
      </w:tr>
      <w:tr>
        <w:tc>
          <w:tcPr>
            <w:tcW w:type="dxa" w:w="3246"/>
            <w:shd w:fill="EAF1FB" w:color="auto" w:val="clear"/>
            <w:tcMar>
              <w:top w:type="dxa" w:w="100"/>
              <w:left w:type="dxa" w:w="100"/>
              <w:bottom w:type="dxa" w:w="100"/>
              <w:right w:type="dxa" w:w="100"/>
            </w:tcMar>
            <w:vAlign w:val="center"/>
          </w:tcPr>
          <w:p>
            <w:pPr>
              <w:jc w:val="left"/>
            </w:pPr>
            <w:r>
              <w:rPr>
                <w:b/>
                <w:bCs/>
                <w:i w:val="false"/>
                <w:iCs w:val="false"/>
                <w:sz w:val="19"/>
                <w:szCs w:val="19"/>
              </w:rPr>
              <w:t xml:space="preserve">Frontend</w:t>
            </w:r>
          </w:p>
        </w:tc>
        <w:tc>
          <w:tcPr>
            <w:tcW w:type="dxa" w:w="2500"/>
            <w:shd w:fill="EAF1FB" w:color="auto" w:val="clear"/>
            <w:tcMar>
              <w:top w:type="dxa" w:w="100"/>
              <w:left w:type="dxa" w:w="100"/>
              <w:bottom w:type="dxa" w:w="100"/>
              <w:right w:type="dxa" w:w="100"/>
            </w:tcMar>
            <w:vAlign w:val="center"/>
          </w:tcPr>
          <w:p>
            <w:pPr>
              <w:jc w:val="right"/>
            </w:pPr>
            <w:r>
              <w:rPr>
                <w:b w:val="false"/>
                <w:bCs w:val="false"/>
                <w:i w:val="false"/>
                <w:iCs w:val="false"/>
                <w:sz w:val="19"/>
                <w:szCs w:val="19"/>
              </w:rPr>
              <w:t xml:space="preserve">8,827.500</w:t>
            </w:r>
          </w:p>
        </w:tc>
        <w:tc>
          <w:tcPr>
            <w:tcW w:type="dxa" w:w="2500"/>
            <w:shd w:fill="EAF1FB" w:color="auto" w:val="clear"/>
            <w:tcMar>
              <w:top w:type="dxa" w:w="100"/>
              <w:left w:type="dxa" w:w="100"/>
              <w:bottom w:type="dxa" w:w="100"/>
              <w:right w:type="dxa" w:w="100"/>
            </w:tcMar>
            <w:vAlign w:val="center"/>
          </w:tcPr>
          <w:p>
            <w:pPr>
              <w:jc w:val="right"/>
            </w:pPr>
            <w:r>
              <w:rPr>
                <w:b w:val="false"/>
                <w:bCs w:val="false"/>
                <w:i w:val="false"/>
                <w:iCs w:val="false"/>
                <w:sz w:val="19"/>
                <w:szCs w:val="19"/>
              </w:rPr>
              <w:t xml:space="preserve">40.3%</w:t>
            </w:r>
          </w:p>
        </w:tc>
        <w:tc>
          <w:tcPr>
            <w:tcW w:type="dxa" w:w="1500"/>
            <w:shd w:fill="EAF1FB" w:color="auto" w:val="clear"/>
            <w:tcMar>
              <w:top w:type="dxa" w:w="100"/>
              <w:left w:type="dxa" w:w="100"/>
              <w:bottom w:type="dxa" w:w="100"/>
              <w:right w:type="dxa" w:w="100"/>
            </w:tcMar>
            <w:vAlign w:val="center"/>
          </w:tcPr>
          <w:p>
            <w:pPr>
              <w:jc w:val="left"/>
            </w:pPr>
            <w:r>
              <w:rPr>
                <w:b w:val="false"/>
                <w:bCs w:val="false"/>
                <w:i w:val="false"/>
                <w:iCs w:val="false"/>
                <w:sz w:val="19"/>
                <w:szCs w:val="19"/>
              </w:rPr>
              <w:t xml:space="preserve"/>
            </w:r>
          </w:p>
        </w:tc>
      </w:tr>
      <w:tr>
        <w:tc>
          <w:tcPr>
            <w:tcW w:type="dxa" w:w="3246"/>
            <w:tcMar>
              <w:top w:type="dxa" w:w="100"/>
              <w:left w:type="dxa" w:w="100"/>
              <w:bottom w:type="dxa" w:w="100"/>
              <w:right w:type="dxa" w:w="100"/>
            </w:tcMar>
            <w:vAlign w:val="center"/>
          </w:tcPr>
          <w:p>
            <w:pPr>
              <w:jc w:val="left"/>
            </w:pPr>
            <w:r>
              <w:rPr>
                <w:b/>
                <w:bCs/>
                <w:i w:val="false"/>
                <w:iCs w:val="false"/>
                <w:sz w:val="19"/>
                <w:szCs w:val="19"/>
              </w:rPr>
              <w:t xml:space="preserve">Backend</w:t>
            </w:r>
          </w:p>
        </w:tc>
        <w:tc>
          <w:tcPr>
            <w:tcW w:type="dxa" w:w="2500"/>
            <w:tcMar>
              <w:top w:type="dxa" w:w="100"/>
              <w:left w:type="dxa" w:w="100"/>
              <w:bottom w:type="dxa" w:w="100"/>
              <w:right w:type="dxa" w:w="100"/>
            </w:tcMar>
            <w:vAlign w:val="center"/>
          </w:tcPr>
          <w:p>
            <w:pPr>
              <w:jc w:val="right"/>
            </w:pPr>
            <w:r>
              <w:rPr>
                <w:b w:val="false"/>
                <w:bCs w:val="false"/>
                <w:i w:val="false"/>
                <w:iCs w:val="false"/>
                <w:sz w:val="19"/>
                <w:szCs w:val="19"/>
              </w:rPr>
              <w:t xml:space="preserve">8,415.000</w:t>
            </w:r>
          </w:p>
        </w:tc>
        <w:tc>
          <w:tcPr>
            <w:tcW w:type="dxa" w:w="2500"/>
            <w:tcMar>
              <w:top w:type="dxa" w:w="100"/>
              <w:left w:type="dxa" w:w="100"/>
              <w:bottom w:type="dxa" w:w="100"/>
              <w:right w:type="dxa" w:w="100"/>
            </w:tcMar>
            <w:vAlign w:val="center"/>
          </w:tcPr>
          <w:p>
            <w:pPr>
              <w:jc w:val="right"/>
            </w:pPr>
            <w:r>
              <w:rPr>
                <w:b w:val="false"/>
                <w:bCs w:val="false"/>
                <w:i w:val="false"/>
                <w:iCs w:val="false"/>
                <w:sz w:val="19"/>
                <w:szCs w:val="19"/>
              </w:rPr>
              <w:t xml:space="preserve">38.4%</w:t>
            </w:r>
          </w:p>
        </w:tc>
        <w:tc>
          <w:tcPr>
            <w:tcW w:type="dxa" w:w="1500"/>
            <w:tcMar>
              <w:top w:type="dxa" w:w="100"/>
              <w:left w:type="dxa" w:w="100"/>
              <w:bottom w:type="dxa" w:w="100"/>
              <w:right w:type="dxa" w:w="100"/>
            </w:tcMar>
            <w:vAlign w:val="center"/>
          </w:tcPr>
          <w:p>
            <w:pPr>
              <w:jc w:val="left"/>
            </w:pPr>
            <w:r>
              <w:rPr>
                <w:b w:val="false"/>
                <w:bCs w:val="false"/>
                <w:i w:val="false"/>
                <w:iCs w:val="false"/>
                <w:sz w:val="19"/>
                <w:szCs w:val="19"/>
              </w:rPr>
              <w:t xml:space="preserve"/>
            </w:r>
          </w:p>
        </w:tc>
      </w:tr>
      <w:tr>
        <w:tc>
          <w:tcPr>
            <w:tcW w:type="dxa" w:w="3246"/>
            <w:shd w:fill="EAF1FB" w:color="auto" w:val="clear"/>
            <w:tcMar>
              <w:top w:type="dxa" w:w="100"/>
              <w:left w:type="dxa" w:w="100"/>
              <w:bottom w:type="dxa" w:w="100"/>
              <w:right w:type="dxa" w:w="100"/>
            </w:tcMar>
            <w:vAlign w:val="center"/>
          </w:tcPr>
          <w:p>
            <w:pPr>
              <w:jc w:val="left"/>
            </w:pPr>
            <w:r>
              <w:rPr>
                <w:b/>
                <w:bCs/>
                <w:i w:val="false"/>
                <w:iCs w:val="false"/>
                <w:sz w:val="19"/>
                <w:szCs w:val="19"/>
              </w:rPr>
              <w:t xml:space="preserve">Database</w:t>
            </w:r>
          </w:p>
        </w:tc>
        <w:tc>
          <w:tcPr>
            <w:tcW w:type="dxa" w:w="2500"/>
            <w:shd w:fill="EAF1FB" w:color="auto" w:val="clear"/>
            <w:tcMar>
              <w:top w:type="dxa" w:w="100"/>
              <w:left w:type="dxa" w:w="100"/>
              <w:bottom w:type="dxa" w:w="100"/>
              <w:right w:type="dxa" w:w="100"/>
            </w:tcMar>
            <w:vAlign w:val="center"/>
          </w:tcPr>
          <w:p>
            <w:pPr>
              <w:jc w:val="right"/>
            </w:pPr>
            <w:r>
              <w:rPr>
                <w:b w:val="false"/>
                <w:bCs w:val="false"/>
                <w:i w:val="false"/>
                <w:iCs w:val="false"/>
                <w:sz w:val="19"/>
                <w:szCs w:val="19"/>
              </w:rPr>
              <w:t xml:space="preserve">4,657.500</w:t>
            </w:r>
          </w:p>
        </w:tc>
        <w:tc>
          <w:tcPr>
            <w:tcW w:type="dxa" w:w="2500"/>
            <w:shd w:fill="EAF1FB" w:color="auto" w:val="clear"/>
            <w:tcMar>
              <w:top w:type="dxa" w:w="100"/>
              <w:left w:type="dxa" w:w="100"/>
              <w:bottom w:type="dxa" w:w="100"/>
              <w:right w:type="dxa" w:w="100"/>
            </w:tcMar>
            <w:vAlign w:val="center"/>
          </w:tcPr>
          <w:p>
            <w:pPr>
              <w:jc w:val="right"/>
            </w:pPr>
            <w:r>
              <w:rPr>
                <w:b w:val="false"/>
                <w:bCs w:val="false"/>
                <w:i w:val="false"/>
                <w:iCs w:val="false"/>
                <w:sz w:val="19"/>
                <w:szCs w:val="19"/>
              </w:rPr>
              <w:t xml:space="preserve">21.3%</w:t>
            </w:r>
          </w:p>
        </w:tc>
        <w:tc>
          <w:tcPr>
            <w:tcW w:type="dxa" w:w="1500"/>
            <w:shd w:fill="EAF1FB" w:color="auto" w:val="clear"/>
            <w:tcMar>
              <w:top w:type="dxa" w:w="100"/>
              <w:left w:type="dxa" w:w="100"/>
              <w:bottom w:type="dxa" w:w="100"/>
              <w:right w:type="dxa" w:w="100"/>
            </w:tcMar>
            <w:vAlign w:val="center"/>
          </w:tcPr>
          <w:p>
            <w:pPr>
              <w:jc w:val="left"/>
            </w:pPr>
            <w:r>
              <w:rPr>
                <w:b w:val="false"/>
                <w:bCs w:val="false"/>
                <w:i w:val="false"/>
                <w:iCs w:val="false"/>
                <w:sz w:val="19"/>
                <w:szCs w:val="19"/>
              </w:rPr>
              <w:t xml:space="preserve"/>
            </w:r>
          </w:p>
        </w:tc>
      </w:tr>
    </w:tbl>
    <w:p>
      <w:r>
        <w:br w:type="page"/>
      </w:r>
    </w:p>
    <w:p>
      <w:pPr>
        <w:pStyle w:val="Heading2"/>
        <w:spacing w:after="160" w:before="360"/>
      </w:pPr>
      <w:r>
        <w:rPr>
          <w:b/>
          <w:bCs/>
          <w:color w:val="0159AE"/>
        </w:rPr>
        <w:t xml:space="preserve">3. Ongoing Costs &amp; Change Requests</w:t>
      </w:r>
    </w:p>
    <w:p>
      <w:pPr>
        <w:pStyle w:val="Heading3"/>
        <w:spacing w:after="120" w:before="260"/>
      </w:pPr>
      <w:r>
        <w:rPr>
          <w:b/>
          <w:bCs/>
          <w:color w:val="0159AE"/>
          <w:sz w:val="22"/>
          <w:szCs w:val="22"/>
        </w:rPr>
        <w:t xml:space="preserve">Annual Maintenance</w:t>
      </w:r>
    </w:p>
    <w:p>
      <w:pPr>
        <w:spacing w:after="100"/>
      </w:pPr>
      <w:r>
        <w:rPr>
          <w:b/>
          <w:bCs/>
          <w:sz w:val="20"/>
          <w:szCs w:val="20"/>
        </w:rPr>
        <w:t xml:space="preserve">An annual maintenance plan covering all functionality delivered in this quotation is available at 3,942.000 JD / year (18% of total build value).</w:t>
      </w:r>
    </w:p>
    <w:p>
      <w:pPr>
        <w:spacing w:after="80"/>
      </w:pPr>
      <w:r>
        <w:rPr>
          <w:sz w:val="19"/>
          <w:szCs w:val="19"/>
        </w:rPr>
        <w:t xml:space="preserve">•  Hosting environment monitoring and uptime checks.</w:t>
      </w:r>
    </w:p>
    <w:p>
      <w:pPr>
        <w:spacing w:after="80"/>
      </w:pPr>
      <w:r>
        <w:rPr>
          <w:sz w:val="19"/>
          <w:szCs w:val="19"/>
        </w:rPr>
        <w:t xml:space="preserve">•  Security patches and dependency/version updates (frontend, backend, and database).</w:t>
      </w:r>
    </w:p>
    <w:p>
      <w:pPr>
        <w:spacing w:after="80"/>
      </w:pPr>
      <w:r>
        <w:rPr>
          <w:sz w:val="19"/>
          <w:szCs w:val="19"/>
        </w:rPr>
        <w:t xml:space="preserve">•  Bug fixes on functionality delivered under this quotation.</w:t>
      </w:r>
    </w:p>
    <w:p>
      <w:pPr>
        <w:spacing w:after="80"/>
      </w:pPr>
      <w:r>
        <w:rPr>
          <w:sz w:val="19"/>
          <w:szCs w:val="19"/>
        </w:rPr>
        <w:t xml:space="preserve">•  Minor content-model or configuration adjustments that don't require new functionality.</w:t>
      </w:r>
    </w:p>
    <w:p>
      <w:pPr>
        <w:spacing w:after="80"/>
      </w:pPr>
      <w:r>
        <w:rPr>
          <w:sz w:val="19"/>
          <w:szCs w:val="19"/>
        </w:rPr>
        <w:t xml:space="preserve">•  Does not include new feature development — see below.</w:t>
      </w:r>
    </w:p>
    <w:p>
      <w:pPr>
        <w:pStyle w:val="Heading3"/>
        <w:spacing w:after="120" w:before="260"/>
      </w:pPr>
      <w:r>
        <w:rPr>
          <w:b/>
          <w:bCs/>
          <w:color w:val="0159AE"/>
          <w:sz w:val="22"/>
          <w:szCs w:val="22"/>
        </w:rPr>
        <w:t xml:space="preserve">New Feature Requests</w:t>
      </w:r>
    </w:p>
    <w:p>
      <w:pPr>
        <w:spacing w:after="100"/>
      </w:pPr>
      <w:r>
        <w:rPr>
          <w:sz w:val="20"/>
          <w:szCs w:val="20"/>
        </w:rPr>
        <w:t xml:space="preserve">Functionality requested after delivery is priced using one of two methods, depending on size:</w:t>
      </w:r>
    </w:p>
    <w:p>
      <w:pPr>
        <w:spacing w:after="80"/>
      </w:pPr>
      <w:r>
        <w:rPr>
          <w:sz w:val="19"/>
          <w:szCs w:val="19"/>
        </w:rPr>
        <w:t xml:space="preserve">•  Larger features: quoted as a fixed price up front, broken down by Frontend / Backend / Database effort using the same methodology as this document.</w:t>
      </w:r>
    </w:p>
    <w:p>
      <w:pPr>
        <w:spacing w:after="80"/>
      </w:pPr>
      <w:r>
        <w:rPr>
          <w:sz w:val="19"/>
          <w:szCs w:val="19"/>
        </w:rPr>
        <w:t xml:space="preserve">•  Small changes or ad-hoc requests: billed hourly at the discipline rates below.</w:t>
      </w:r>
    </w:p>
    <w:tbl>
      <w:tblPr>
        <w:tblW w:type="dxa" w:w="9746"/>
        <w:tblBorders>
          <w:top w:val="single" w:color="C7D2E0" w:sz="4"/>
          <w:left w:val="single" w:color="C7D2E0" w:sz="4"/>
          <w:bottom w:val="single" w:color="C7D2E0" w:sz="4"/>
          <w:right w:val="single" w:color="C7D2E0" w:sz="4"/>
          <w:insideH w:val="single" w:color="DCE3EC" w:sz="2"/>
          <w:insideV w:val="single" w:color="DCE3EC" w:sz="2"/>
        </w:tblBorders>
      </w:tblPr>
      <w:tblGrid>
        <w:gridCol w:w="5746"/>
        <w:gridCol w:w="4000"/>
      </w:tblGrid>
      <w:tr>
        <w:trPr>
          <w:tblHeader/>
        </w:trPr>
        <w:tc>
          <w:tcPr>
            <w:tcW w:type="dxa" w:w="5746"/>
            <w:shd w:fill="0159AE" w:color="auto" w:val="clear"/>
            <w:tcMar>
              <w:top w:type="dxa" w:w="100"/>
              <w:left w:type="dxa" w:w="100"/>
              <w:bottom w:type="dxa" w:w="100"/>
              <w:right w:type="dxa" w:w="100"/>
            </w:tcMar>
            <w:vAlign w:val="center"/>
          </w:tcPr>
          <w:p>
            <w:pPr>
              <w:jc w:val="left"/>
            </w:pPr>
            <w:r>
              <w:rPr>
                <w:b/>
                <w:bCs/>
                <w:i w:val="false"/>
                <w:iCs w:val="false"/>
                <w:color w:val="FFFFFF"/>
                <w:sz w:val="19"/>
                <w:szCs w:val="19"/>
              </w:rPr>
              <w:t xml:space="preserve">Discipline</w:t>
            </w:r>
          </w:p>
        </w:tc>
        <w:tc>
          <w:tcPr>
            <w:tcW w:type="dxa" w:w="4000"/>
            <w:shd w:fill="0159AE" w:color="auto" w:val="clear"/>
            <w:tcMar>
              <w:top w:type="dxa" w:w="100"/>
              <w:left w:type="dxa" w:w="100"/>
              <w:bottom w:type="dxa" w:w="100"/>
              <w:right w:type="dxa" w:w="100"/>
            </w:tcMar>
            <w:vAlign w:val="center"/>
          </w:tcPr>
          <w:p>
            <w:pPr>
              <w:jc w:val="right"/>
            </w:pPr>
            <w:r>
              <w:rPr>
                <w:b/>
                <w:bCs/>
                <w:i w:val="false"/>
                <w:iCs w:val="false"/>
                <w:color w:val="FFFFFF"/>
                <w:sz w:val="19"/>
                <w:szCs w:val="19"/>
              </w:rPr>
              <w:t xml:space="preserve">Rate</w:t>
            </w:r>
          </w:p>
        </w:tc>
      </w:tr>
      <w:tr>
        <w:tc>
          <w:tcPr>
            <w:tcW w:type="dxa" w:w="5746"/>
            <w:shd w:fill="EAF1FB" w:color="auto" w:val="clear"/>
            <w:tcMar>
              <w:top w:type="dxa" w:w="100"/>
              <w:left w:type="dxa" w:w="100"/>
              <w:bottom w:type="dxa" w:w="100"/>
              <w:right w:type="dxa" w:w="100"/>
            </w:tcMar>
            <w:vAlign w:val="center"/>
          </w:tcPr>
          <w:p>
            <w:pPr>
              <w:jc w:val="left"/>
            </w:pPr>
            <w:r>
              <w:rPr>
                <w:b/>
                <w:bCs/>
                <w:i w:val="false"/>
                <w:iCs w:val="false"/>
                <w:sz w:val="19"/>
                <w:szCs w:val="19"/>
              </w:rPr>
              <w:t xml:space="preserve">Frontend Development</w:t>
            </w:r>
          </w:p>
        </w:tc>
        <w:tc>
          <w:tcPr>
            <w:tcW w:type="dxa" w:w="4000"/>
            <w:shd w:fill="EAF1FB" w:color="auto" w:val="clear"/>
            <w:tcMar>
              <w:top w:type="dxa" w:w="100"/>
              <w:left w:type="dxa" w:w="100"/>
              <w:bottom w:type="dxa" w:w="100"/>
              <w:right w:type="dxa" w:w="100"/>
            </w:tcMar>
            <w:vAlign w:val="center"/>
          </w:tcPr>
          <w:p>
            <w:pPr>
              <w:jc w:val="right"/>
            </w:pPr>
            <w:r>
              <w:rPr>
                <w:b w:val="false"/>
                <w:bCs w:val="false"/>
                <w:i w:val="false"/>
                <w:iCs w:val="false"/>
                <w:sz w:val="19"/>
                <w:szCs w:val="19"/>
              </w:rPr>
              <w:t xml:space="preserve">22.000 JD / hour</w:t>
            </w:r>
          </w:p>
        </w:tc>
      </w:tr>
      <w:tr>
        <w:tc>
          <w:tcPr>
            <w:tcW w:type="dxa" w:w="5746"/>
            <w:tcMar>
              <w:top w:type="dxa" w:w="100"/>
              <w:left w:type="dxa" w:w="100"/>
              <w:bottom w:type="dxa" w:w="100"/>
              <w:right w:type="dxa" w:w="100"/>
            </w:tcMar>
            <w:vAlign w:val="center"/>
          </w:tcPr>
          <w:p>
            <w:pPr>
              <w:jc w:val="left"/>
            </w:pPr>
            <w:r>
              <w:rPr>
                <w:b/>
                <w:bCs/>
                <w:i w:val="false"/>
                <w:iCs w:val="false"/>
                <w:sz w:val="19"/>
                <w:szCs w:val="19"/>
              </w:rPr>
              <w:t xml:space="preserve">Backend Development</w:t>
            </w:r>
          </w:p>
        </w:tc>
        <w:tc>
          <w:tcPr>
            <w:tcW w:type="dxa" w:w="4000"/>
            <w:tcMar>
              <w:top w:type="dxa" w:w="100"/>
              <w:left w:type="dxa" w:w="100"/>
              <w:bottom w:type="dxa" w:w="100"/>
              <w:right w:type="dxa" w:w="100"/>
            </w:tcMar>
            <w:vAlign w:val="center"/>
          </w:tcPr>
          <w:p>
            <w:pPr>
              <w:jc w:val="right"/>
            </w:pPr>
            <w:r>
              <w:rPr>
                <w:b w:val="false"/>
                <w:bCs w:val="false"/>
                <w:i w:val="false"/>
                <w:iCs w:val="false"/>
                <w:sz w:val="19"/>
                <w:szCs w:val="19"/>
              </w:rPr>
              <w:t xml:space="preserve">26.000 JD / hour</w:t>
            </w:r>
          </w:p>
        </w:tc>
      </w:tr>
      <w:tr>
        <w:tc>
          <w:tcPr>
            <w:tcW w:type="dxa" w:w="5746"/>
            <w:shd w:fill="EAF1FB" w:color="auto" w:val="clear"/>
            <w:tcMar>
              <w:top w:type="dxa" w:w="100"/>
              <w:left w:type="dxa" w:w="100"/>
              <w:bottom w:type="dxa" w:w="100"/>
              <w:right w:type="dxa" w:w="100"/>
            </w:tcMar>
            <w:vAlign w:val="center"/>
          </w:tcPr>
          <w:p>
            <w:pPr>
              <w:jc w:val="left"/>
            </w:pPr>
            <w:r>
              <w:rPr>
                <w:b/>
                <w:bCs/>
                <w:i w:val="false"/>
                <w:iCs w:val="false"/>
                <w:sz w:val="19"/>
                <w:szCs w:val="19"/>
              </w:rPr>
              <w:t xml:space="preserve">Database &amp; Infrastructure</w:t>
            </w:r>
          </w:p>
        </w:tc>
        <w:tc>
          <w:tcPr>
            <w:tcW w:type="dxa" w:w="4000"/>
            <w:shd w:fill="EAF1FB" w:color="auto" w:val="clear"/>
            <w:tcMar>
              <w:top w:type="dxa" w:w="100"/>
              <w:left w:type="dxa" w:w="100"/>
              <w:bottom w:type="dxa" w:w="100"/>
              <w:right w:type="dxa" w:w="100"/>
            </w:tcMar>
            <w:vAlign w:val="center"/>
          </w:tcPr>
          <w:p>
            <w:pPr>
              <w:jc w:val="right"/>
            </w:pPr>
            <w:r>
              <w:rPr>
                <w:b w:val="false"/>
                <w:bCs w:val="false"/>
                <w:i w:val="false"/>
                <w:iCs w:val="false"/>
                <w:sz w:val="19"/>
                <w:szCs w:val="19"/>
              </w:rPr>
              <w:t xml:space="preserve">24.000 JD / hour</w:t>
            </w:r>
          </w:p>
        </w:tc>
      </w:tr>
    </w:tbl>
    <w:p>
      <w:pPr>
        <w:pStyle w:val="Heading3"/>
        <w:spacing w:after="120" w:before="260"/>
      </w:pPr>
      <w:r>
        <w:rPr>
          <w:b/>
          <w:bCs/>
          <w:color w:val="0159AE"/>
          <w:sz w:val="22"/>
          <w:szCs w:val="22"/>
        </w:rPr>
        <w:t xml:space="preserve">Deployment on Client-Owned Infrastructure</w:t>
      </w:r>
    </w:p>
    <w:p>
      <w:pPr>
        <w:spacing w:after="100" w:before="160"/>
      </w:pPr>
      <w:r>
        <w:rPr>
          <w:b/>
          <w:bCs/>
          <w:sz w:val="20"/>
          <w:szCs w:val="20"/>
        </w:rPr>
        <w:t xml:space="preserve">If the platform needs to be deployed under the client's own hosting/cloud account rather than the developer's, a one-time deployment fee of 750.000 JD applies, covering:</w:t>
      </w:r>
    </w:p>
    <w:p>
      <w:pPr>
        <w:spacing w:after="80"/>
      </w:pPr>
      <w:r>
        <w:rPr>
          <w:sz w:val="19"/>
          <w:szCs w:val="19"/>
        </w:rPr>
        <w:t xml:space="preserve">•  Environment provisioning on the client's chosen hosting/cloud account.</w:t>
      </w:r>
    </w:p>
    <w:p>
      <w:pPr>
        <w:spacing w:after="80"/>
      </w:pPr>
      <w:r>
        <w:rPr>
          <w:sz w:val="19"/>
          <w:szCs w:val="19"/>
        </w:rPr>
        <w:t xml:space="preserve">•  Secure migration of environment variables, secrets, and the database connection.</w:t>
      </w:r>
    </w:p>
    <w:p>
      <w:pPr>
        <w:spacing w:after="80"/>
      </w:pPr>
      <w:r>
        <w:rPr>
          <w:sz w:val="19"/>
          <w:szCs w:val="19"/>
        </w:rPr>
        <w:t xml:space="preserve">•  Domain, DNS, and SSL configuration.</w:t>
      </w:r>
    </w:p>
    <w:p>
      <w:pPr>
        <w:spacing w:after="80"/>
      </w:pPr>
      <w:r>
        <w:rPr>
          <w:sz w:val="19"/>
          <w:szCs w:val="19"/>
        </w:rPr>
        <w:t xml:space="preserve">•  Post-deployment verification and smoke testing.</w:t>
      </w:r>
    </w:p>
    <w:p>
      <w:pPr>
        <w:spacing w:after="200"/>
      </w:pPr>
      <w:r>
        <w:rPr>
          <w:i/>
          <w:iCs/>
          <w:color w:val="5B6472"/>
          <w:sz w:val="19"/>
          <w:szCs w:val="19"/>
        </w:rPr>
        <w:t xml:space="preserve">Once deployed on the client's own account, ongoing hosting/infrastructure costs are billed directly by that provider to the client and are not included in MegaTech Arabia's fees.</w:t>
      </w:r>
    </w:p>
    <w:p>
      <w:pPr>
        <w:pStyle w:val="Heading2"/>
        <w:spacing w:after="160" w:before="360"/>
      </w:pPr>
      <w:r>
        <w:rPr>
          <w:b/>
          <w:bCs/>
          <w:color w:val="0159AE"/>
        </w:rPr>
        <w:t xml:space="preserve">Notes</w:t>
      </w:r>
    </w:p>
    <w:p>
      <w:pPr>
        <w:spacing w:after="80"/>
      </w:pPr>
      <w:r>
        <w:rPr>
          <w:sz w:val="19"/>
          <w:szCs w:val="19"/>
        </w:rPr>
        <w:t xml:space="preserve">•  Pricing reflects estimated development effort per functionality and is provided for planning purposes — final figures may be adjusted once scope is confirmed.</w:t>
      </w:r>
    </w:p>
    <w:p>
      <w:pPr>
        <w:spacing w:after="80"/>
      </w:pPr>
      <w:r>
        <w:rPr>
          <w:sz w:val="19"/>
          <w:szCs w:val="19"/>
        </w:rPr>
        <w:t xml:space="preserve">•  Prices exclude applicable taxes and third-party service fees (hosting, domain, storage) unless deployment is handled under MegaTech Arabia's own infrastructure.</w:t>
      </w:r>
    </w:p>
    <w:p>
      <w:pPr>
        <w:spacing w:after="80"/>
      </w:pPr>
      <w:r>
        <w:rPr>
          <w:sz w:val="19"/>
          <w:szCs w:val="19"/>
        </w:rPr>
        <w:t xml:space="preserve">•  This quotation is valid until 22 August 2026.</w:t>
      </w:r>
    </w:p>
    <w:p>
      <w:pPr>
        <w:spacing w:after="80"/>
      </w:pPr>
      <w:r>
        <w:rPr>
          <w:sz w:val="19"/>
          <w:szCs w:val="19"/>
        </w:rPr>
        <w:t xml:space="preserve">•  A 50% deposit is typically requested prior to work commencing, with the balance due on delivery — adjust to your standard terms.</w:t>
      </w:r>
    </w:p>
    <w:p>
      <w:pPr>
        <w:spacing w:before="400"/>
      </w:pPr>
      <w:r>
        <w:rPr>
          <w:sz w:val="20"/>
          <w:szCs w:val="20"/>
        </w:rPr>
        <w:t xml:space="preserve">Authorized signature: ________________________        Date: 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edabf19151523450715011f459fd9b096a9fb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2026-07-23T12:31:49.614Z</dcterms:created>
  <dcterms:modified xsi:type="dcterms:W3CDTF">2026-07-23T12:31:49.617Z</dcterms:modified>
</cp:coreProperties>
</file>

<file path=docProps/custom.xml><?xml version="1.0" encoding="utf-8"?>
<Properties xmlns="http://schemas.openxmlformats.org/officeDocument/2006/custom-properties" xmlns:vt="http://schemas.openxmlformats.org/officeDocument/2006/docPropsVTypes"/>
</file>