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SERVICES CONTRACT</w:t>
      </w:r>
    </w:p>
    <w:p>
      <w:r>
        <w:t>Agreement between Client and Consultant.</w:t>
      </w:r>
    </w:p>
    <w:p>
      <w:pPr>
        <w:pStyle w:val="Heading1"/>
      </w:pPr>
      <w:r>
        <w:t>1. 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Payment Terms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Initial Architecture</w:t>
            </w:r>
          </w:p>
        </w:tc>
        <w:tc>
          <w:tcPr>
            <w:tcW w:type="dxa" w:w="2880"/>
          </w:tcPr>
          <w:p>
            <w:r>
              <w:t>Advance payment required prior to commencement.</w:t>
            </w:r>
          </w:p>
        </w:tc>
      </w:tr>
    </w:tbl>
    <w:p>
      <w:pPr>
        <w:pStyle w:val="Heading1"/>
      </w:pPr>
      <w:r>
        <w:t>2. Termination</w:t>
      </w:r>
    </w:p>
    <w:p>
      <w:r>
        <w:t>Either party may terminate this agreement upon sixty (60) days written notice.</w:t>
      </w:r>
    </w:p>
    <w:p>
      <w:pPr>
        <w:pStyle w:val="Heading1"/>
      </w:pPr>
      <w:r>
        <w:t>3. Liability</w:t>
      </w:r>
    </w:p>
    <w:p>
      <w:r>
        <w:t>Total liability of either party shall be limited to the fees actually paid under this contract.</w:t>
      </w:r>
    </w:p>
    <w:p>
      <w:pPr>
        <w:pStyle w:val="Heading1"/>
      </w:pPr>
      <w:r>
        <w:t>4. Governing Law</w:t>
      </w:r>
    </w:p>
    <w:p>
      <w:r>
        <w:t>This contract shall be governed by the laws of India, and disputes shall be resolved in Chennai.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