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EMPLOYMENT AGREEMENT</w:t>
      </w:r>
    </w:p>
    <w:p>
      <w:r>
        <w:t>This Employment Agreement is entered into by TechSolutions Pvt. Ltd. and Employee.</w:t>
      </w:r>
    </w:p>
    <w:p>
      <w:pPr>
        <w:pStyle w:val="Heading2"/>
      </w:pPr>
      <w:r>
        <w:t>1. Position and Compensation</w:t>
      </w:r>
    </w:p>
    <w:p>
      <w:r>
        <w:t>Employer shall disburse monthly salary and approved allowances within fifteen (15) days following each pay cycle.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Compensation Component</w:t>
            </w:r>
          </w:p>
        </w:tc>
        <w:tc>
          <w:tcPr>
            <w:tcW w:type="dxa" w:w="4320"/>
          </w:tcPr>
          <w:p>
            <w:r>
              <w:t>Disbursement Cycle</w:t>
            </w:r>
          </w:p>
        </w:tc>
      </w:tr>
      <w:tr>
        <w:tc>
          <w:tcPr>
            <w:tcW w:type="dxa" w:w="4320"/>
          </w:tcPr>
          <w:p>
            <w:r>
              <w:t>Base Salary</w:t>
            </w:r>
          </w:p>
        </w:tc>
        <w:tc>
          <w:tcPr>
            <w:tcW w:type="dxa" w:w="4320"/>
          </w:tcPr>
          <w:p>
            <w:r>
              <w:t>Payment within 15 days of calendar month end</w:t>
            </w:r>
          </w:p>
        </w:tc>
      </w:tr>
    </w:tbl>
    <w:p>
      <w:pPr>
        <w:pStyle w:val="Heading2"/>
      </w:pPr>
      <w:r>
        <w:t>2. Term and Termination</w:t>
      </w:r>
    </w:p>
    <w:p>
      <w:r>
        <w:t>Either party may terminate this employment relationship upon ninety (90) days advance written notice or payment in lieu thereof.</w:t>
      </w:r>
    </w:p>
    <w:p>
      <w:pPr>
        <w:pStyle w:val="Heading2"/>
      </w:pPr>
      <w:r>
        <w:t>3. Limitation of Liability</w:t>
      </w:r>
    </w:p>
    <w:p>
      <w:r>
        <w:t>Employee's total aggregate liability to Employer for property loss shall not exceed one month's base salary.</w:t>
      </w:r>
    </w:p>
    <w:p>
      <w:pPr>
        <w:pStyle w:val="Heading2"/>
      </w:pPr>
      <w:r>
        <w:t>4. Governing Law and Disputes</w:t>
      </w:r>
    </w:p>
    <w:p>
      <w:r>
        <w:t>This Agreement shall be governed by the laws of India, and courts in Bengaluru, Karnataka shall have exclusive jurisdiction.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