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SUPPLY AND PROCUREMENT AGREEMENT</w:t>
      </w:r>
    </w:p>
    <w:p>
      <w:pPr>
        <w:pStyle w:val="Heading2"/>
      </w:pPr>
      <w:r>
        <w:t>Clause 1. Supply Deliverables</w:t>
      </w:r>
    </w:p>
    <w:p>
      <w:r>
        <w:t>Supplier shall supply manufacturing materials according to the schedule.</w:t>
      </w:r>
    </w:p>
    <w:p>
      <w:pPr>
        <w:pStyle w:val="Heading2"/>
      </w:pPr>
      <w:r>
        <w:t>Clause 2. Payment Terms</w:t>
      </w:r>
    </w:p>
    <w:p>
      <w:r>
        <w:t>Payment shall be made on a Net 45 basis upon receipt of invoice.</w:t>
      </w:r>
    </w:p>
    <w:p>
      <w:pPr>
        <w:pStyle w:val="Heading2"/>
      </w:pPr>
      <w:r>
        <w:t>Clause 3. Contract Term and Extension</w:t>
      </w:r>
    </w:p>
    <w:p>
      <w:r>
        <w:t>This contract shall automatically renew for successive terms of 24 months unless sixty (60) days cancellation notice is provided.</w:t>
      </w:r>
    </w:p>
    <w:p>
      <w:pPr>
        <w:pStyle w:val="Heading2"/>
      </w:pPr>
      <w:r>
        <w:t>Clause 4. Uncapped Indemnification</w:t>
      </w:r>
    </w:p>
    <w:p>
      <w:r>
        <w:t>Supplier liability under this Agreement shall be uncapped and unlimited for all third-party intellectual property infringement claims.</w:t>
      </w:r>
    </w:p>
    <w:p>
      <w:pPr>
        <w:pStyle w:val="Heading2"/>
      </w:pPr>
      <w:r>
        <w:t>Clause 5. Governing Law</w:t>
      </w:r>
    </w:p>
    <w:p>
      <w:r>
        <w:t>This Agreement is governed by the laws of England and Wales with jurisdiction in London courts.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