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F217B" w14:textId="18E2F75F" w:rsidR="00433D07" w:rsidRPr="003908CB" w:rsidRDefault="00433D07" w:rsidP="003908CB">
      <w:pPr>
        <w:jc w:val="center"/>
        <w:rPr>
          <w:rFonts w:ascii="Calibri" w:hAnsi="Calibri" w:cs="Calibri"/>
          <w:b/>
          <w:bCs/>
          <w:color w:val="BF4E14" w:themeColor="accent2" w:themeShade="BF"/>
          <w:sz w:val="36"/>
          <w:szCs w:val="36"/>
          <w:u w:val="single"/>
        </w:rPr>
      </w:pPr>
      <w:r w:rsidRPr="007F6476">
        <w:rPr>
          <w:rFonts w:ascii="Calibri" w:hAnsi="Calibri" w:cs="Calibri"/>
          <w:b/>
          <w:bCs/>
          <w:color w:val="BF4E14" w:themeColor="accent2" w:themeShade="BF"/>
          <w:sz w:val="36"/>
          <w:szCs w:val="36"/>
          <w:u w:val="single"/>
        </w:rPr>
        <w:t>Financial Statement Analysis of Companies</w:t>
      </w:r>
    </w:p>
    <w:p w14:paraId="73EE5294" w14:textId="77777777" w:rsidR="003908CB" w:rsidRPr="007F6476" w:rsidRDefault="003908CB" w:rsidP="00433D07">
      <w:pPr>
        <w:rPr>
          <w:rFonts w:ascii="Calibri" w:hAnsi="Calibri" w:cs="Calibri"/>
          <w:b/>
          <w:bCs/>
          <w:sz w:val="32"/>
          <w:szCs w:val="32"/>
        </w:rPr>
      </w:pPr>
    </w:p>
    <w:tbl>
      <w:tblPr>
        <w:tblW w:w="7460" w:type="dxa"/>
        <w:jc w:val="center"/>
        <w:tblLook w:val="04A0" w:firstRow="1" w:lastRow="0" w:firstColumn="1" w:lastColumn="0" w:noHBand="0" w:noVBand="1"/>
      </w:tblPr>
      <w:tblGrid>
        <w:gridCol w:w="2069"/>
        <w:gridCol w:w="1761"/>
        <w:gridCol w:w="3630"/>
      </w:tblGrid>
      <w:tr w:rsidR="00433D07" w:rsidRPr="007F6476" w14:paraId="594231FB" w14:textId="77777777" w:rsidTr="00433D07">
        <w:trPr>
          <w:trHeight w:val="300"/>
          <w:jc w:val="center"/>
        </w:trPr>
        <w:tc>
          <w:tcPr>
            <w:tcW w:w="7460" w:type="dxa"/>
            <w:gridSpan w:val="3"/>
            <w:tcBorders>
              <w:top w:val="single" w:sz="4" w:space="0" w:color="auto"/>
              <w:left w:val="single" w:sz="4" w:space="0" w:color="auto"/>
              <w:bottom w:val="single" w:sz="4" w:space="0" w:color="auto"/>
              <w:right w:val="single" w:sz="4" w:space="0" w:color="auto"/>
            </w:tcBorders>
            <w:shd w:val="clear" w:color="FFFF00" w:fill="FFFF00"/>
            <w:noWrap/>
            <w:vAlign w:val="bottom"/>
            <w:hideMark/>
          </w:tcPr>
          <w:p w14:paraId="7CDA2ECC" w14:textId="1985ECD9" w:rsidR="00433D07" w:rsidRPr="007F6476" w:rsidRDefault="00433D07" w:rsidP="00433D07">
            <w:pPr>
              <w:spacing w:after="0" w:line="240" w:lineRule="auto"/>
              <w:jc w:val="center"/>
              <w:rPr>
                <w:rFonts w:ascii="Calibri" w:eastAsia="Times New Roman" w:hAnsi="Calibri" w:cs="Calibri"/>
                <w:b/>
                <w:bCs/>
                <w:color w:val="000000"/>
                <w:kern w:val="0"/>
                <w:sz w:val="22"/>
                <w:szCs w:val="22"/>
                <w:lang w:eastAsia="en-IN"/>
                <w14:ligatures w14:val="none"/>
              </w:rPr>
            </w:pPr>
            <w:r w:rsidRPr="007F6476">
              <w:rPr>
                <w:rFonts w:ascii="Calibri" w:eastAsia="Times New Roman" w:hAnsi="Calibri" w:cs="Calibri"/>
                <w:b/>
                <w:bCs/>
                <w:color w:val="000000"/>
                <w:kern w:val="0"/>
                <w:sz w:val="22"/>
                <w:szCs w:val="22"/>
                <w:lang w:eastAsia="en-IN"/>
                <w14:ligatures w14:val="none"/>
              </w:rPr>
              <w:t>FMA Assignment MBAZC415</w:t>
            </w:r>
          </w:p>
        </w:tc>
      </w:tr>
      <w:tr w:rsidR="00433D07" w:rsidRPr="007F6476" w14:paraId="289B2454" w14:textId="77777777" w:rsidTr="00433D07">
        <w:trPr>
          <w:trHeight w:val="300"/>
          <w:jc w:val="center"/>
        </w:trPr>
        <w:tc>
          <w:tcPr>
            <w:tcW w:w="2069" w:type="dxa"/>
            <w:tcBorders>
              <w:top w:val="nil"/>
              <w:left w:val="single" w:sz="4" w:space="0" w:color="auto"/>
              <w:bottom w:val="single" w:sz="4" w:space="0" w:color="auto"/>
              <w:right w:val="single" w:sz="4" w:space="0" w:color="auto"/>
            </w:tcBorders>
            <w:shd w:val="clear" w:color="C9DAF8" w:fill="C9DAF8"/>
            <w:noWrap/>
            <w:vAlign w:val="bottom"/>
            <w:hideMark/>
          </w:tcPr>
          <w:p w14:paraId="5B845D59" w14:textId="77777777" w:rsidR="00433D07" w:rsidRPr="007F6476" w:rsidRDefault="00433D07" w:rsidP="00433D07">
            <w:pPr>
              <w:spacing w:after="0" w:line="240" w:lineRule="auto"/>
              <w:rPr>
                <w:rFonts w:ascii="Calibri" w:eastAsia="Times New Roman" w:hAnsi="Calibri" w:cs="Calibri"/>
                <w:b/>
                <w:bCs/>
                <w:color w:val="000000"/>
                <w:kern w:val="0"/>
                <w:sz w:val="22"/>
                <w:szCs w:val="22"/>
                <w:lang w:eastAsia="en-IN"/>
                <w14:ligatures w14:val="none"/>
              </w:rPr>
            </w:pPr>
            <w:r w:rsidRPr="007F6476">
              <w:rPr>
                <w:rFonts w:ascii="Calibri" w:eastAsia="Times New Roman" w:hAnsi="Calibri" w:cs="Calibri"/>
                <w:b/>
                <w:bCs/>
                <w:color w:val="000000"/>
                <w:kern w:val="0"/>
                <w:sz w:val="22"/>
                <w:szCs w:val="22"/>
                <w:lang w:eastAsia="en-IN"/>
                <w14:ligatures w14:val="none"/>
              </w:rPr>
              <w:t>Name</w:t>
            </w:r>
          </w:p>
        </w:tc>
        <w:tc>
          <w:tcPr>
            <w:tcW w:w="1761" w:type="dxa"/>
            <w:tcBorders>
              <w:top w:val="nil"/>
              <w:left w:val="nil"/>
              <w:bottom w:val="single" w:sz="4" w:space="0" w:color="auto"/>
              <w:right w:val="single" w:sz="4" w:space="0" w:color="auto"/>
            </w:tcBorders>
            <w:shd w:val="clear" w:color="C9DAF8" w:fill="C9DAF8"/>
            <w:noWrap/>
            <w:vAlign w:val="bottom"/>
            <w:hideMark/>
          </w:tcPr>
          <w:p w14:paraId="7FFE0023" w14:textId="77777777" w:rsidR="00433D07" w:rsidRPr="007F6476" w:rsidRDefault="00433D07" w:rsidP="00433D07">
            <w:pPr>
              <w:spacing w:after="0" w:line="240" w:lineRule="auto"/>
              <w:rPr>
                <w:rFonts w:ascii="Calibri" w:eastAsia="Times New Roman" w:hAnsi="Calibri" w:cs="Calibri"/>
                <w:b/>
                <w:bCs/>
                <w:color w:val="000000"/>
                <w:kern w:val="0"/>
                <w:sz w:val="22"/>
                <w:szCs w:val="22"/>
                <w:lang w:eastAsia="en-IN"/>
                <w14:ligatures w14:val="none"/>
              </w:rPr>
            </w:pPr>
            <w:r w:rsidRPr="007F6476">
              <w:rPr>
                <w:rFonts w:ascii="Calibri" w:eastAsia="Times New Roman" w:hAnsi="Calibri" w:cs="Calibri"/>
                <w:b/>
                <w:bCs/>
                <w:color w:val="000000"/>
                <w:kern w:val="0"/>
                <w:sz w:val="22"/>
                <w:szCs w:val="22"/>
                <w:lang w:eastAsia="en-IN"/>
                <w14:ligatures w14:val="none"/>
              </w:rPr>
              <w:t>Students ID</w:t>
            </w:r>
          </w:p>
        </w:tc>
        <w:tc>
          <w:tcPr>
            <w:tcW w:w="3630" w:type="dxa"/>
            <w:tcBorders>
              <w:top w:val="nil"/>
              <w:left w:val="nil"/>
              <w:bottom w:val="single" w:sz="4" w:space="0" w:color="auto"/>
              <w:right w:val="single" w:sz="4" w:space="0" w:color="auto"/>
            </w:tcBorders>
            <w:shd w:val="clear" w:color="C9DAF8" w:fill="C9DAF8"/>
            <w:noWrap/>
            <w:vAlign w:val="bottom"/>
            <w:hideMark/>
          </w:tcPr>
          <w:p w14:paraId="4E5832A1" w14:textId="05AD83D8" w:rsidR="00433D07" w:rsidRPr="007F6476" w:rsidRDefault="00433D07" w:rsidP="00433D07">
            <w:pPr>
              <w:spacing w:after="0" w:line="240" w:lineRule="auto"/>
              <w:rPr>
                <w:rFonts w:ascii="Calibri" w:eastAsia="Times New Roman" w:hAnsi="Calibri" w:cs="Calibri"/>
                <w:b/>
                <w:bCs/>
                <w:color w:val="000000"/>
                <w:kern w:val="0"/>
                <w:sz w:val="22"/>
                <w:szCs w:val="22"/>
                <w:lang w:eastAsia="en-IN"/>
                <w14:ligatures w14:val="none"/>
              </w:rPr>
            </w:pPr>
            <w:r w:rsidRPr="007F6476">
              <w:rPr>
                <w:rFonts w:ascii="Calibri" w:eastAsia="Times New Roman" w:hAnsi="Calibri" w:cs="Calibri"/>
                <w:b/>
                <w:bCs/>
                <w:color w:val="000000"/>
                <w:kern w:val="0"/>
                <w:sz w:val="22"/>
                <w:szCs w:val="22"/>
                <w:lang w:eastAsia="en-IN"/>
                <w14:ligatures w14:val="none"/>
              </w:rPr>
              <w:t>Company</w:t>
            </w:r>
          </w:p>
        </w:tc>
      </w:tr>
      <w:tr w:rsidR="00433D07" w:rsidRPr="007F6476" w14:paraId="471AC347" w14:textId="77777777" w:rsidTr="00433D07">
        <w:trPr>
          <w:trHeight w:val="300"/>
          <w:jc w:val="center"/>
        </w:trPr>
        <w:tc>
          <w:tcPr>
            <w:tcW w:w="2069" w:type="dxa"/>
            <w:tcBorders>
              <w:top w:val="nil"/>
              <w:left w:val="single" w:sz="4" w:space="0" w:color="auto"/>
              <w:bottom w:val="single" w:sz="4" w:space="0" w:color="auto"/>
              <w:right w:val="single" w:sz="4" w:space="0" w:color="auto"/>
            </w:tcBorders>
            <w:shd w:val="clear" w:color="auto" w:fill="auto"/>
            <w:noWrap/>
            <w:vAlign w:val="bottom"/>
            <w:hideMark/>
          </w:tcPr>
          <w:p w14:paraId="62CD7C30" w14:textId="77777777" w:rsidR="00433D07" w:rsidRPr="007F6476" w:rsidRDefault="00433D07" w:rsidP="00433D07">
            <w:pPr>
              <w:spacing w:after="0" w:line="240" w:lineRule="auto"/>
              <w:rPr>
                <w:rFonts w:ascii="Calibri" w:eastAsia="Times New Roman" w:hAnsi="Calibri" w:cs="Calibri"/>
                <w:color w:val="000000"/>
                <w:kern w:val="0"/>
                <w:sz w:val="22"/>
                <w:szCs w:val="22"/>
                <w:lang w:eastAsia="en-IN"/>
                <w14:ligatures w14:val="none"/>
              </w:rPr>
            </w:pPr>
            <w:r w:rsidRPr="007F6476">
              <w:rPr>
                <w:rFonts w:ascii="Calibri" w:eastAsia="Times New Roman" w:hAnsi="Calibri" w:cs="Calibri"/>
                <w:color w:val="000000"/>
                <w:kern w:val="0"/>
                <w:sz w:val="22"/>
                <w:szCs w:val="22"/>
                <w:lang w:eastAsia="en-IN"/>
                <w14:ligatures w14:val="none"/>
              </w:rPr>
              <w:t>Karthikeyan C</w:t>
            </w:r>
          </w:p>
        </w:tc>
        <w:tc>
          <w:tcPr>
            <w:tcW w:w="1761" w:type="dxa"/>
            <w:tcBorders>
              <w:top w:val="nil"/>
              <w:left w:val="nil"/>
              <w:bottom w:val="single" w:sz="4" w:space="0" w:color="auto"/>
              <w:right w:val="single" w:sz="4" w:space="0" w:color="auto"/>
            </w:tcBorders>
            <w:shd w:val="clear" w:color="auto" w:fill="auto"/>
            <w:noWrap/>
            <w:vAlign w:val="bottom"/>
            <w:hideMark/>
          </w:tcPr>
          <w:p w14:paraId="002216D5" w14:textId="77777777" w:rsidR="00433D07" w:rsidRPr="007F6476" w:rsidRDefault="00433D07" w:rsidP="00433D07">
            <w:pPr>
              <w:spacing w:after="0" w:line="240" w:lineRule="auto"/>
              <w:rPr>
                <w:rFonts w:ascii="Calibri" w:eastAsia="Times New Roman" w:hAnsi="Calibri" w:cs="Calibri"/>
                <w:color w:val="000000"/>
                <w:kern w:val="0"/>
                <w:sz w:val="22"/>
                <w:szCs w:val="22"/>
                <w:lang w:eastAsia="en-IN"/>
                <w14:ligatures w14:val="none"/>
              </w:rPr>
            </w:pPr>
            <w:r w:rsidRPr="007F6476">
              <w:rPr>
                <w:rFonts w:ascii="Calibri" w:eastAsia="Times New Roman" w:hAnsi="Calibri" w:cs="Calibri"/>
                <w:color w:val="000000"/>
                <w:kern w:val="0"/>
                <w:sz w:val="22"/>
                <w:szCs w:val="22"/>
                <w:lang w:eastAsia="en-IN"/>
                <w14:ligatures w14:val="none"/>
              </w:rPr>
              <w:t>2024MB21228</w:t>
            </w:r>
          </w:p>
        </w:tc>
        <w:tc>
          <w:tcPr>
            <w:tcW w:w="3630" w:type="dxa"/>
            <w:tcBorders>
              <w:top w:val="nil"/>
              <w:left w:val="nil"/>
              <w:bottom w:val="single" w:sz="4" w:space="0" w:color="auto"/>
              <w:right w:val="single" w:sz="4" w:space="0" w:color="auto"/>
            </w:tcBorders>
            <w:shd w:val="clear" w:color="auto" w:fill="auto"/>
            <w:noWrap/>
            <w:vAlign w:val="bottom"/>
            <w:hideMark/>
          </w:tcPr>
          <w:p w14:paraId="36D2913E" w14:textId="77777777" w:rsidR="00433D07" w:rsidRPr="007F6476" w:rsidRDefault="00433D07" w:rsidP="00433D07">
            <w:pPr>
              <w:spacing w:after="0" w:line="240" w:lineRule="auto"/>
              <w:rPr>
                <w:rFonts w:ascii="Calibri" w:eastAsia="Times New Roman" w:hAnsi="Calibri" w:cs="Calibri"/>
                <w:color w:val="000000"/>
                <w:kern w:val="0"/>
                <w:sz w:val="22"/>
                <w:szCs w:val="22"/>
                <w:lang w:eastAsia="en-IN"/>
                <w14:ligatures w14:val="none"/>
              </w:rPr>
            </w:pPr>
            <w:r w:rsidRPr="007F6476">
              <w:rPr>
                <w:rFonts w:ascii="Calibri" w:eastAsia="Times New Roman" w:hAnsi="Calibri" w:cs="Calibri"/>
                <w:color w:val="000000"/>
                <w:kern w:val="0"/>
                <w:sz w:val="22"/>
                <w:szCs w:val="22"/>
                <w:lang w:eastAsia="en-IN"/>
                <w14:ligatures w14:val="none"/>
              </w:rPr>
              <w:t>Dr. Reddy's Laboratories</w:t>
            </w:r>
          </w:p>
        </w:tc>
      </w:tr>
      <w:tr w:rsidR="00433D07" w:rsidRPr="007F6476" w14:paraId="24B3A430" w14:textId="77777777" w:rsidTr="00433D07">
        <w:trPr>
          <w:trHeight w:val="300"/>
          <w:jc w:val="center"/>
        </w:trPr>
        <w:tc>
          <w:tcPr>
            <w:tcW w:w="2069" w:type="dxa"/>
            <w:tcBorders>
              <w:top w:val="nil"/>
              <w:left w:val="single" w:sz="4" w:space="0" w:color="auto"/>
              <w:bottom w:val="single" w:sz="4" w:space="0" w:color="auto"/>
              <w:right w:val="single" w:sz="4" w:space="0" w:color="auto"/>
            </w:tcBorders>
            <w:shd w:val="clear" w:color="auto" w:fill="auto"/>
            <w:noWrap/>
            <w:vAlign w:val="bottom"/>
            <w:hideMark/>
          </w:tcPr>
          <w:p w14:paraId="68C25528" w14:textId="77777777" w:rsidR="00433D07" w:rsidRPr="007F6476" w:rsidRDefault="00433D07" w:rsidP="00433D07">
            <w:pPr>
              <w:spacing w:after="0" w:line="240" w:lineRule="auto"/>
              <w:rPr>
                <w:rFonts w:ascii="Calibri" w:eastAsia="Times New Roman" w:hAnsi="Calibri" w:cs="Calibri"/>
                <w:color w:val="000000"/>
                <w:kern w:val="0"/>
                <w:sz w:val="22"/>
                <w:szCs w:val="22"/>
                <w:lang w:eastAsia="en-IN"/>
                <w14:ligatures w14:val="none"/>
              </w:rPr>
            </w:pPr>
            <w:r w:rsidRPr="007F6476">
              <w:rPr>
                <w:rFonts w:ascii="Calibri" w:eastAsia="Times New Roman" w:hAnsi="Calibri" w:cs="Calibri"/>
                <w:color w:val="000000"/>
                <w:kern w:val="0"/>
                <w:sz w:val="22"/>
                <w:szCs w:val="22"/>
                <w:lang w:eastAsia="en-IN"/>
                <w14:ligatures w14:val="none"/>
              </w:rPr>
              <w:t>Kiruthika C</w:t>
            </w:r>
          </w:p>
        </w:tc>
        <w:tc>
          <w:tcPr>
            <w:tcW w:w="1761" w:type="dxa"/>
            <w:tcBorders>
              <w:top w:val="nil"/>
              <w:left w:val="nil"/>
              <w:bottom w:val="single" w:sz="4" w:space="0" w:color="auto"/>
              <w:right w:val="single" w:sz="4" w:space="0" w:color="auto"/>
            </w:tcBorders>
            <w:shd w:val="clear" w:color="auto" w:fill="auto"/>
            <w:noWrap/>
            <w:vAlign w:val="bottom"/>
            <w:hideMark/>
          </w:tcPr>
          <w:p w14:paraId="0249BB9F" w14:textId="77777777" w:rsidR="00433D07" w:rsidRPr="007F6476" w:rsidRDefault="00433D07" w:rsidP="00433D07">
            <w:pPr>
              <w:spacing w:after="0" w:line="240" w:lineRule="auto"/>
              <w:rPr>
                <w:rFonts w:ascii="Calibri" w:eastAsia="Times New Roman" w:hAnsi="Calibri" w:cs="Calibri"/>
                <w:color w:val="000000"/>
                <w:kern w:val="0"/>
                <w:sz w:val="22"/>
                <w:szCs w:val="22"/>
                <w:lang w:eastAsia="en-IN"/>
                <w14:ligatures w14:val="none"/>
              </w:rPr>
            </w:pPr>
            <w:r w:rsidRPr="007F6476">
              <w:rPr>
                <w:rFonts w:ascii="Calibri" w:eastAsia="Times New Roman" w:hAnsi="Calibri" w:cs="Calibri"/>
                <w:color w:val="000000"/>
                <w:kern w:val="0"/>
                <w:sz w:val="22"/>
                <w:szCs w:val="22"/>
                <w:lang w:eastAsia="en-IN"/>
                <w14:ligatures w14:val="none"/>
              </w:rPr>
              <w:t>2024MB21252</w:t>
            </w:r>
          </w:p>
        </w:tc>
        <w:tc>
          <w:tcPr>
            <w:tcW w:w="3630" w:type="dxa"/>
            <w:tcBorders>
              <w:top w:val="nil"/>
              <w:left w:val="nil"/>
              <w:bottom w:val="single" w:sz="4" w:space="0" w:color="auto"/>
              <w:right w:val="single" w:sz="4" w:space="0" w:color="auto"/>
            </w:tcBorders>
            <w:shd w:val="clear" w:color="auto" w:fill="auto"/>
            <w:noWrap/>
            <w:vAlign w:val="bottom"/>
            <w:hideMark/>
          </w:tcPr>
          <w:p w14:paraId="61AF7F4D" w14:textId="722919C0" w:rsidR="00433D07" w:rsidRPr="007F6476" w:rsidRDefault="00433D07" w:rsidP="00433D07">
            <w:pPr>
              <w:spacing w:after="0" w:line="240" w:lineRule="auto"/>
              <w:rPr>
                <w:rFonts w:ascii="Calibri" w:eastAsia="Times New Roman" w:hAnsi="Calibri" w:cs="Calibri"/>
                <w:color w:val="000000"/>
                <w:kern w:val="0"/>
                <w:sz w:val="22"/>
                <w:szCs w:val="22"/>
                <w:lang w:eastAsia="en-IN"/>
                <w14:ligatures w14:val="none"/>
              </w:rPr>
            </w:pPr>
            <w:r w:rsidRPr="007F6476">
              <w:rPr>
                <w:rFonts w:ascii="Calibri" w:eastAsia="Times New Roman" w:hAnsi="Calibri" w:cs="Calibri"/>
                <w:color w:val="000000"/>
                <w:kern w:val="0"/>
                <w:sz w:val="22"/>
                <w:szCs w:val="22"/>
                <w:lang w:eastAsia="en-IN"/>
                <w14:ligatures w14:val="none"/>
              </w:rPr>
              <w:t>Sun Pharmaceutical Industries</w:t>
            </w:r>
          </w:p>
        </w:tc>
      </w:tr>
      <w:tr w:rsidR="00433D07" w:rsidRPr="007F6476" w14:paraId="2EF10568" w14:textId="77777777" w:rsidTr="00433D07">
        <w:trPr>
          <w:trHeight w:val="300"/>
          <w:jc w:val="center"/>
        </w:trPr>
        <w:tc>
          <w:tcPr>
            <w:tcW w:w="2069" w:type="dxa"/>
            <w:tcBorders>
              <w:top w:val="nil"/>
              <w:left w:val="single" w:sz="4" w:space="0" w:color="auto"/>
              <w:bottom w:val="single" w:sz="4" w:space="0" w:color="auto"/>
              <w:right w:val="single" w:sz="4" w:space="0" w:color="auto"/>
            </w:tcBorders>
            <w:shd w:val="clear" w:color="auto" w:fill="auto"/>
            <w:noWrap/>
            <w:vAlign w:val="bottom"/>
            <w:hideMark/>
          </w:tcPr>
          <w:p w14:paraId="1AAE8F8B" w14:textId="77777777" w:rsidR="00433D07" w:rsidRPr="007F6476" w:rsidRDefault="00433D07" w:rsidP="00433D07">
            <w:pPr>
              <w:spacing w:after="0" w:line="240" w:lineRule="auto"/>
              <w:rPr>
                <w:rFonts w:ascii="Calibri" w:eastAsia="Times New Roman" w:hAnsi="Calibri" w:cs="Calibri"/>
                <w:color w:val="000000"/>
                <w:kern w:val="0"/>
                <w:sz w:val="22"/>
                <w:szCs w:val="22"/>
                <w:lang w:eastAsia="en-IN"/>
                <w14:ligatures w14:val="none"/>
              </w:rPr>
            </w:pPr>
            <w:r w:rsidRPr="007F6476">
              <w:rPr>
                <w:rFonts w:ascii="Calibri" w:eastAsia="Times New Roman" w:hAnsi="Calibri" w:cs="Calibri"/>
                <w:color w:val="000000"/>
                <w:kern w:val="0"/>
                <w:sz w:val="22"/>
                <w:szCs w:val="22"/>
                <w:lang w:eastAsia="en-IN"/>
                <w14:ligatures w14:val="none"/>
              </w:rPr>
              <w:t>Mohana Shree M</w:t>
            </w:r>
          </w:p>
        </w:tc>
        <w:tc>
          <w:tcPr>
            <w:tcW w:w="1761" w:type="dxa"/>
            <w:tcBorders>
              <w:top w:val="nil"/>
              <w:left w:val="nil"/>
              <w:bottom w:val="single" w:sz="4" w:space="0" w:color="auto"/>
              <w:right w:val="single" w:sz="4" w:space="0" w:color="auto"/>
            </w:tcBorders>
            <w:shd w:val="clear" w:color="auto" w:fill="auto"/>
            <w:noWrap/>
            <w:vAlign w:val="bottom"/>
            <w:hideMark/>
          </w:tcPr>
          <w:p w14:paraId="35C593A0" w14:textId="77777777" w:rsidR="00433D07" w:rsidRPr="007F6476" w:rsidRDefault="00433D07" w:rsidP="00433D07">
            <w:pPr>
              <w:spacing w:after="0" w:line="240" w:lineRule="auto"/>
              <w:rPr>
                <w:rFonts w:ascii="Calibri" w:eastAsia="Times New Roman" w:hAnsi="Calibri" w:cs="Calibri"/>
                <w:color w:val="000000"/>
                <w:kern w:val="0"/>
                <w:sz w:val="22"/>
                <w:szCs w:val="22"/>
                <w:lang w:eastAsia="en-IN"/>
                <w14:ligatures w14:val="none"/>
              </w:rPr>
            </w:pPr>
            <w:r w:rsidRPr="007F6476">
              <w:rPr>
                <w:rFonts w:ascii="Calibri" w:eastAsia="Times New Roman" w:hAnsi="Calibri" w:cs="Calibri"/>
                <w:color w:val="000000"/>
                <w:kern w:val="0"/>
                <w:sz w:val="22"/>
                <w:szCs w:val="22"/>
                <w:lang w:eastAsia="en-IN"/>
                <w14:ligatures w14:val="none"/>
              </w:rPr>
              <w:t>2024MB21026</w:t>
            </w:r>
          </w:p>
        </w:tc>
        <w:tc>
          <w:tcPr>
            <w:tcW w:w="3630" w:type="dxa"/>
            <w:tcBorders>
              <w:top w:val="nil"/>
              <w:left w:val="nil"/>
              <w:bottom w:val="single" w:sz="4" w:space="0" w:color="auto"/>
              <w:right w:val="single" w:sz="4" w:space="0" w:color="auto"/>
            </w:tcBorders>
            <w:shd w:val="clear" w:color="auto" w:fill="auto"/>
            <w:noWrap/>
            <w:vAlign w:val="bottom"/>
            <w:hideMark/>
          </w:tcPr>
          <w:p w14:paraId="77BD2994" w14:textId="37FED61F" w:rsidR="00433D07" w:rsidRPr="007F6476" w:rsidRDefault="00433D07" w:rsidP="00433D07">
            <w:pPr>
              <w:spacing w:after="0" w:line="240" w:lineRule="auto"/>
              <w:rPr>
                <w:rFonts w:ascii="Calibri" w:eastAsia="Times New Roman" w:hAnsi="Calibri" w:cs="Calibri"/>
                <w:color w:val="000000"/>
                <w:kern w:val="0"/>
                <w:sz w:val="22"/>
                <w:szCs w:val="22"/>
                <w:lang w:eastAsia="en-IN"/>
                <w14:ligatures w14:val="none"/>
              </w:rPr>
            </w:pPr>
            <w:r w:rsidRPr="007F6476">
              <w:rPr>
                <w:rFonts w:ascii="Calibri" w:eastAsia="Times New Roman" w:hAnsi="Calibri" w:cs="Calibri"/>
                <w:color w:val="000000"/>
                <w:kern w:val="0"/>
                <w:sz w:val="22"/>
                <w:szCs w:val="22"/>
                <w:lang w:eastAsia="en-IN"/>
                <w14:ligatures w14:val="none"/>
              </w:rPr>
              <w:t>Cipla</w:t>
            </w:r>
          </w:p>
        </w:tc>
      </w:tr>
    </w:tbl>
    <w:p w14:paraId="691E58A5" w14:textId="44FE6D27" w:rsidR="00433D07" w:rsidRPr="007F6476" w:rsidRDefault="00433D07" w:rsidP="00433D07">
      <w:pPr>
        <w:rPr>
          <w:rFonts w:ascii="Calibri" w:hAnsi="Calibri" w:cs="Calibri"/>
          <w:b/>
          <w:bCs/>
          <w:sz w:val="32"/>
          <w:szCs w:val="32"/>
        </w:rPr>
      </w:pPr>
    </w:p>
    <w:p w14:paraId="11526B81" w14:textId="7578C16F" w:rsidR="00433D07" w:rsidRPr="007F6476" w:rsidRDefault="00433D07" w:rsidP="00433D07">
      <w:pPr>
        <w:jc w:val="center"/>
        <w:rPr>
          <w:rFonts w:ascii="Calibri" w:hAnsi="Calibri" w:cs="Calibri"/>
          <w:b/>
          <w:bCs/>
          <w:color w:val="77206D" w:themeColor="accent5" w:themeShade="BF"/>
          <w:sz w:val="28"/>
          <w:szCs w:val="28"/>
          <w:u w:val="single"/>
        </w:rPr>
      </w:pPr>
      <w:r w:rsidRPr="007F6476">
        <w:rPr>
          <w:rFonts w:ascii="Calibri" w:hAnsi="Calibri" w:cs="Calibri"/>
          <w:b/>
          <w:bCs/>
          <w:color w:val="77206D" w:themeColor="accent5" w:themeShade="BF"/>
          <w:sz w:val="28"/>
          <w:szCs w:val="28"/>
          <w:u w:val="single"/>
        </w:rPr>
        <w:t>LIQUIDITY RATIO</w:t>
      </w:r>
      <w:r w:rsidR="00C11600">
        <w:rPr>
          <w:rFonts w:ascii="Calibri" w:hAnsi="Calibri" w:cs="Calibri"/>
          <w:b/>
          <w:bCs/>
          <w:color w:val="77206D" w:themeColor="accent5" w:themeShade="BF"/>
          <w:sz w:val="28"/>
          <w:szCs w:val="28"/>
          <w:u w:val="single"/>
        </w:rPr>
        <w:t xml:space="preserve"> ANALYSIS</w:t>
      </w:r>
      <w:r w:rsidRPr="007F6476">
        <w:rPr>
          <w:rFonts w:ascii="Calibri" w:hAnsi="Calibri" w:cs="Calibri"/>
          <w:b/>
          <w:bCs/>
          <w:color w:val="77206D" w:themeColor="accent5" w:themeShade="BF"/>
          <w:sz w:val="28"/>
          <w:szCs w:val="28"/>
          <w:u w:val="single"/>
        </w:rPr>
        <w:t>:</w:t>
      </w:r>
    </w:p>
    <w:p w14:paraId="59BA9CC8" w14:textId="454D9876" w:rsidR="00433D07" w:rsidRPr="007F6476" w:rsidRDefault="00433D07" w:rsidP="00433D07">
      <w:pPr>
        <w:pStyle w:val="ListParagraph"/>
        <w:rPr>
          <w:rFonts w:ascii="Calibri" w:hAnsi="Calibri" w:cs="Calibri"/>
          <w:color w:val="000000" w:themeColor="text1"/>
        </w:rPr>
      </w:pPr>
    </w:p>
    <w:p w14:paraId="7117A4FB" w14:textId="3B15098A" w:rsidR="00433D07" w:rsidRPr="0098281F" w:rsidRDefault="00433D07" w:rsidP="00433D07">
      <w:pPr>
        <w:pStyle w:val="ListParagraph"/>
        <w:numPr>
          <w:ilvl w:val="0"/>
          <w:numId w:val="3"/>
        </w:numPr>
        <w:rPr>
          <w:rFonts w:ascii="Calibri" w:hAnsi="Calibri" w:cs="Calibri"/>
          <w:b/>
          <w:bCs/>
          <w:color w:val="3A7C22" w:themeColor="accent6" w:themeShade="BF"/>
        </w:rPr>
      </w:pPr>
      <w:r w:rsidRPr="0098281F">
        <w:rPr>
          <w:rFonts w:ascii="Calibri" w:hAnsi="Calibri" w:cs="Calibri"/>
          <w:b/>
          <w:bCs/>
          <w:color w:val="3A7C22" w:themeColor="accent6" w:themeShade="BF"/>
        </w:rPr>
        <w:t xml:space="preserve">Sun Pharmaceutical Industries: </w:t>
      </w:r>
    </w:p>
    <w:tbl>
      <w:tblPr>
        <w:tblpPr w:leftFromText="180" w:rightFromText="180" w:vertAnchor="text" w:horzAnchor="page" w:tblpX="2181" w:tblpY="12"/>
        <w:tblW w:w="7349" w:type="dxa"/>
        <w:tblLook w:val="04A0" w:firstRow="1" w:lastRow="0" w:firstColumn="1" w:lastColumn="0" w:noHBand="0" w:noVBand="1"/>
      </w:tblPr>
      <w:tblGrid>
        <w:gridCol w:w="3838"/>
        <w:gridCol w:w="824"/>
        <w:gridCol w:w="960"/>
        <w:gridCol w:w="924"/>
        <w:gridCol w:w="803"/>
      </w:tblGrid>
      <w:tr w:rsidR="005D7F35" w:rsidRPr="00BE16FB" w14:paraId="3BA96119" w14:textId="77777777" w:rsidTr="00BE16FB">
        <w:trPr>
          <w:trHeight w:val="257"/>
        </w:trPr>
        <w:tc>
          <w:tcPr>
            <w:tcW w:w="38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B62D117" w14:textId="77777777" w:rsidR="005D7F35" w:rsidRPr="00BE16FB" w:rsidRDefault="005D7F35" w:rsidP="005D7F35">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Liquidity Ratio</w:t>
            </w:r>
          </w:p>
        </w:tc>
        <w:tc>
          <w:tcPr>
            <w:tcW w:w="824" w:type="dxa"/>
            <w:tcBorders>
              <w:top w:val="single" w:sz="4" w:space="0" w:color="auto"/>
              <w:left w:val="nil"/>
              <w:bottom w:val="single" w:sz="4" w:space="0" w:color="auto"/>
              <w:right w:val="single" w:sz="4" w:space="0" w:color="auto"/>
            </w:tcBorders>
            <w:shd w:val="clear" w:color="000000" w:fill="F4CCCC"/>
            <w:noWrap/>
            <w:vAlign w:val="bottom"/>
            <w:hideMark/>
          </w:tcPr>
          <w:p w14:paraId="68FC0963" w14:textId="77777777" w:rsidR="005D7F35" w:rsidRPr="00BE16FB" w:rsidRDefault="005D7F35" w:rsidP="005D7F35">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2024</w:t>
            </w:r>
          </w:p>
        </w:tc>
        <w:tc>
          <w:tcPr>
            <w:tcW w:w="960" w:type="dxa"/>
            <w:tcBorders>
              <w:top w:val="single" w:sz="4" w:space="0" w:color="auto"/>
              <w:left w:val="nil"/>
              <w:bottom w:val="single" w:sz="4" w:space="0" w:color="auto"/>
              <w:right w:val="single" w:sz="4" w:space="0" w:color="auto"/>
            </w:tcBorders>
            <w:shd w:val="clear" w:color="000000" w:fill="F4CCCC"/>
            <w:noWrap/>
            <w:vAlign w:val="bottom"/>
            <w:hideMark/>
          </w:tcPr>
          <w:p w14:paraId="28011759" w14:textId="77777777" w:rsidR="005D7F35" w:rsidRPr="00BE16FB" w:rsidRDefault="005D7F35" w:rsidP="005D7F35">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2023</w:t>
            </w:r>
          </w:p>
        </w:tc>
        <w:tc>
          <w:tcPr>
            <w:tcW w:w="924" w:type="dxa"/>
            <w:tcBorders>
              <w:top w:val="single" w:sz="4" w:space="0" w:color="auto"/>
              <w:left w:val="nil"/>
              <w:bottom w:val="single" w:sz="4" w:space="0" w:color="auto"/>
              <w:right w:val="single" w:sz="4" w:space="0" w:color="auto"/>
            </w:tcBorders>
            <w:shd w:val="clear" w:color="000000" w:fill="F4CCCC"/>
            <w:noWrap/>
            <w:vAlign w:val="bottom"/>
            <w:hideMark/>
          </w:tcPr>
          <w:p w14:paraId="4CE978E3" w14:textId="6C428B0C" w:rsidR="005D7F35" w:rsidRPr="00BE16FB" w:rsidRDefault="005D7F35" w:rsidP="005D7F35">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2022</w:t>
            </w:r>
          </w:p>
        </w:tc>
        <w:tc>
          <w:tcPr>
            <w:tcW w:w="803" w:type="dxa"/>
            <w:tcBorders>
              <w:top w:val="single" w:sz="4" w:space="0" w:color="auto"/>
              <w:left w:val="nil"/>
              <w:bottom w:val="single" w:sz="4" w:space="0" w:color="auto"/>
              <w:right w:val="single" w:sz="4" w:space="0" w:color="auto"/>
            </w:tcBorders>
            <w:shd w:val="clear" w:color="000000" w:fill="F4CCCC"/>
            <w:noWrap/>
            <w:vAlign w:val="bottom"/>
            <w:hideMark/>
          </w:tcPr>
          <w:p w14:paraId="33CF8836" w14:textId="77777777" w:rsidR="005D7F35" w:rsidRPr="00BE16FB" w:rsidRDefault="005D7F35" w:rsidP="005D7F35">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2021</w:t>
            </w:r>
          </w:p>
        </w:tc>
      </w:tr>
      <w:tr w:rsidR="005D7F35" w:rsidRPr="00BE16FB" w14:paraId="5B65B4B4" w14:textId="77777777" w:rsidTr="00BE16FB">
        <w:trPr>
          <w:trHeight w:val="257"/>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14:paraId="6BFEE1FB" w14:textId="74EAE908" w:rsidR="005D7F35" w:rsidRPr="00BE16FB" w:rsidRDefault="005D7F35" w:rsidP="005D7F35">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Current Ratio</w:t>
            </w:r>
          </w:p>
        </w:tc>
        <w:tc>
          <w:tcPr>
            <w:tcW w:w="824" w:type="dxa"/>
            <w:tcBorders>
              <w:top w:val="nil"/>
              <w:left w:val="nil"/>
              <w:bottom w:val="single" w:sz="4" w:space="0" w:color="auto"/>
              <w:right w:val="single" w:sz="4" w:space="0" w:color="auto"/>
            </w:tcBorders>
            <w:shd w:val="clear" w:color="auto" w:fill="auto"/>
            <w:noWrap/>
            <w:vAlign w:val="bottom"/>
            <w:hideMark/>
          </w:tcPr>
          <w:p w14:paraId="2C305B96" w14:textId="77777777"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2.56</w:t>
            </w:r>
          </w:p>
        </w:tc>
        <w:tc>
          <w:tcPr>
            <w:tcW w:w="960" w:type="dxa"/>
            <w:tcBorders>
              <w:top w:val="nil"/>
              <w:left w:val="nil"/>
              <w:bottom w:val="single" w:sz="4" w:space="0" w:color="auto"/>
              <w:right w:val="single" w:sz="4" w:space="0" w:color="auto"/>
            </w:tcBorders>
            <w:shd w:val="clear" w:color="auto" w:fill="auto"/>
            <w:noWrap/>
            <w:vAlign w:val="bottom"/>
            <w:hideMark/>
          </w:tcPr>
          <w:p w14:paraId="563657A4" w14:textId="77777777"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w:t>
            </w:r>
          </w:p>
        </w:tc>
        <w:tc>
          <w:tcPr>
            <w:tcW w:w="924" w:type="dxa"/>
            <w:tcBorders>
              <w:top w:val="nil"/>
              <w:left w:val="nil"/>
              <w:bottom w:val="single" w:sz="4" w:space="0" w:color="auto"/>
              <w:right w:val="single" w:sz="4" w:space="0" w:color="auto"/>
            </w:tcBorders>
            <w:shd w:val="clear" w:color="auto" w:fill="auto"/>
            <w:noWrap/>
            <w:vAlign w:val="bottom"/>
            <w:hideMark/>
          </w:tcPr>
          <w:p w14:paraId="7DCD19B9" w14:textId="49E2FE30"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2.04</w:t>
            </w:r>
          </w:p>
        </w:tc>
        <w:tc>
          <w:tcPr>
            <w:tcW w:w="803" w:type="dxa"/>
            <w:tcBorders>
              <w:top w:val="nil"/>
              <w:left w:val="nil"/>
              <w:bottom w:val="single" w:sz="4" w:space="0" w:color="auto"/>
              <w:right w:val="single" w:sz="4" w:space="0" w:color="auto"/>
            </w:tcBorders>
            <w:shd w:val="clear" w:color="auto" w:fill="auto"/>
            <w:noWrap/>
            <w:vAlign w:val="bottom"/>
            <w:hideMark/>
          </w:tcPr>
          <w:p w14:paraId="4060C4AB" w14:textId="77777777"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1.89</w:t>
            </w:r>
          </w:p>
        </w:tc>
      </w:tr>
      <w:tr w:rsidR="005D7F35" w:rsidRPr="00BE16FB" w14:paraId="6432732B" w14:textId="77777777" w:rsidTr="00BE16FB">
        <w:trPr>
          <w:trHeight w:val="257"/>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14:paraId="67D23C66" w14:textId="552080A0" w:rsidR="005D7F35" w:rsidRPr="00BE16FB" w:rsidRDefault="005D7F35" w:rsidP="005D7F35">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Quick Ratio/Acid Test Ratio</w:t>
            </w:r>
            <w:r w:rsidR="0098281F" w:rsidRPr="00BE16FB">
              <w:rPr>
                <w:rFonts w:ascii="Calibri" w:eastAsia="Times New Roman" w:hAnsi="Calibri" w:cs="Calibri"/>
                <w:b/>
                <w:bCs/>
                <w:color w:val="000000"/>
                <w:kern w:val="0"/>
                <w:sz w:val="20"/>
                <w:szCs w:val="20"/>
                <w:lang w:eastAsia="en-IN"/>
                <w14:ligatures w14:val="none"/>
              </w:rPr>
              <w:t>/Liquid Ratio</w:t>
            </w:r>
          </w:p>
        </w:tc>
        <w:tc>
          <w:tcPr>
            <w:tcW w:w="824" w:type="dxa"/>
            <w:tcBorders>
              <w:top w:val="nil"/>
              <w:left w:val="nil"/>
              <w:bottom w:val="single" w:sz="4" w:space="0" w:color="auto"/>
              <w:right w:val="single" w:sz="4" w:space="0" w:color="auto"/>
            </w:tcBorders>
            <w:shd w:val="clear" w:color="auto" w:fill="auto"/>
            <w:noWrap/>
            <w:vAlign w:val="bottom"/>
            <w:hideMark/>
          </w:tcPr>
          <w:p w14:paraId="0763FB30" w14:textId="77777777"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1.98</w:t>
            </w:r>
          </w:p>
        </w:tc>
        <w:tc>
          <w:tcPr>
            <w:tcW w:w="960" w:type="dxa"/>
            <w:tcBorders>
              <w:top w:val="nil"/>
              <w:left w:val="nil"/>
              <w:bottom w:val="single" w:sz="4" w:space="0" w:color="auto"/>
              <w:right w:val="single" w:sz="4" w:space="0" w:color="auto"/>
            </w:tcBorders>
            <w:shd w:val="clear" w:color="auto" w:fill="auto"/>
            <w:noWrap/>
            <w:vAlign w:val="bottom"/>
            <w:hideMark/>
          </w:tcPr>
          <w:p w14:paraId="21A803A8" w14:textId="77777777"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1.48</w:t>
            </w:r>
          </w:p>
        </w:tc>
        <w:tc>
          <w:tcPr>
            <w:tcW w:w="924" w:type="dxa"/>
            <w:tcBorders>
              <w:top w:val="nil"/>
              <w:left w:val="nil"/>
              <w:bottom w:val="single" w:sz="4" w:space="0" w:color="auto"/>
              <w:right w:val="single" w:sz="4" w:space="0" w:color="auto"/>
            </w:tcBorders>
            <w:shd w:val="clear" w:color="auto" w:fill="auto"/>
            <w:noWrap/>
            <w:vAlign w:val="bottom"/>
            <w:hideMark/>
          </w:tcPr>
          <w:p w14:paraId="45A105BE" w14:textId="64823B6D"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1.51</w:t>
            </w:r>
          </w:p>
        </w:tc>
        <w:tc>
          <w:tcPr>
            <w:tcW w:w="803" w:type="dxa"/>
            <w:tcBorders>
              <w:top w:val="nil"/>
              <w:left w:val="nil"/>
              <w:bottom w:val="single" w:sz="4" w:space="0" w:color="auto"/>
              <w:right w:val="single" w:sz="4" w:space="0" w:color="auto"/>
            </w:tcBorders>
            <w:shd w:val="clear" w:color="auto" w:fill="auto"/>
            <w:noWrap/>
            <w:vAlign w:val="bottom"/>
            <w:hideMark/>
          </w:tcPr>
          <w:p w14:paraId="4D662F53" w14:textId="77777777"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1.33</w:t>
            </w:r>
          </w:p>
        </w:tc>
      </w:tr>
      <w:tr w:rsidR="005D7F35" w:rsidRPr="00BE16FB" w14:paraId="6B8D066F" w14:textId="77777777" w:rsidTr="00BE16FB">
        <w:trPr>
          <w:trHeight w:val="257"/>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14:paraId="7E7927A9" w14:textId="27EE1D68" w:rsidR="005D7F35" w:rsidRPr="00BE16FB" w:rsidRDefault="005D7F35" w:rsidP="005D7F35">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Absolute Cash Ratio</w:t>
            </w:r>
          </w:p>
        </w:tc>
        <w:tc>
          <w:tcPr>
            <w:tcW w:w="824" w:type="dxa"/>
            <w:tcBorders>
              <w:top w:val="nil"/>
              <w:left w:val="nil"/>
              <w:bottom w:val="single" w:sz="4" w:space="0" w:color="auto"/>
              <w:right w:val="single" w:sz="4" w:space="0" w:color="auto"/>
            </w:tcBorders>
            <w:shd w:val="clear" w:color="auto" w:fill="auto"/>
            <w:noWrap/>
            <w:vAlign w:val="bottom"/>
            <w:hideMark/>
          </w:tcPr>
          <w:p w14:paraId="08F385F2" w14:textId="77777777"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1.12</w:t>
            </w:r>
          </w:p>
        </w:tc>
        <w:tc>
          <w:tcPr>
            <w:tcW w:w="960" w:type="dxa"/>
            <w:tcBorders>
              <w:top w:val="nil"/>
              <w:left w:val="nil"/>
              <w:bottom w:val="single" w:sz="4" w:space="0" w:color="auto"/>
              <w:right w:val="single" w:sz="4" w:space="0" w:color="auto"/>
            </w:tcBorders>
            <w:shd w:val="clear" w:color="auto" w:fill="auto"/>
            <w:noWrap/>
            <w:vAlign w:val="bottom"/>
            <w:hideMark/>
          </w:tcPr>
          <w:p w14:paraId="016638A9" w14:textId="77777777"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0.76</w:t>
            </w:r>
          </w:p>
        </w:tc>
        <w:tc>
          <w:tcPr>
            <w:tcW w:w="924" w:type="dxa"/>
            <w:tcBorders>
              <w:top w:val="nil"/>
              <w:left w:val="nil"/>
              <w:bottom w:val="single" w:sz="4" w:space="0" w:color="auto"/>
              <w:right w:val="single" w:sz="4" w:space="0" w:color="auto"/>
            </w:tcBorders>
            <w:shd w:val="clear" w:color="auto" w:fill="auto"/>
            <w:noWrap/>
            <w:vAlign w:val="bottom"/>
            <w:hideMark/>
          </w:tcPr>
          <w:p w14:paraId="49985128" w14:textId="40C889A3"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0.74</w:t>
            </w:r>
          </w:p>
        </w:tc>
        <w:tc>
          <w:tcPr>
            <w:tcW w:w="803" w:type="dxa"/>
            <w:tcBorders>
              <w:top w:val="nil"/>
              <w:left w:val="nil"/>
              <w:bottom w:val="single" w:sz="4" w:space="0" w:color="auto"/>
              <w:right w:val="single" w:sz="4" w:space="0" w:color="auto"/>
            </w:tcBorders>
            <w:shd w:val="clear" w:color="auto" w:fill="auto"/>
            <w:noWrap/>
            <w:vAlign w:val="bottom"/>
            <w:hideMark/>
          </w:tcPr>
          <w:p w14:paraId="736E5A59" w14:textId="77777777" w:rsidR="005D7F35" w:rsidRPr="00BE16FB" w:rsidRDefault="005D7F35" w:rsidP="005D7F35">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0.59</w:t>
            </w:r>
          </w:p>
        </w:tc>
      </w:tr>
    </w:tbl>
    <w:p w14:paraId="58AD5596" w14:textId="59D1769B" w:rsidR="00433D07" w:rsidRPr="007F6476" w:rsidRDefault="00433D07" w:rsidP="00433D07">
      <w:pPr>
        <w:pStyle w:val="ListParagraph"/>
        <w:rPr>
          <w:rFonts w:ascii="Calibri" w:hAnsi="Calibri" w:cs="Calibri"/>
          <w:b/>
          <w:bCs/>
          <w:color w:val="000000" w:themeColor="text1"/>
        </w:rPr>
      </w:pPr>
    </w:p>
    <w:p w14:paraId="29FC8CAB" w14:textId="77777777" w:rsidR="00433D07" w:rsidRPr="007F6476" w:rsidRDefault="00433D07" w:rsidP="00433D07">
      <w:pPr>
        <w:pStyle w:val="ListParagraph"/>
        <w:rPr>
          <w:rFonts w:ascii="Calibri" w:hAnsi="Calibri" w:cs="Calibri"/>
          <w:b/>
          <w:bCs/>
          <w:color w:val="000000" w:themeColor="text1"/>
        </w:rPr>
      </w:pPr>
    </w:p>
    <w:p w14:paraId="67D65E78" w14:textId="79F5C980" w:rsidR="00433D07" w:rsidRPr="007F6476" w:rsidRDefault="00433D07" w:rsidP="00433D07">
      <w:pPr>
        <w:pStyle w:val="ListParagraph"/>
        <w:rPr>
          <w:rFonts w:ascii="Calibri" w:hAnsi="Calibri" w:cs="Calibri"/>
          <w:color w:val="000000" w:themeColor="text1"/>
        </w:rPr>
      </w:pPr>
    </w:p>
    <w:p w14:paraId="35F362D4" w14:textId="555A0711" w:rsidR="005D7F35" w:rsidRPr="007F6476" w:rsidRDefault="00BE16FB" w:rsidP="005D7F35">
      <w:pPr>
        <w:pStyle w:val="ListParagraph"/>
        <w:rPr>
          <w:rFonts w:ascii="Calibri" w:hAnsi="Calibri" w:cs="Calibri"/>
          <w:color w:val="000000" w:themeColor="text1"/>
        </w:rPr>
      </w:pPr>
      <w:r>
        <w:rPr>
          <w:noProof/>
        </w:rPr>
        <w:drawing>
          <wp:anchor distT="0" distB="0" distL="114300" distR="114300" simplePos="0" relativeHeight="251658240" behindDoc="0" locked="0" layoutInCell="1" allowOverlap="1" wp14:anchorId="59D21425" wp14:editId="1D0A3148">
            <wp:simplePos x="0" y="0"/>
            <wp:positionH relativeFrom="margin">
              <wp:posOffset>266700</wp:posOffset>
            </wp:positionH>
            <wp:positionV relativeFrom="paragraph">
              <wp:posOffset>154305</wp:posOffset>
            </wp:positionV>
            <wp:extent cx="5213350" cy="1955800"/>
            <wp:effectExtent l="0" t="0" r="6350" b="6350"/>
            <wp:wrapNone/>
            <wp:docPr id="776568805" name="Chart 1">
              <a:extLst xmlns:a="http://schemas.openxmlformats.org/drawingml/2006/main">
                <a:ext uri="{FF2B5EF4-FFF2-40B4-BE49-F238E27FC236}">
                  <a16:creationId xmlns:a16="http://schemas.microsoft.com/office/drawing/2014/main" id="{9B443D91-713F-624E-8BE3-ED47133F0A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333576BF" w14:textId="6E372A2E" w:rsidR="00F41773" w:rsidRPr="00F41773" w:rsidRDefault="00F41773" w:rsidP="00F41773">
      <w:pPr>
        <w:ind w:left="1080"/>
        <w:rPr>
          <w:rFonts w:ascii="Calibri" w:hAnsi="Calibri" w:cs="Calibri"/>
          <w:color w:val="FF0000"/>
        </w:rPr>
      </w:pPr>
    </w:p>
    <w:p w14:paraId="56EF4C5B" w14:textId="3868D82C" w:rsidR="00F41773" w:rsidRPr="0098281F" w:rsidRDefault="00F41773" w:rsidP="00F41773">
      <w:pPr>
        <w:pStyle w:val="ListParagraph"/>
        <w:ind w:left="1440"/>
        <w:rPr>
          <w:rFonts w:ascii="Calibri" w:hAnsi="Calibri" w:cs="Calibri"/>
          <w:color w:val="FF0000"/>
        </w:rPr>
      </w:pPr>
    </w:p>
    <w:p w14:paraId="77F8BE03" w14:textId="77777777" w:rsidR="0098281F" w:rsidRDefault="0098281F" w:rsidP="0098281F">
      <w:pPr>
        <w:pStyle w:val="ListParagraph"/>
        <w:ind w:left="1440"/>
        <w:rPr>
          <w:rFonts w:ascii="Calibri" w:hAnsi="Calibri" w:cs="Calibri"/>
          <w:color w:val="FF0000"/>
        </w:rPr>
      </w:pPr>
    </w:p>
    <w:p w14:paraId="6CB6B825" w14:textId="77777777" w:rsidR="00D41F8A" w:rsidRDefault="00D41F8A" w:rsidP="0098281F">
      <w:pPr>
        <w:pStyle w:val="ListParagraph"/>
        <w:ind w:left="1440"/>
        <w:rPr>
          <w:rFonts w:ascii="Calibri" w:hAnsi="Calibri" w:cs="Calibri"/>
          <w:color w:val="FF0000"/>
        </w:rPr>
      </w:pPr>
    </w:p>
    <w:p w14:paraId="1891C94B" w14:textId="77777777" w:rsidR="00D41F8A" w:rsidRDefault="00D41F8A" w:rsidP="0098281F">
      <w:pPr>
        <w:pStyle w:val="ListParagraph"/>
        <w:ind w:left="1440"/>
        <w:rPr>
          <w:rFonts w:ascii="Calibri" w:hAnsi="Calibri" w:cs="Calibri"/>
          <w:color w:val="FF0000"/>
        </w:rPr>
      </w:pPr>
    </w:p>
    <w:p w14:paraId="650B7838" w14:textId="77777777" w:rsidR="00D41F8A" w:rsidRDefault="00D41F8A" w:rsidP="0098281F">
      <w:pPr>
        <w:pStyle w:val="ListParagraph"/>
        <w:ind w:left="1440"/>
        <w:rPr>
          <w:rFonts w:ascii="Calibri" w:hAnsi="Calibri" w:cs="Calibri"/>
          <w:color w:val="FF0000"/>
        </w:rPr>
      </w:pPr>
    </w:p>
    <w:p w14:paraId="72642F08" w14:textId="77777777" w:rsidR="00D41F8A" w:rsidRDefault="00D41F8A" w:rsidP="0098281F">
      <w:pPr>
        <w:pStyle w:val="ListParagraph"/>
        <w:ind w:left="1440"/>
        <w:rPr>
          <w:rFonts w:ascii="Calibri" w:hAnsi="Calibri" w:cs="Calibri"/>
          <w:color w:val="FF0000"/>
        </w:rPr>
      </w:pPr>
    </w:p>
    <w:p w14:paraId="61500720" w14:textId="77777777" w:rsidR="00D41F8A" w:rsidRDefault="00D41F8A" w:rsidP="0098281F">
      <w:pPr>
        <w:pStyle w:val="ListParagraph"/>
        <w:ind w:left="1440"/>
        <w:rPr>
          <w:rFonts w:ascii="Calibri" w:hAnsi="Calibri" w:cs="Calibri"/>
          <w:color w:val="FF0000"/>
        </w:rPr>
      </w:pPr>
    </w:p>
    <w:p w14:paraId="498C82C9" w14:textId="77777777" w:rsidR="00D41F8A" w:rsidRDefault="00D41F8A" w:rsidP="0098281F">
      <w:pPr>
        <w:pStyle w:val="ListParagraph"/>
        <w:ind w:left="1440"/>
        <w:rPr>
          <w:rFonts w:ascii="Calibri" w:hAnsi="Calibri" w:cs="Calibri"/>
          <w:color w:val="FF0000"/>
        </w:rPr>
      </w:pPr>
    </w:p>
    <w:p w14:paraId="72621986" w14:textId="77777777" w:rsidR="003D08AE" w:rsidRPr="00BE16FB" w:rsidRDefault="003D08AE" w:rsidP="003D08AE">
      <w:pPr>
        <w:pStyle w:val="ListParagraph"/>
        <w:rPr>
          <w:rFonts w:ascii="Calibri" w:hAnsi="Calibri" w:cs="Calibri"/>
          <w:i/>
          <w:iCs/>
          <w:color w:val="FF0000"/>
          <w:sz w:val="22"/>
          <w:szCs w:val="22"/>
          <w:u w:val="single"/>
        </w:rPr>
      </w:pPr>
      <w:r w:rsidRPr="00BE16FB">
        <w:rPr>
          <w:rFonts w:ascii="Calibri" w:hAnsi="Calibri" w:cs="Calibri"/>
          <w:b/>
          <w:bCs/>
          <w:i/>
          <w:iCs/>
          <w:color w:val="FF0000"/>
          <w:sz w:val="22"/>
          <w:szCs w:val="22"/>
          <w:u w:val="single"/>
        </w:rPr>
        <w:t>Interpretation:</w:t>
      </w:r>
      <w:r w:rsidRPr="00BE16FB">
        <w:rPr>
          <w:rFonts w:ascii="Calibri" w:hAnsi="Calibri" w:cs="Calibri"/>
          <w:i/>
          <w:iCs/>
          <w:color w:val="FF0000"/>
          <w:sz w:val="22"/>
          <w:szCs w:val="22"/>
          <w:u w:val="single"/>
        </w:rPr>
        <w:t xml:space="preserve"> </w:t>
      </w:r>
    </w:p>
    <w:p w14:paraId="387A1BA5" w14:textId="77777777" w:rsidR="003D08AE" w:rsidRPr="00BE16FB" w:rsidRDefault="003D08AE" w:rsidP="003D08AE">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t xml:space="preserve">The company maintains a recommended </w:t>
      </w:r>
      <w:r w:rsidRPr="00BE16FB">
        <w:rPr>
          <w:rFonts w:ascii="Calibri" w:hAnsi="Calibri" w:cs="Calibri"/>
          <w:b/>
          <w:bCs/>
          <w:color w:val="FF0000"/>
          <w:sz w:val="22"/>
          <w:szCs w:val="22"/>
        </w:rPr>
        <w:t>2:1 current ratio</w:t>
      </w:r>
      <w:r w:rsidRPr="00BE16FB">
        <w:rPr>
          <w:rFonts w:ascii="Calibri" w:hAnsi="Calibri" w:cs="Calibri"/>
          <w:color w:val="FF0000"/>
          <w:sz w:val="22"/>
          <w:szCs w:val="22"/>
        </w:rPr>
        <w:t xml:space="preserve"> except for the year 2021 (1.89) but still it is relatively close to the benchmark. It also maintains a </w:t>
      </w:r>
      <w:r w:rsidRPr="00BE16FB">
        <w:rPr>
          <w:rFonts w:ascii="Calibri" w:hAnsi="Calibri" w:cs="Calibri"/>
          <w:b/>
          <w:bCs/>
          <w:color w:val="FF0000"/>
          <w:sz w:val="22"/>
          <w:szCs w:val="22"/>
        </w:rPr>
        <w:t>1:1 quick ratio</w:t>
      </w:r>
      <w:r w:rsidRPr="00BE16FB">
        <w:rPr>
          <w:rFonts w:ascii="Calibri" w:hAnsi="Calibri" w:cs="Calibri"/>
          <w:color w:val="FF0000"/>
          <w:sz w:val="22"/>
          <w:szCs w:val="22"/>
        </w:rPr>
        <w:t xml:space="preserve"> after excluding the inventories which means 50% of Sun pharma’s current assets are inventories. The difference between Current ratio and quick ratio is consistently maintained</w:t>
      </w:r>
    </w:p>
    <w:p w14:paraId="3F836D6C" w14:textId="05E44289" w:rsidR="003D08AE" w:rsidRPr="00BE16FB" w:rsidRDefault="003D08AE" w:rsidP="003D08AE">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t xml:space="preserve">The </w:t>
      </w:r>
      <w:r w:rsidRPr="00BE16FB">
        <w:rPr>
          <w:rFonts w:ascii="Calibri" w:hAnsi="Calibri" w:cs="Calibri"/>
          <w:b/>
          <w:bCs/>
          <w:color w:val="FF0000"/>
          <w:sz w:val="22"/>
          <w:szCs w:val="22"/>
        </w:rPr>
        <w:t>absolute cash ratio</w:t>
      </w:r>
      <w:r w:rsidRPr="00BE16FB">
        <w:rPr>
          <w:rFonts w:ascii="Calibri" w:hAnsi="Calibri" w:cs="Calibri"/>
          <w:color w:val="FF0000"/>
          <w:sz w:val="22"/>
          <w:szCs w:val="22"/>
        </w:rPr>
        <w:t xml:space="preserve"> has shown significant improvement from 2021 (0.59) to 2024 (1.12). While the recommended ratio is </w:t>
      </w:r>
      <w:r w:rsidRPr="00BE16FB">
        <w:rPr>
          <w:rFonts w:ascii="Calibri" w:hAnsi="Calibri" w:cs="Calibri"/>
          <w:b/>
          <w:bCs/>
          <w:color w:val="FF0000"/>
          <w:sz w:val="22"/>
          <w:szCs w:val="22"/>
        </w:rPr>
        <w:t>0.5:1</w:t>
      </w:r>
      <w:r w:rsidRPr="00BE16FB">
        <w:rPr>
          <w:rFonts w:ascii="Calibri" w:hAnsi="Calibri" w:cs="Calibri"/>
          <w:color w:val="FF0000"/>
          <w:sz w:val="22"/>
          <w:szCs w:val="22"/>
        </w:rPr>
        <w:t>, from the year 2022 to 2024, it has exceeded the threshold which means they have more than sufficient cash reserves.</w:t>
      </w:r>
      <w:r w:rsidR="001079A3" w:rsidRPr="00BE16FB">
        <w:rPr>
          <w:rFonts w:ascii="Calibri" w:hAnsi="Calibri" w:cs="Calibri"/>
          <w:color w:val="FF0000"/>
          <w:sz w:val="22"/>
          <w:szCs w:val="22"/>
        </w:rPr>
        <w:t xml:space="preserve"> Although it’s recommended to have 0.3 to 0.5.</w:t>
      </w:r>
    </w:p>
    <w:p w14:paraId="300991F7" w14:textId="77777777" w:rsidR="003D08AE" w:rsidRPr="00BE16FB" w:rsidRDefault="003D08AE" w:rsidP="003D08AE">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t>This indicates a strong liquidity position especially improving in recent years which means they can cover short term liabilities. They are managing the inventory, payables and receivables well.</w:t>
      </w:r>
    </w:p>
    <w:p w14:paraId="15FBA7D3" w14:textId="77777777" w:rsidR="003D08AE" w:rsidRPr="00BE16FB" w:rsidRDefault="003D08AE" w:rsidP="0098281F">
      <w:pPr>
        <w:pStyle w:val="ListParagraph"/>
        <w:ind w:left="1440"/>
        <w:rPr>
          <w:rFonts w:ascii="Calibri" w:hAnsi="Calibri" w:cs="Calibri"/>
          <w:color w:val="FF0000"/>
          <w:sz w:val="22"/>
          <w:szCs w:val="22"/>
        </w:rPr>
      </w:pPr>
    </w:p>
    <w:p w14:paraId="199DC498" w14:textId="0DE7B433" w:rsidR="00D21BA5" w:rsidRPr="00F41773" w:rsidRDefault="00D21BA5" w:rsidP="00D21BA5">
      <w:pPr>
        <w:pStyle w:val="ListParagraph"/>
        <w:numPr>
          <w:ilvl w:val="0"/>
          <w:numId w:val="3"/>
        </w:numPr>
        <w:rPr>
          <w:rFonts w:ascii="Calibri" w:hAnsi="Calibri" w:cs="Calibri"/>
          <w:b/>
          <w:bCs/>
          <w:color w:val="3A7C22" w:themeColor="accent6" w:themeShade="BF"/>
        </w:rPr>
      </w:pPr>
      <w:proofErr w:type="spellStart"/>
      <w:proofErr w:type="gramStart"/>
      <w:r w:rsidRPr="00F41773">
        <w:rPr>
          <w:rFonts w:ascii="Calibri" w:hAnsi="Calibri" w:cs="Calibri"/>
          <w:b/>
          <w:bCs/>
          <w:color w:val="3A7C22" w:themeColor="accent6" w:themeShade="BF"/>
        </w:rPr>
        <w:lastRenderedPageBreak/>
        <w:t>Dr.Reddy’s</w:t>
      </w:r>
      <w:proofErr w:type="spellEnd"/>
      <w:proofErr w:type="gramEnd"/>
      <w:r w:rsidRPr="00F41773">
        <w:rPr>
          <w:rFonts w:ascii="Calibri" w:hAnsi="Calibri" w:cs="Calibri"/>
          <w:b/>
          <w:bCs/>
          <w:color w:val="3A7C22" w:themeColor="accent6" w:themeShade="BF"/>
        </w:rPr>
        <w:t xml:space="preserve"> Laboratories:</w:t>
      </w:r>
    </w:p>
    <w:p w14:paraId="3B0A035A" w14:textId="77777777" w:rsidR="005D7F35" w:rsidRPr="007F6476" w:rsidRDefault="005D7F35" w:rsidP="005D7F35">
      <w:pPr>
        <w:pStyle w:val="ListParagraph"/>
        <w:rPr>
          <w:rFonts w:ascii="Calibri" w:hAnsi="Calibri" w:cs="Calibri"/>
          <w:color w:val="000000" w:themeColor="text1"/>
        </w:rPr>
      </w:pPr>
    </w:p>
    <w:p w14:paraId="13D93F46" w14:textId="77777777" w:rsidR="005D7F35" w:rsidRPr="007F6476" w:rsidRDefault="005D7F35" w:rsidP="005D7F35">
      <w:pPr>
        <w:pStyle w:val="ListParagraph"/>
        <w:rPr>
          <w:rFonts w:ascii="Calibri" w:hAnsi="Calibri" w:cs="Calibri"/>
          <w:color w:val="000000" w:themeColor="text1"/>
        </w:rPr>
      </w:pPr>
    </w:p>
    <w:p w14:paraId="6004E39B" w14:textId="77777777" w:rsidR="005D7F35" w:rsidRPr="007F6476" w:rsidRDefault="005D7F35" w:rsidP="005D7F35">
      <w:pPr>
        <w:pStyle w:val="ListParagraph"/>
        <w:rPr>
          <w:rFonts w:ascii="Calibri" w:hAnsi="Calibri" w:cs="Calibri"/>
          <w:color w:val="000000" w:themeColor="text1"/>
        </w:rPr>
      </w:pPr>
    </w:p>
    <w:p w14:paraId="546CAA84" w14:textId="55232F90" w:rsidR="00433D07" w:rsidRDefault="00433D07" w:rsidP="00D21BA5">
      <w:pPr>
        <w:pStyle w:val="ListParagraph"/>
        <w:numPr>
          <w:ilvl w:val="0"/>
          <w:numId w:val="3"/>
        </w:numPr>
        <w:rPr>
          <w:rFonts w:ascii="Calibri" w:hAnsi="Calibri" w:cs="Calibri"/>
          <w:b/>
          <w:bCs/>
          <w:color w:val="3A7C22" w:themeColor="accent6" w:themeShade="BF"/>
        </w:rPr>
      </w:pPr>
      <w:r w:rsidRPr="00F41773">
        <w:rPr>
          <w:rFonts w:ascii="Calibri" w:hAnsi="Calibri" w:cs="Calibri"/>
          <w:b/>
          <w:bCs/>
          <w:color w:val="3A7C22" w:themeColor="accent6" w:themeShade="BF"/>
        </w:rPr>
        <w:t>Cipla:</w:t>
      </w:r>
    </w:p>
    <w:p w14:paraId="4A4B08E9" w14:textId="77777777" w:rsidR="00F41773" w:rsidRDefault="00F41773" w:rsidP="00F41773">
      <w:pPr>
        <w:pStyle w:val="ListParagraph"/>
        <w:rPr>
          <w:rFonts w:ascii="Calibri" w:hAnsi="Calibri" w:cs="Calibri"/>
          <w:b/>
          <w:bCs/>
          <w:color w:val="3A7C22" w:themeColor="accent6" w:themeShade="BF"/>
        </w:rPr>
      </w:pPr>
    </w:p>
    <w:p w14:paraId="452659ED" w14:textId="298FC7D0" w:rsidR="00F41773" w:rsidRPr="00BE16FB" w:rsidRDefault="00F41773" w:rsidP="00F41773">
      <w:pPr>
        <w:pStyle w:val="ListParagraph"/>
        <w:rPr>
          <w:rFonts w:ascii="Calibri" w:hAnsi="Calibri" w:cs="Calibri"/>
          <w:b/>
          <w:bCs/>
          <w:color w:val="3A7C22" w:themeColor="accent6" w:themeShade="BF"/>
          <w:u w:val="single"/>
        </w:rPr>
      </w:pPr>
    </w:p>
    <w:p w14:paraId="40257971" w14:textId="77A55478" w:rsidR="00F41773" w:rsidRPr="00BE16FB" w:rsidRDefault="00F41773" w:rsidP="00BE16FB">
      <w:pPr>
        <w:ind w:firstLine="360"/>
        <w:rPr>
          <w:rFonts w:ascii="Calibri" w:hAnsi="Calibri" w:cs="Calibri"/>
          <w:b/>
          <w:bCs/>
          <w:color w:val="3A7C22" w:themeColor="accent6" w:themeShade="BF"/>
          <w:u w:val="single"/>
        </w:rPr>
      </w:pPr>
      <w:r w:rsidRPr="00BE16FB">
        <w:rPr>
          <w:rFonts w:ascii="Calibri" w:hAnsi="Calibri" w:cs="Calibri"/>
          <w:b/>
          <w:bCs/>
          <w:color w:val="3A7C22" w:themeColor="accent6" w:themeShade="BF"/>
          <w:u w:val="single"/>
        </w:rPr>
        <w:t>CONSOLIDATED LIQUIDITY RATIO ANALYSIS:</w:t>
      </w:r>
    </w:p>
    <w:p w14:paraId="151E5DCE" w14:textId="77777777" w:rsidR="003D08AE" w:rsidRDefault="003D08AE" w:rsidP="00F41773">
      <w:pPr>
        <w:pStyle w:val="ListParagraph"/>
        <w:rPr>
          <w:rFonts w:ascii="Calibri" w:hAnsi="Calibri" w:cs="Calibri"/>
          <w:b/>
          <w:bCs/>
          <w:color w:val="3A7C22" w:themeColor="accent6" w:themeShade="BF"/>
        </w:rPr>
      </w:pPr>
    </w:p>
    <w:p w14:paraId="21C15D1E" w14:textId="5383B3B0" w:rsidR="00F41773" w:rsidRPr="007F6476" w:rsidRDefault="00F41773" w:rsidP="00F41773">
      <w:pPr>
        <w:jc w:val="center"/>
        <w:rPr>
          <w:rFonts w:ascii="Calibri" w:hAnsi="Calibri" w:cs="Calibri"/>
          <w:b/>
          <w:bCs/>
          <w:color w:val="77206D" w:themeColor="accent5" w:themeShade="BF"/>
          <w:sz w:val="28"/>
          <w:szCs w:val="28"/>
          <w:u w:val="single"/>
        </w:rPr>
      </w:pPr>
      <w:r>
        <w:rPr>
          <w:rFonts w:ascii="Calibri" w:hAnsi="Calibri" w:cs="Calibri"/>
          <w:b/>
          <w:bCs/>
          <w:color w:val="77206D" w:themeColor="accent5" w:themeShade="BF"/>
          <w:sz w:val="28"/>
          <w:szCs w:val="28"/>
          <w:u w:val="single"/>
        </w:rPr>
        <w:t>PROFITABILITY</w:t>
      </w:r>
      <w:r w:rsidRPr="007F6476">
        <w:rPr>
          <w:rFonts w:ascii="Calibri" w:hAnsi="Calibri" w:cs="Calibri"/>
          <w:b/>
          <w:bCs/>
          <w:color w:val="77206D" w:themeColor="accent5" w:themeShade="BF"/>
          <w:sz w:val="28"/>
          <w:szCs w:val="28"/>
          <w:u w:val="single"/>
        </w:rPr>
        <w:t xml:space="preserve"> RATIO</w:t>
      </w:r>
      <w:r w:rsidR="00C11600">
        <w:rPr>
          <w:rFonts w:ascii="Calibri" w:hAnsi="Calibri" w:cs="Calibri"/>
          <w:b/>
          <w:bCs/>
          <w:color w:val="77206D" w:themeColor="accent5" w:themeShade="BF"/>
          <w:sz w:val="28"/>
          <w:szCs w:val="28"/>
          <w:u w:val="single"/>
        </w:rPr>
        <w:t xml:space="preserve"> ANALYSIS</w:t>
      </w:r>
      <w:r w:rsidRPr="007F6476">
        <w:rPr>
          <w:rFonts w:ascii="Calibri" w:hAnsi="Calibri" w:cs="Calibri"/>
          <w:b/>
          <w:bCs/>
          <w:color w:val="77206D" w:themeColor="accent5" w:themeShade="BF"/>
          <w:sz w:val="28"/>
          <w:szCs w:val="28"/>
          <w:u w:val="single"/>
        </w:rPr>
        <w:t>:</w:t>
      </w:r>
    </w:p>
    <w:p w14:paraId="121E1BE5" w14:textId="77777777" w:rsidR="00F41773" w:rsidRPr="007F6476" w:rsidRDefault="00F41773" w:rsidP="00F41773">
      <w:pPr>
        <w:pStyle w:val="ListParagraph"/>
        <w:rPr>
          <w:rFonts w:ascii="Calibri" w:hAnsi="Calibri" w:cs="Calibri"/>
          <w:color w:val="000000" w:themeColor="text1"/>
        </w:rPr>
      </w:pPr>
    </w:p>
    <w:p w14:paraId="2820EB6C" w14:textId="47CB2359" w:rsidR="00F41773" w:rsidRPr="00F41773" w:rsidRDefault="00F41773" w:rsidP="00F41773">
      <w:pPr>
        <w:pStyle w:val="ListParagraph"/>
        <w:numPr>
          <w:ilvl w:val="0"/>
          <w:numId w:val="8"/>
        </w:numPr>
        <w:rPr>
          <w:rFonts w:ascii="Calibri" w:hAnsi="Calibri" w:cs="Calibri"/>
          <w:b/>
          <w:bCs/>
          <w:color w:val="3A7C22" w:themeColor="accent6" w:themeShade="BF"/>
        </w:rPr>
      </w:pPr>
      <w:r w:rsidRPr="00F41773">
        <w:rPr>
          <w:rFonts w:ascii="Calibri" w:hAnsi="Calibri" w:cs="Calibri"/>
          <w:b/>
          <w:bCs/>
          <w:color w:val="3A7C22" w:themeColor="accent6" w:themeShade="BF"/>
        </w:rPr>
        <w:t xml:space="preserve">Sun Pharmaceutical Industries: </w:t>
      </w:r>
    </w:p>
    <w:tbl>
      <w:tblPr>
        <w:tblpPr w:leftFromText="180" w:rightFromText="180" w:vertAnchor="text" w:horzAnchor="page" w:tblpX="2117" w:tblpY="337"/>
        <w:tblW w:w="8051" w:type="dxa"/>
        <w:tblLook w:val="04A0" w:firstRow="1" w:lastRow="0" w:firstColumn="1" w:lastColumn="0" w:noHBand="0" w:noVBand="1"/>
      </w:tblPr>
      <w:tblGrid>
        <w:gridCol w:w="3132"/>
        <w:gridCol w:w="1307"/>
        <w:gridCol w:w="1306"/>
        <w:gridCol w:w="1176"/>
        <w:gridCol w:w="1130"/>
      </w:tblGrid>
      <w:tr w:rsidR="001079A3" w:rsidRPr="00BE16FB" w14:paraId="1B6DD50A" w14:textId="77777777" w:rsidTr="00BE16FB">
        <w:trPr>
          <w:trHeight w:val="271"/>
        </w:trPr>
        <w:tc>
          <w:tcPr>
            <w:tcW w:w="313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7DA8ABB" w14:textId="77777777" w:rsidR="003D08AE" w:rsidRPr="00BE16FB" w:rsidRDefault="003D08AE" w:rsidP="003D08AE">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Profitability Ratios</w:t>
            </w:r>
          </w:p>
        </w:tc>
        <w:tc>
          <w:tcPr>
            <w:tcW w:w="1307" w:type="dxa"/>
            <w:tcBorders>
              <w:top w:val="single" w:sz="4" w:space="0" w:color="auto"/>
              <w:left w:val="nil"/>
              <w:bottom w:val="single" w:sz="4" w:space="0" w:color="auto"/>
              <w:right w:val="single" w:sz="4" w:space="0" w:color="auto"/>
            </w:tcBorders>
            <w:shd w:val="clear" w:color="000000" w:fill="F4CCCC"/>
            <w:noWrap/>
            <w:vAlign w:val="bottom"/>
            <w:hideMark/>
          </w:tcPr>
          <w:p w14:paraId="06090287" w14:textId="77777777" w:rsidR="003D08AE" w:rsidRPr="00BE16FB" w:rsidRDefault="003D08AE" w:rsidP="003D08AE">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2024</w:t>
            </w:r>
          </w:p>
        </w:tc>
        <w:tc>
          <w:tcPr>
            <w:tcW w:w="1306" w:type="dxa"/>
            <w:tcBorders>
              <w:top w:val="single" w:sz="4" w:space="0" w:color="auto"/>
              <w:left w:val="nil"/>
              <w:bottom w:val="single" w:sz="4" w:space="0" w:color="auto"/>
              <w:right w:val="single" w:sz="4" w:space="0" w:color="auto"/>
            </w:tcBorders>
            <w:shd w:val="clear" w:color="000000" w:fill="F4CCCC"/>
            <w:noWrap/>
            <w:vAlign w:val="bottom"/>
            <w:hideMark/>
          </w:tcPr>
          <w:p w14:paraId="22B2994F" w14:textId="77777777" w:rsidR="003D08AE" w:rsidRPr="00BE16FB" w:rsidRDefault="003D08AE" w:rsidP="003D08AE">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2023</w:t>
            </w:r>
          </w:p>
        </w:tc>
        <w:tc>
          <w:tcPr>
            <w:tcW w:w="1176" w:type="dxa"/>
            <w:tcBorders>
              <w:top w:val="single" w:sz="4" w:space="0" w:color="auto"/>
              <w:left w:val="nil"/>
              <w:bottom w:val="single" w:sz="4" w:space="0" w:color="auto"/>
              <w:right w:val="single" w:sz="4" w:space="0" w:color="auto"/>
            </w:tcBorders>
            <w:shd w:val="clear" w:color="000000" w:fill="F4CCCC"/>
            <w:noWrap/>
            <w:vAlign w:val="bottom"/>
            <w:hideMark/>
          </w:tcPr>
          <w:p w14:paraId="38B0423E" w14:textId="77777777" w:rsidR="003D08AE" w:rsidRPr="00BE16FB" w:rsidRDefault="003D08AE" w:rsidP="003D08AE">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2022</w:t>
            </w:r>
          </w:p>
        </w:tc>
        <w:tc>
          <w:tcPr>
            <w:tcW w:w="1130" w:type="dxa"/>
            <w:tcBorders>
              <w:top w:val="single" w:sz="4" w:space="0" w:color="auto"/>
              <w:left w:val="nil"/>
              <w:bottom w:val="single" w:sz="4" w:space="0" w:color="auto"/>
              <w:right w:val="single" w:sz="4" w:space="0" w:color="auto"/>
            </w:tcBorders>
            <w:shd w:val="clear" w:color="000000" w:fill="F4CCCC"/>
            <w:noWrap/>
            <w:vAlign w:val="bottom"/>
            <w:hideMark/>
          </w:tcPr>
          <w:p w14:paraId="5CEA167E" w14:textId="77777777" w:rsidR="003D08AE" w:rsidRPr="00BE16FB" w:rsidRDefault="003D08AE" w:rsidP="003D08AE">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2021</w:t>
            </w:r>
          </w:p>
        </w:tc>
      </w:tr>
      <w:tr w:rsidR="001079A3" w:rsidRPr="00BE16FB" w14:paraId="0295711D" w14:textId="77777777" w:rsidTr="00BE16FB">
        <w:trPr>
          <w:trHeight w:val="271"/>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5F929E5F" w14:textId="77777777" w:rsidR="003D08AE" w:rsidRPr="00BE16FB" w:rsidRDefault="003D08AE" w:rsidP="003D08AE">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Gross Profit Ratio</w:t>
            </w:r>
          </w:p>
        </w:tc>
        <w:tc>
          <w:tcPr>
            <w:tcW w:w="1307" w:type="dxa"/>
            <w:tcBorders>
              <w:top w:val="nil"/>
              <w:left w:val="nil"/>
              <w:bottom w:val="single" w:sz="4" w:space="0" w:color="auto"/>
              <w:right w:val="single" w:sz="4" w:space="0" w:color="auto"/>
            </w:tcBorders>
            <w:shd w:val="clear" w:color="auto" w:fill="auto"/>
            <w:vAlign w:val="bottom"/>
            <w:hideMark/>
          </w:tcPr>
          <w:p w14:paraId="16D29621"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57.3</w:t>
            </w:r>
          </w:p>
        </w:tc>
        <w:tc>
          <w:tcPr>
            <w:tcW w:w="1306" w:type="dxa"/>
            <w:tcBorders>
              <w:top w:val="nil"/>
              <w:left w:val="nil"/>
              <w:bottom w:val="single" w:sz="4" w:space="0" w:color="auto"/>
              <w:right w:val="single" w:sz="4" w:space="0" w:color="auto"/>
            </w:tcBorders>
            <w:shd w:val="clear" w:color="auto" w:fill="auto"/>
            <w:vAlign w:val="bottom"/>
            <w:hideMark/>
          </w:tcPr>
          <w:p w14:paraId="27D62DE1"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55.5</w:t>
            </w:r>
          </w:p>
        </w:tc>
        <w:tc>
          <w:tcPr>
            <w:tcW w:w="1176" w:type="dxa"/>
            <w:tcBorders>
              <w:top w:val="nil"/>
              <w:left w:val="nil"/>
              <w:bottom w:val="single" w:sz="4" w:space="0" w:color="auto"/>
              <w:right w:val="single" w:sz="4" w:space="0" w:color="auto"/>
            </w:tcBorders>
            <w:shd w:val="clear" w:color="auto" w:fill="auto"/>
            <w:vAlign w:val="bottom"/>
            <w:hideMark/>
          </w:tcPr>
          <w:p w14:paraId="5EAAEBED"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52.9</w:t>
            </w:r>
          </w:p>
        </w:tc>
        <w:tc>
          <w:tcPr>
            <w:tcW w:w="1130" w:type="dxa"/>
            <w:tcBorders>
              <w:top w:val="nil"/>
              <w:left w:val="nil"/>
              <w:bottom w:val="single" w:sz="4" w:space="0" w:color="auto"/>
              <w:right w:val="single" w:sz="4" w:space="0" w:color="auto"/>
            </w:tcBorders>
            <w:shd w:val="clear" w:color="auto" w:fill="auto"/>
            <w:vAlign w:val="bottom"/>
            <w:hideMark/>
          </w:tcPr>
          <w:p w14:paraId="5E29BF1C"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53.6</w:t>
            </w:r>
          </w:p>
        </w:tc>
      </w:tr>
      <w:tr w:rsidR="001079A3" w:rsidRPr="00BE16FB" w14:paraId="51F5821D" w14:textId="77777777" w:rsidTr="00BE16FB">
        <w:trPr>
          <w:trHeight w:val="271"/>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3A211424" w14:textId="77777777" w:rsidR="003D08AE" w:rsidRPr="00BE16FB" w:rsidRDefault="003D08AE" w:rsidP="003D08AE">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Net Profit Ratio</w:t>
            </w:r>
          </w:p>
        </w:tc>
        <w:tc>
          <w:tcPr>
            <w:tcW w:w="1307" w:type="dxa"/>
            <w:tcBorders>
              <w:top w:val="nil"/>
              <w:left w:val="nil"/>
              <w:bottom w:val="single" w:sz="4" w:space="0" w:color="auto"/>
              <w:right w:val="single" w:sz="4" w:space="0" w:color="auto"/>
            </w:tcBorders>
            <w:shd w:val="clear" w:color="auto" w:fill="auto"/>
            <w:vAlign w:val="bottom"/>
            <w:hideMark/>
          </w:tcPr>
          <w:p w14:paraId="220E822C"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19.4</w:t>
            </w:r>
          </w:p>
        </w:tc>
        <w:tc>
          <w:tcPr>
            <w:tcW w:w="1306" w:type="dxa"/>
            <w:tcBorders>
              <w:top w:val="nil"/>
              <w:left w:val="nil"/>
              <w:bottom w:val="single" w:sz="4" w:space="0" w:color="auto"/>
              <w:right w:val="single" w:sz="4" w:space="0" w:color="auto"/>
            </w:tcBorders>
            <w:shd w:val="clear" w:color="auto" w:fill="auto"/>
            <w:vAlign w:val="bottom"/>
            <w:hideMark/>
          </w:tcPr>
          <w:p w14:paraId="21A49B57"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19.2</w:t>
            </w:r>
          </w:p>
        </w:tc>
        <w:tc>
          <w:tcPr>
            <w:tcW w:w="1176" w:type="dxa"/>
            <w:tcBorders>
              <w:top w:val="nil"/>
              <w:left w:val="nil"/>
              <w:bottom w:val="single" w:sz="4" w:space="0" w:color="auto"/>
              <w:right w:val="single" w:sz="4" w:space="0" w:color="auto"/>
            </w:tcBorders>
            <w:shd w:val="clear" w:color="auto" w:fill="auto"/>
            <w:vAlign w:val="bottom"/>
            <w:hideMark/>
          </w:tcPr>
          <w:p w14:paraId="42E82BC7"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8.61</w:t>
            </w:r>
          </w:p>
        </w:tc>
        <w:tc>
          <w:tcPr>
            <w:tcW w:w="1130" w:type="dxa"/>
            <w:tcBorders>
              <w:top w:val="nil"/>
              <w:left w:val="nil"/>
              <w:bottom w:val="single" w:sz="4" w:space="0" w:color="auto"/>
              <w:right w:val="single" w:sz="4" w:space="0" w:color="auto"/>
            </w:tcBorders>
            <w:shd w:val="clear" w:color="auto" w:fill="auto"/>
            <w:vAlign w:val="bottom"/>
            <w:hideMark/>
          </w:tcPr>
          <w:p w14:paraId="5FE43C98"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6.65</w:t>
            </w:r>
          </w:p>
        </w:tc>
      </w:tr>
      <w:tr w:rsidR="001079A3" w:rsidRPr="00BE16FB" w14:paraId="4BF8CA1D" w14:textId="77777777" w:rsidTr="00BE16FB">
        <w:trPr>
          <w:trHeight w:val="271"/>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528D65C8" w14:textId="77777777" w:rsidR="003D08AE" w:rsidRPr="00BE16FB" w:rsidRDefault="003D08AE" w:rsidP="003D08AE">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Operating Profit Ratio</w:t>
            </w:r>
          </w:p>
        </w:tc>
        <w:tc>
          <w:tcPr>
            <w:tcW w:w="1307" w:type="dxa"/>
            <w:tcBorders>
              <w:top w:val="nil"/>
              <w:left w:val="nil"/>
              <w:bottom w:val="single" w:sz="4" w:space="0" w:color="auto"/>
              <w:right w:val="single" w:sz="4" w:space="0" w:color="auto"/>
            </w:tcBorders>
            <w:shd w:val="clear" w:color="auto" w:fill="auto"/>
            <w:vAlign w:val="bottom"/>
            <w:hideMark/>
          </w:tcPr>
          <w:p w14:paraId="15867BEE"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20.1</w:t>
            </w:r>
          </w:p>
        </w:tc>
        <w:tc>
          <w:tcPr>
            <w:tcW w:w="1306" w:type="dxa"/>
            <w:tcBorders>
              <w:top w:val="nil"/>
              <w:left w:val="nil"/>
              <w:bottom w:val="single" w:sz="4" w:space="0" w:color="auto"/>
              <w:right w:val="single" w:sz="4" w:space="0" w:color="auto"/>
            </w:tcBorders>
            <w:shd w:val="clear" w:color="auto" w:fill="auto"/>
            <w:vAlign w:val="bottom"/>
            <w:hideMark/>
          </w:tcPr>
          <w:p w14:paraId="634D1DDE"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19.4</w:t>
            </w:r>
          </w:p>
        </w:tc>
        <w:tc>
          <w:tcPr>
            <w:tcW w:w="1176" w:type="dxa"/>
            <w:tcBorders>
              <w:top w:val="nil"/>
              <w:left w:val="nil"/>
              <w:bottom w:val="single" w:sz="4" w:space="0" w:color="auto"/>
              <w:right w:val="single" w:sz="4" w:space="0" w:color="auto"/>
            </w:tcBorders>
            <w:shd w:val="clear" w:color="auto" w:fill="auto"/>
            <w:vAlign w:val="bottom"/>
            <w:hideMark/>
          </w:tcPr>
          <w:p w14:paraId="207FC7A2"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20.8</w:t>
            </w:r>
          </w:p>
        </w:tc>
        <w:tc>
          <w:tcPr>
            <w:tcW w:w="1130" w:type="dxa"/>
            <w:tcBorders>
              <w:top w:val="nil"/>
              <w:left w:val="nil"/>
              <w:bottom w:val="single" w:sz="4" w:space="0" w:color="auto"/>
              <w:right w:val="single" w:sz="4" w:space="0" w:color="auto"/>
            </w:tcBorders>
            <w:shd w:val="clear" w:color="auto" w:fill="auto"/>
            <w:vAlign w:val="bottom"/>
            <w:hideMark/>
          </w:tcPr>
          <w:p w14:paraId="611A6099"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18.1</w:t>
            </w:r>
          </w:p>
        </w:tc>
      </w:tr>
      <w:tr w:rsidR="001079A3" w:rsidRPr="00BE16FB" w14:paraId="44C6A962" w14:textId="77777777" w:rsidTr="00BE16FB">
        <w:trPr>
          <w:trHeight w:val="271"/>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226E9008" w14:textId="77777777" w:rsidR="003D08AE" w:rsidRPr="00BE16FB" w:rsidRDefault="003D08AE" w:rsidP="003D08AE">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Return on Equity</w:t>
            </w:r>
          </w:p>
        </w:tc>
        <w:tc>
          <w:tcPr>
            <w:tcW w:w="1307" w:type="dxa"/>
            <w:tcBorders>
              <w:top w:val="nil"/>
              <w:left w:val="nil"/>
              <w:bottom w:val="single" w:sz="4" w:space="0" w:color="auto"/>
              <w:right w:val="single" w:sz="4" w:space="0" w:color="auto"/>
            </w:tcBorders>
            <w:shd w:val="clear" w:color="auto" w:fill="auto"/>
            <w:vAlign w:val="bottom"/>
            <w:hideMark/>
          </w:tcPr>
          <w:p w14:paraId="0698400D"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15.2</w:t>
            </w:r>
          </w:p>
        </w:tc>
        <w:tc>
          <w:tcPr>
            <w:tcW w:w="1306" w:type="dxa"/>
            <w:tcBorders>
              <w:top w:val="nil"/>
              <w:left w:val="nil"/>
              <w:bottom w:val="single" w:sz="4" w:space="0" w:color="auto"/>
              <w:right w:val="single" w:sz="4" w:space="0" w:color="auto"/>
            </w:tcBorders>
            <w:shd w:val="clear" w:color="auto" w:fill="auto"/>
            <w:vAlign w:val="bottom"/>
            <w:hideMark/>
          </w:tcPr>
          <w:p w14:paraId="19DDEE98"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15.3</w:t>
            </w:r>
          </w:p>
        </w:tc>
        <w:tc>
          <w:tcPr>
            <w:tcW w:w="1176" w:type="dxa"/>
            <w:tcBorders>
              <w:top w:val="nil"/>
              <w:left w:val="nil"/>
              <w:bottom w:val="single" w:sz="4" w:space="0" w:color="auto"/>
              <w:right w:val="single" w:sz="4" w:space="0" w:color="auto"/>
            </w:tcBorders>
            <w:shd w:val="clear" w:color="auto" w:fill="auto"/>
            <w:vAlign w:val="bottom"/>
            <w:hideMark/>
          </w:tcPr>
          <w:p w14:paraId="7216F5B6"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7.09</w:t>
            </w:r>
          </w:p>
        </w:tc>
        <w:tc>
          <w:tcPr>
            <w:tcW w:w="1130" w:type="dxa"/>
            <w:tcBorders>
              <w:top w:val="nil"/>
              <w:left w:val="nil"/>
              <w:bottom w:val="single" w:sz="4" w:space="0" w:color="auto"/>
              <w:right w:val="single" w:sz="4" w:space="0" w:color="auto"/>
            </w:tcBorders>
            <w:shd w:val="clear" w:color="auto" w:fill="auto"/>
            <w:vAlign w:val="bottom"/>
            <w:hideMark/>
          </w:tcPr>
          <w:p w14:paraId="75DD45AB"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4.92</w:t>
            </w:r>
          </w:p>
        </w:tc>
      </w:tr>
      <w:tr w:rsidR="001079A3" w:rsidRPr="00BE16FB" w14:paraId="693B7BE2" w14:textId="77777777" w:rsidTr="00BE16FB">
        <w:trPr>
          <w:trHeight w:val="271"/>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145CDC9C" w14:textId="77777777" w:rsidR="003D08AE" w:rsidRPr="00BE16FB" w:rsidRDefault="003D08AE" w:rsidP="003D08AE">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Return on Capital Employed</w:t>
            </w:r>
          </w:p>
        </w:tc>
        <w:tc>
          <w:tcPr>
            <w:tcW w:w="1307" w:type="dxa"/>
            <w:tcBorders>
              <w:top w:val="nil"/>
              <w:left w:val="nil"/>
              <w:bottom w:val="single" w:sz="4" w:space="0" w:color="auto"/>
              <w:right w:val="single" w:sz="4" w:space="0" w:color="auto"/>
            </w:tcBorders>
            <w:shd w:val="clear" w:color="auto" w:fill="auto"/>
            <w:vAlign w:val="bottom"/>
            <w:hideMark/>
          </w:tcPr>
          <w:p w14:paraId="49881580"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15</w:t>
            </w:r>
          </w:p>
        </w:tc>
        <w:tc>
          <w:tcPr>
            <w:tcW w:w="1306" w:type="dxa"/>
            <w:tcBorders>
              <w:top w:val="nil"/>
              <w:left w:val="nil"/>
              <w:bottom w:val="single" w:sz="4" w:space="0" w:color="auto"/>
              <w:right w:val="single" w:sz="4" w:space="0" w:color="auto"/>
            </w:tcBorders>
            <w:shd w:val="clear" w:color="auto" w:fill="auto"/>
            <w:vAlign w:val="bottom"/>
            <w:hideMark/>
          </w:tcPr>
          <w:p w14:paraId="04ADBE9F"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14.8</w:t>
            </w:r>
          </w:p>
        </w:tc>
        <w:tc>
          <w:tcPr>
            <w:tcW w:w="1176" w:type="dxa"/>
            <w:tcBorders>
              <w:top w:val="nil"/>
              <w:left w:val="nil"/>
              <w:bottom w:val="single" w:sz="4" w:space="0" w:color="auto"/>
              <w:right w:val="single" w:sz="4" w:space="0" w:color="auto"/>
            </w:tcBorders>
            <w:shd w:val="clear" w:color="auto" w:fill="auto"/>
            <w:vAlign w:val="bottom"/>
            <w:hideMark/>
          </w:tcPr>
          <w:p w14:paraId="18769B8D"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16.2</w:t>
            </w:r>
          </w:p>
        </w:tc>
        <w:tc>
          <w:tcPr>
            <w:tcW w:w="1130" w:type="dxa"/>
            <w:tcBorders>
              <w:top w:val="nil"/>
              <w:left w:val="nil"/>
              <w:bottom w:val="single" w:sz="4" w:space="0" w:color="auto"/>
              <w:right w:val="single" w:sz="4" w:space="0" w:color="auto"/>
            </w:tcBorders>
            <w:shd w:val="clear" w:color="auto" w:fill="auto"/>
            <w:vAlign w:val="bottom"/>
            <w:hideMark/>
          </w:tcPr>
          <w:p w14:paraId="193A3622"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12.5</w:t>
            </w:r>
          </w:p>
        </w:tc>
      </w:tr>
      <w:tr w:rsidR="001079A3" w:rsidRPr="00BE16FB" w14:paraId="0249832D" w14:textId="77777777" w:rsidTr="00BE16FB">
        <w:trPr>
          <w:trHeight w:val="271"/>
        </w:trPr>
        <w:tc>
          <w:tcPr>
            <w:tcW w:w="3132" w:type="dxa"/>
            <w:tcBorders>
              <w:top w:val="nil"/>
              <w:left w:val="single" w:sz="4" w:space="0" w:color="auto"/>
              <w:bottom w:val="single" w:sz="4" w:space="0" w:color="auto"/>
              <w:right w:val="single" w:sz="4" w:space="0" w:color="auto"/>
            </w:tcBorders>
            <w:shd w:val="clear" w:color="auto" w:fill="auto"/>
            <w:noWrap/>
            <w:vAlign w:val="bottom"/>
            <w:hideMark/>
          </w:tcPr>
          <w:p w14:paraId="2A0C7C86" w14:textId="369CE536" w:rsidR="003D08AE" w:rsidRPr="00BE16FB" w:rsidRDefault="003D08AE" w:rsidP="003D08AE">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Earning</w:t>
            </w:r>
            <w:r w:rsidR="001079A3" w:rsidRPr="00BE16FB">
              <w:rPr>
                <w:rFonts w:ascii="Calibri" w:eastAsia="Times New Roman" w:hAnsi="Calibri" w:cs="Calibri"/>
                <w:b/>
                <w:bCs/>
                <w:color w:val="000000"/>
                <w:kern w:val="0"/>
                <w:sz w:val="20"/>
                <w:szCs w:val="20"/>
                <w:lang w:eastAsia="en-IN"/>
                <w14:ligatures w14:val="none"/>
              </w:rPr>
              <w:t>s</w:t>
            </w:r>
            <w:r w:rsidRPr="00BE16FB">
              <w:rPr>
                <w:rFonts w:ascii="Calibri" w:eastAsia="Times New Roman" w:hAnsi="Calibri" w:cs="Calibri"/>
                <w:b/>
                <w:bCs/>
                <w:color w:val="000000"/>
                <w:kern w:val="0"/>
                <w:sz w:val="20"/>
                <w:szCs w:val="20"/>
                <w:lang w:eastAsia="en-IN"/>
                <w14:ligatures w14:val="none"/>
              </w:rPr>
              <w:t xml:space="preserve"> Per Share </w:t>
            </w:r>
            <w:r w:rsidRPr="00BE16FB">
              <w:rPr>
                <w:rFonts w:ascii="Calibri" w:eastAsia="Times New Roman" w:hAnsi="Calibri" w:cs="Calibri"/>
                <w:b/>
                <w:bCs/>
                <w:color w:val="FF0000"/>
                <w:kern w:val="0"/>
                <w:sz w:val="20"/>
                <w:szCs w:val="20"/>
                <w:lang w:eastAsia="en-IN"/>
                <w14:ligatures w14:val="none"/>
              </w:rPr>
              <w:t>(In Rs)</w:t>
            </w:r>
          </w:p>
        </w:tc>
        <w:tc>
          <w:tcPr>
            <w:tcW w:w="1307" w:type="dxa"/>
            <w:tcBorders>
              <w:top w:val="nil"/>
              <w:left w:val="nil"/>
              <w:bottom w:val="single" w:sz="4" w:space="0" w:color="auto"/>
              <w:right w:val="single" w:sz="4" w:space="0" w:color="auto"/>
            </w:tcBorders>
            <w:shd w:val="clear" w:color="auto" w:fill="auto"/>
            <w:vAlign w:val="bottom"/>
            <w:hideMark/>
          </w:tcPr>
          <w:p w14:paraId="3C11D7FA"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40.2</w:t>
            </w:r>
          </w:p>
        </w:tc>
        <w:tc>
          <w:tcPr>
            <w:tcW w:w="1306" w:type="dxa"/>
            <w:tcBorders>
              <w:top w:val="nil"/>
              <w:left w:val="nil"/>
              <w:bottom w:val="single" w:sz="4" w:space="0" w:color="auto"/>
              <w:right w:val="single" w:sz="4" w:space="0" w:color="auto"/>
            </w:tcBorders>
            <w:shd w:val="clear" w:color="auto" w:fill="auto"/>
            <w:vAlign w:val="bottom"/>
            <w:hideMark/>
          </w:tcPr>
          <w:p w14:paraId="13976D9C"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35.7</w:t>
            </w:r>
          </w:p>
        </w:tc>
        <w:tc>
          <w:tcPr>
            <w:tcW w:w="1176" w:type="dxa"/>
            <w:tcBorders>
              <w:top w:val="nil"/>
              <w:left w:val="nil"/>
              <w:bottom w:val="single" w:sz="4" w:space="0" w:color="auto"/>
              <w:right w:val="single" w:sz="4" w:space="0" w:color="auto"/>
            </w:tcBorders>
            <w:shd w:val="clear" w:color="auto" w:fill="auto"/>
            <w:vAlign w:val="bottom"/>
            <w:hideMark/>
          </w:tcPr>
          <w:p w14:paraId="3354C0B4"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14.2</w:t>
            </w:r>
          </w:p>
        </w:tc>
        <w:tc>
          <w:tcPr>
            <w:tcW w:w="1130" w:type="dxa"/>
            <w:tcBorders>
              <w:top w:val="nil"/>
              <w:left w:val="nil"/>
              <w:bottom w:val="single" w:sz="4" w:space="0" w:color="auto"/>
              <w:right w:val="single" w:sz="4" w:space="0" w:color="auto"/>
            </w:tcBorders>
            <w:shd w:val="clear" w:color="auto" w:fill="auto"/>
            <w:vAlign w:val="bottom"/>
            <w:hideMark/>
          </w:tcPr>
          <w:p w14:paraId="55719AB9" w14:textId="77777777" w:rsidR="003D08AE" w:rsidRPr="00BE16FB" w:rsidRDefault="003D08AE" w:rsidP="003D08AE">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9.52</w:t>
            </w:r>
          </w:p>
        </w:tc>
      </w:tr>
    </w:tbl>
    <w:p w14:paraId="267BBFC1" w14:textId="77777777" w:rsidR="00F41773" w:rsidRPr="00BE16FB" w:rsidRDefault="00F41773" w:rsidP="00BE16FB">
      <w:pPr>
        <w:rPr>
          <w:rFonts w:ascii="Calibri" w:hAnsi="Calibri" w:cs="Calibri"/>
          <w:b/>
          <w:bCs/>
          <w:color w:val="000000" w:themeColor="text1"/>
        </w:rPr>
      </w:pPr>
    </w:p>
    <w:p w14:paraId="7478097B" w14:textId="27CA4B6B" w:rsidR="00F41773" w:rsidRDefault="00F41773" w:rsidP="00F41773">
      <w:pPr>
        <w:pStyle w:val="ListParagraph"/>
        <w:rPr>
          <w:rFonts w:ascii="Calibri" w:hAnsi="Calibri" w:cs="Calibri"/>
          <w:b/>
          <w:bCs/>
          <w:color w:val="000000" w:themeColor="text1"/>
        </w:rPr>
      </w:pPr>
    </w:p>
    <w:p w14:paraId="404D0210" w14:textId="16BC0B3C" w:rsidR="001079A3" w:rsidRDefault="00BE16FB" w:rsidP="00F41773">
      <w:pPr>
        <w:pStyle w:val="ListParagraph"/>
        <w:rPr>
          <w:rFonts w:ascii="Calibri" w:hAnsi="Calibri" w:cs="Calibri"/>
          <w:b/>
          <w:bCs/>
          <w:color w:val="000000" w:themeColor="text1"/>
        </w:rPr>
      </w:pPr>
      <w:r>
        <w:rPr>
          <w:noProof/>
        </w:rPr>
        <w:drawing>
          <wp:anchor distT="0" distB="0" distL="114300" distR="114300" simplePos="0" relativeHeight="251659264" behindDoc="0" locked="0" layoutInCell="1" allowOverlap="1" wp14:anchorId="4994CC80" wp14:editId="789B3973">
            <wp:simplePos x="0" y="0"/>
            <wp:positionH relativeFrom="margin">
              <wp:align>left</wp:align>
            </wp:positionH>
            <wp:positionV relativeFrom="paragraph">
              <wp:posOffset>8890</wp:posOffset>
            </wp:positionV>
            <wp:extent cx="6229350" cy="2114550"/>
            <wp:effectExtent l="0" t="0" r="0" b="0"/>
            <wp:wrapNone/>
            <wp:docPr id="412552615" name="Chart 1">
              <a:extLst xmlns:a="http://schemas.openxmlformats.org/drawingml/2006/main">
                <a:ext uri="{FF2B5EF4-FFF2-40B4-BE49-F238E27FC236}">
                  <a16:creationId xmlns:a16="http://schemas.microsoft.com/office/drawing/2014/main" id="{972566DC-6CA7-0F06-6D45-D30341D45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7BF313D6" w14:textId="77777777" w:rsidR="00C11600" w:rsidRDefault="00C11600" w:rsidP="00F41773">
      <w:pPr>
        <w:pStyle w:val="ListParagraph"/>
        <w:rPr>
          <w:rFonts w:ascii="Calibri" w:hAnsi="Calibri" w:cs="Calibri"/>
          <w:b/>
          <w:bCs/>
          <w:color w:val="000000" w:themeColor="text1"/>
        </w:rPr>
      </w:pPr>
    </w:p>
    <w:p w14:paraId="05A2C94D" w14:textId="77777777" w:rsidR="00C11600" w:rsidRDefault="00C11600" w:rsidP="00F41773">
      <w:pPr>
        <w:pStyle w:val="ListParagraph"/>
        <w:rPr>
          <w:rFonts w:ascii="Calibri" w:hAnsi="Calibri" w:cs="Calibri"/>
          <w:b/>
          <w:bCs/>
          <w:color w:val="000000" w:themeColor="text1"/>
        </w:rPr>
      </w:pPr>
    </w:p>
    <w:p w14:paraId="1D3D9251" w14:textId="77777777" w:rsidR="00C11600" w:rsidRDefault="00C11600" w:rsidP="00F41773">
      <w:pPr>
        <w:pStyle w:val="ListParagraph"/>
        <w:rPr>
          <w:rFonts w:ascii="Calibri" w:hAnsi="Calibri" w:cs="Calibri"/>
          <w:b/>
          <w:bCs/>
          <w:color w:val="000000" w:themeColor="text1"/>
        </w:rPr>
      </w:pPr>
    </w:p>
    <w:p w14:paraId="7B2C0ED0" w14:textId="77777777" w:rsidR="00C11600" w:rsidRDefault="00C11600" w:rsidP="00F41773">
      <w:pPr>
        <w:pStyle w:val="ListParagraph"/>
        <w:rPr>
          <w:rFonts w:ascii="Calibri" w:hAnsi="Calibri" w:cs="Calibri"/>
          <w:b/>
          <w:bCs/>
          <w:color w:val="000000" w:themeColor="text1"/>
        </w:rPr>
      </w:pPr>
    </w:p>
    <w:p w14:paraId="32BEF968" w14:textId="77777777" w:rsidR="00C11600" w:rsidRDefault="00C11600" w:rsidP="00F41773">
      <w:pPr>
        <w:pStyle w:val="ListParagraph"/>
        <w:rPr>
          <w:rFonts w:ascii="Calibri" w:hAnsi="Calibri" w:cs="Calibri"/>
          <w:b/>
          <w:bCs/>
          <w:color w:val="000000" w:themeColor="text1"/>
        </w:rPr>
      </w:pPr>
    </w:p>
    <w:p w14:paraId="457DCA30" w14:textId="77777777" w:rsidR="00C11600" w:rsidRDefault="00C11600" w:rsidP="00F41773">
      <w:pPr>
        <w:pStyle w:val="ListParagraph"/>
        <w:rPr>
          <w:rFonts w:ascii="Calibri" w:hAnsi="Calibri" w:cs="Calibri"/>
          <w:b/>
          <w:bCs/>
          <w:color w:val="000000" w:themeColor="text1"/>
        </w:rPr>
      </w:pPr>
    </w:p>
    <w:p w14:paraId="11B2CE44" w14:textId="77777777" w:rsidR="00C11600" w:rsidRDefault="00C11600" w:rsidP="00F41773">
      <w:pPr>
        <w:pStyle w:val="ListParagraph"/>
        <w:rPr>
          <w:rFonts w:ascii="Calibri" w:hAnsi="Calibri" w:cs="Calibri"/>
          <w:b/>
          <w:bCs/>
          <w:color w:val="000000" w:themeColor="text1"/>
        </w:rPr>
      </w:pPr>
    </w:p>
    <w:p w14:paraId="7317D879" w14:textId="77777777" w:rsidR="00C11600" w:rsidRDefault="00C11600" w:rsidP="00F41773">
      <w:pPr>
        <w:pStyle w:val="ListParagraph"/>
        <w:rPr>
          <w:rFonts w:ascii="Calibri" w:hAnsi="Calibri" w:cs="Calibri"/>
          <w:b/>
          <w:bCs/>
          <w:color w:val="000000" w:themeColor="text1"/>
        </w:rPr>
      </w:pPr>
    </w:p>
    <w:p w14:paraId="2E3C594D" w14:textId="77777777" w:rsidR="00C11600" w:rsidRPr="00BE16FB" w:rsidRDefault="00C11600" w:rsidP="00BE16FB">
      <w:pPr>
        <w:rPr>
          <w:rFonts w:ascii="Calibri" w:hAnsi="Calibri" w:cs="Calibri"/>
          <w:b/>
          <w:bCs/>
          <w:i/>
          <w:iCs/>
          <w:color w:val="FF0000"/>
          <w:u w:val="single"/>
        </w:rPr>
      </w:pPr>
    </w:p>
    <w:p w14:paraId="4CC47744" w14:textId="77777777" w:rsidR="00C11600" w:rsidRDefault="00C11600" w:rsidP="00C11600">
      <w:pPr>
        <w:pStyle w:val="ListParagraph"/>
        <w:rPr>
          <w:rFonts w:ascii="Calibri" w:hAnsi="Calibri" w:cs="Calibri"/>
          <w:b/>
          <w:bCs/>
          <w:i/>
          <w:iCs/>
          <w:color w:val="FF0000"/>
          <w:u w:val="single"/>
        </w:rPr>
      </w:pPr>
    </w:p>
    <w:p w14:paraId="134C2B0B" w14:textId="45D30DC7" w:rsidR="00C11600" w:rsidRPr="00BE16FB" w:rsidRDefault="00F41773" w:rsidP="00C11600">
      <w:pPr>
        <w:pStyle w:val="ListParagraph"/>
        <w:rPr>
          <w:rFonts w:ascii="Calibri" w:hAnsi="Calibri" w:cs="Calibri"/>
          <w:i/>
          <w:iCs/>
          <w:color w:val="FF0000"/>
          <w:sz w:val="22"/>
          <w:szCs w:val="22"/>
          <w:u w:val="single"/>
        </w:rPr>
      </w:pPr>
      <w:r w:rsidRPr="00BE16FB">
        <w:rPr>
          <w:rFonts w:ascii="Calibri" w:hAnsi="Calibri" w:cs="Calibri"/>
          <w:b/>
          <w:bCs/>
          <w:i/>
          <w:iCs/>
          <w:color w:val="FF0000"/>
          <w:sz w:val="22"/>
          <w:szCs w:val="22"/>
          <w:u w:val="single"/>
        </w:rPr>
        <w:t>Interpretation:</w:t>
      </w:r>
      <w:r w:rsidRPr="00BE16FB">
        <w:rPr>
          <w:rFonts w:ascii="Calibri" w:hAnsi="Calibri" w:cs="Calibri"/>
          <w:i/>
          <w:iCs/>
          <w:color w:val="FF0000"/>
          <w:sz w:val="22"/>
          <w:szCs w:val="22"/>
          <w:u w:val="single"/>
        </w:rPr>
        <w:t xml:space="preserve"> </w:t>
      </w:r>
    </w:p>
    <w:p w14:paraId="7583A79A" w14:textId="36F73C5A" w:rsidR="00F41773" w:rsidRPr="00BE16FB" w:rsidRDefault="001079A3" w:rsidP="00C11600">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t>If Gross Profit &gt; Operating Profit &gt; Net Profit, then the company reflects a healthy and standard progression.</w:t>
      </w:r>
      <w:r w:rsidR="001D0E7E" w:rsidRPr="00BE16FB">
        <w:rPr>
          <w:rFonts w:ascii="Calibri" w:hAnsi="Calibri" w:cs="Calibri"/>
          <w:color w:val="FF0000"/>
          <w:sz w:val="22"/>
          <w:szCs w:val="22"/>
        </w:rPr>
        <w:t xml:space="preserve"> </w:t>
      </w:r>
      <w:r w:rsidR="001237DD" w:rsidRPr="00BE16FB">
        <w:rPr>
          <w:rFonts w:ascii="Calibri" w:hAnsi="Calibri" w:cs="Calibri"/>
          <w:color w:val="FF0000"/>
          <w:sz w:val="22"/>
          <w:szCs w:val="22"/>
        </w:rPr>
        <w:t xml:space="preserve">This indicates consistent </w:t>
      </w:r>
      <w:r w:rsidR="008A4831" w:rsidRPr="00BE16FB">
        <w:rPr>
          <w:rFonts w:ascii="Calibri" w:hAnsi="Calibri" w:cs="Calibri"/>
          <w:color w:val="FF0000"/>
          <w:sz w:val="22"/>
          <w:szCs w:val="22"/>
        </w:rPr>
        <w:t>profit,</w:t>
      </w:r>
      <w:r w:rsidR="001237DD" w:rsidRPr="00BE16FB">
        <w:rPr>
          <w:rFonts w:ascii="Calibri" w:hAnsi="Calibri" w:cs="Calibri"/>
          <w:color w:val="FF0000"/>
          <w:sz w:val="22"/>
          <w:szCs w:val="22"/>
        </w:rPr>
        <w:t xml:space="preserve"> but not huge growth as operating profit has increased in proportion to sales. </w:t>
      </w:r>
    </w:p>
    <w:p w14:paraId="164358DB" w14:textId="7C7DBC7B" w:rsidR="001237DD" w:rsidRPr="00BE16FB" w:rsidRDefault="001237DD" w:rsidP="00F41773">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t xml:space="preserve">In Net profit ratio, there is huge jump from 2022(8.61) to 2023(19.2) which is the profit after tax indicating </w:t>
      </w:r>
      <w:r w:rsidR="00A121B2" w:rsidRPr="00BE16FB">
        <w:rPr>
          <w:rFonts w:ascii="Calibri" w:hAnsi="Calibri" w:cs="Calibri"/>
          <w:color w:val="FF0000"/>
          <w:sz w:val="22"/>
          <w:szCs w:val="22"/>
        </w:rPr>
        <w:t>efficiency in managing non-operating costs, taxes and interest expenses.</w:t>
      </w:r>
    </w:p>
    <w:p w14:paraId="763EAA89" w14:textId="770D0F79" w:rsidR="00A121B2" w:rsidRPr="00BE16FB" w:rsidRDefault="00C11600" w:rsidP="00F41773">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lastRenderedPageBreak/>
        <w:t xml:space="preserve">There is a positive trend in Return on Equity and consistent improvement in Return on capital employed. This indicates that the company has made efficient capital usage and has made an increase in shareholder value </w:t>
      </w:r>
      <w:r w:rsidR="000F1AA7" w:rsidRPr="00BE16FB">
        <w:rPr>
          <w:rFonts w:ascii="Calibri" w:hAnsi="Calibri" w:cs="Calibri"/>
          <w:color w:val="FF0000"/>
          <w:sz w:val="22"/>
          <w:szCs w:val="22"/>
        </w:rPr>
        <w:t>by looking at the increase in Earnings per share</w:t>
      </w:r>
      <w:r w:rsidRPr="00BE16FB">
        <w:rPr>
          <w:rFonts w:ascii="Calibri" w:hAnsi="Calibri" w:cs="Calibri"/>
          <w:color w:val="FF0000"/>
          <w:sz w:val="22"/>
          <w:szCs w:val="22"/>
        </w:rPr>
        <w:t>.</w:t>
      </w:r>
      <w:r w:rsidR="000F1AA7" w:rsidRPr="00BE16FB">
        <w:rPr>
          <w:rFonts w:ascii="Calibri" w:hAnsi="Calibri" w:cs="Calibri"/>
          <w:color w:val="FF0000"/>
          <w:sz w:val="22"/>
          <w:szCs w:val="22"/>
        </w:rPr>
        <w:t xml:space="preserve"> This highlights company’s strong financial performance.</w:t>
      </w:r>
    </w:p>
    <w:p w14:paraId="52E43154" w14:textId="77777777" w:rsidR="001079A3" w:rsidRPr="001079A3" w:rsidRDefault="001079A3" w:rsidP="001079A3">
      <w:pPr>
        <w:rPr>
          <w:rFonts w:ascii="Calibri" w:hAnsi="Calibri" w:cs="Calibri"/>
          <w:color w:val="FF0000"/>
        </w:rPr>
      </w:pPr>
    </w:p>
    <w:p w14:paraId="56C1C2F8" w14:textId="2B6E6419" w:rsidR="00F41773" w:rsidRPr="00F41773" w:rsidRDefault="00F41773" w:rsidP="00F41773">
      <w:pPr>
        <w:pStyle w:val="ListParagraph"/>
        <w:numPr>
          <w:ilvl w:val="0"/>
          <w:numId w:val="8"/>
        </w:numPr>
        <w:rPr>
          <w:rFonts w:ascii="Calibri" w:hAnsi="Calibri" w:cs="Calibri"/>
          <w:b/>
          <w:bCs/>
          <w:color w:val="3A7C22" w:themeColor="accent6" w:themeShade="BF"/>
        </w:rPr>
      </w:pPr>
      <w:proofErr w:type="spellStart"/>
      <w:proofErr w:type="gramStart"/>
      <w:r w:rsidRPr="00F41773">
        <w:rPr>
          <w:rFonts w:ascii="Calibri" w:hAnsi="Calibri" w:cs="Calibri"/>
          <w:b/>
          <w:bCs/>
          <w:color w:val="3A7C22" w:themeColor="accent6" w:themeShade="BF"/>
        </w:rPr>
        <w:t>Dr.Reddy’s</w:t>
      </w:r>
      <w:proofErr w:type="spellEnd"/>
      <w:proofErr w:type="gramEnd"/>
      <w:r w:rsidRPr="00F41773">
        <w:rPr>
          <w:rFonts w:ascii="Calibri" w:hAnsi="Calibri" w:cs="Calibri"/>
          <w:b/>
          <w:bCs/>
          <w:color w:val="3A7C22" w:themeColor="accent6" w:themeShade="BF"/>
        </w:rPr>
        <w:t xml:space="preserve"> Laboratories:</w:t>
      </w:r>
    </w:p>
    <w:p w14:paraId="626196F5" w14:textId="77777777" w:rsidR="00F41773" w:rsidRPr="007F6476" w:rsidRDefault="00F41773" w:rsidP="00F41773">
      <w:pPr>
        <w:pStyle w:val="ListParagraph"/>
        <w:rPr>
          <w:rFonts w:ascii="Calibri" w:hAnsi="Calibri" w:cs="Calibri"/>
          <w:color w:val="000000" w:themeColor="text1"/>
        </w:rPr>
      </w:pPr>
    </w:p>
    <w:p w14:paraId="54E9204D" w14:textId="77777777" w:rsidR="00F41773" w:rsidRPr="007F6476" w:rsidRDefault="00F41773" w:rsidP="00F41773">
      <w:pPr>
        <w:pStyle w:val="ListParagraph"/>
        <w:rPr>
          <w:rFonts w:ascii="Calibri" w:hAnsi="Calibri" w:cs="Calibri"/>
          <w:color w:val="000000" w:themeColor="text1"/>
        </w:rPr>
      </w:pPr>
    </w:p>
    <w:p w14:paraId="0E890803" w14:textId="77777777" w:rsidR="00F41773" w:rsidRPr="007F6476" w:rsidRDefault="00F41773" w:rsidP="00F41773">
      <w:pPr>
        <w:pStyle w:val="ListParagraph"/>
        <w:rPr>
          <w:rFonts w:ascii="Calibri" w:hAnsi="Calibri" w:cs="Calibri"/>
          <w:color w:val="000000" w:themeColor="text1"/>
        </w:rPr>
      </w:pPr>
    </w:p>
    <w:p w14:paraId="3A050CFE" w14:textId="77777777" w:rsidR="00F41773" w:rsidRDefault="00F41773" w:rsidP="00F41773">
      <w:pPr>
        <w:pStyle w:val="ListParagraph"/>
        <w:numPr>
          <w:ilvl w:val="0"/>
          <w:numId w:val="8"/>
        </w:numPr>
        <w:rPr>
          <w:rFonts w:ascii="Calibri" w:hAnsi="Calibri" w:cs="Calibri"/>
          <w:b/>
          <w:bCs/>
          <w:color w:val="3A7C22" w:themeColor="accent6" w:themeShade="BF"/>
        </w:rPr>
      </w:pPr>
      <w:r w:rsidRPr="00F41773">
        <w:rPr>
          <w:rFonts w:ascii="Calibri" w:hAnsi="Calibri" w:cs="Calibri"/>
          <w:b/>
          <w:bCs/>
          <w:color w:val="3A7C22" w:themeColor="accent6" w:themeShade="BF"/>
        </w:rPr>
        <w:t>Cipla:</w:t>
      </w:r>
    </w:p>
    <w:p w14:paraId="6ED04510" w14:textId="77777777" w:rsidR="00F41773" w:rsidRDefault="00F41773" w:rsidP="00F41773">
      <w:pPr>
        <w:pStyle w:val="ListParagraph"/>
        <w:rPr>
          <w:rFonts w:ascii="Calibri" w:hAnsi="Calibri" w:cs="Calibri"/>
          <w:b/>
          <w:bCs/>
          <w:color w:val="3A7C22" w:themeColor="accent6" w:themeShade="BF"/>
        </w:rPr>
      </w:pPr>
    </w:p>
    <w:p w14:paraId="46F65A04" w14:textId="77777777" w:rsidR="00F41773" w:rsidRDefault="00F41773" w:rsidP="00F41773">
      <w:pPr>
        <w:pStyle w:val="ListParagraph"/>
        <w:rPr>
          <w:rFonts w:ascii="Calibri" w:hAnsi="Calibri" w:cs="Calibri"/>
          <w:b/>
          <w:bCs/>
          <w:color w:val="3A7C22" w:themeColor="accent6" w:themeShade="BF"/>
        </w:rPr>
      </w:pPr>
    </w:p>
    <w:p w14:paraId="73E8382C" w14:textId="00E3C824" w:rsidR="00F41773" w:rsidRPr="00BE16FB" w:rsidRDefault="00F41773" w:rsidP="00BE16FB">
      <w:pPr>
        <w:ind w:firstLine="360"/>
        <w:rPr>
          <w:rFonts w:ascii="Calibri" w:hAnsi="Calibri" w:cs="Calibri"/>
          <w:b/>
          <w:bCs/>
          <w:color w:val="3A7C22" w:themeColor="accent6" w:themeShade="BF"/>
          <w:u w:val="single"/>
        </w:rPr>
      </w:pPr>
      <w:r w:rsidRPr="00BE16FB">
        <w:rPr>
          <w:rFonts w:ascii="Calibri" w:hAnsi="Calibri" w:cs="Calibri"/>
          <w:b/>
          <w:bCs/>
          <w:color w:val="3A7C22" w:themeColor="accent6" w:themeShade="BF"/>
          <w:u w:val="single"/>
        </w:rPr>
        <w:t>CONSOLIDATED PROFITABILITY RATIO ANALYSIS:</w:t>
      </w:r>
    </w:p>
    <w:p w14:paraId="68911AE3" w14:textId="77777777" w:rsidR="00F41773" w:rsidRDefault="00F41773" w:rsidP="00F41773">
      <w:pPr>
        <w:pStyle w:val="ListParagraph"/>
        <w:rPr>
          <w:rFonts w:ascii="Calibri" w:hAnsi="Calibri" w:cs="Calibri"/>
          <w:b/>
          <w:bCs/>
          <w:color w:val="3A7C22" w:themeColor="accent6" w:themeShade="BF"/>
        </w:rPr>
      </w:pPr>
    </w:p>
    <w:p w14:paraId="49E17D58" w14:textId="7E915335" w:rsidR="003D08AE" w:rsidRPr="007F6476" w:rsidRDefault="003D08AE" w:rsidP="003D08AE">
      <w:pPr>
        <w:jc w:val="center"/>
        <w:rPr>
          <w:rFonts w:ascii="Calibri" w:hAnsi="Calibri" w:cs="Calibri"/>
          <w:b/>
          <w:bCs/>
          <w:color w:val="77206D" w:themeColor="accent5" w:themeShade="BF"/>
          <w:sz w:val="28"/>
          <w:szCs w:val="28"/>
          <w:u w:val="single"/>
        </w:rPr>
      </w:pPr>
      <w:r>
        <w:rPr>
          <w:rFonts w:ascii="Calibri" w:hAnsi="Calibri" w:cs="Calibri"/>
          <w:b/>
          <w:bCs/>
          <w:color w:val="77206D" w:themeColor="accent5" w:themeShade="BF"/>
          <w:sz w:val="28"/>
          <w:szCs w:val="28"/>
          <w:u w:val="single"/>
        </w:rPr>
        <w:t>TURNOVER</w:t>
      </w:r>
      <w:r w:rsidRPr="007F6476">
        <w:rPr>
          <w:rFonts w:ascii="Calibri" w:hAnsi="Calibri" w:cs="Calibri"/>
          <w:b/>
          <w:bCs/>
          <w:color w:val="77206D" w:themeColor="accent5" w:themeShade="BF"/>
          <w:sz w:val="28"/>
          <w:szCs w:val="28"/>
          <w:u w:val="single"/>
        </w:rPr>
        <w:t xml:space="preserve"> RATIO</w:t>
      </w:r>
      <w:r w:rsidR="00C11600">
        <w:rPr>
          <w:rFonts w:ascii="Calibri" w:hAnsi="Calibri" w:cs="Calibri"/>
          <w:b/>
          <w:bCs/>
          <w:color w:val="77206D" w:themeColor="accent5" w:themeShade="BF"/>
          <w:sz w:val="28"/>
          <w:szCs w:val="28"/>
          <w:u w:val="single"/>
        </w:rPr>
        <w:t xml:space="preserve"> ANALYSIS</w:t>
      </w:r>
      <w:r w:rsidRPr="007F6476">
        <w:rPr>
          <w:rFonts w:ascii="Calibri" w:hAnsi="Calibri" w:cs="Calibri"/>
          <w:b/>
          <w:bCs/>
          <w:color w:val="77206D" w:themeColor="accent5" w:themeShade="BF"/>
          <w:sz w:val="28"/>
          <w:szCs w:val="28"/>
          <w:u w:val="single"/>
        </w:rPr>
        <w:t>:</w:t>
      </w:r>
    </w:p>
    <w:p w14:paraId="6A928743" w14:textId="77777777" w:rsidR="003D08AE" w:rsidRPr="007F6476" w:rsidRDefault="003D08AE" w:rsidP="003D08AE">
      <w:pPr>
        <w:pStyle w:val="ListParagraph"/>
        <w:rPr>
          <w:rFonts w:ascii="Calibri" w:hAnsi="Calibri" w:cs="Calibri"/>
          <w:color w:val="000000" w:themeColor="text1"/>
        </w:rPr>
      </w:pPr>
    </w:p>
    <w:p w14:paraId="125BFD91" w14:textId="197459A0" w:rsidR="003D08AE" w:rsidRPr="003D08AE" w:rsidRDefault="003D08AE" w:rsidP="003D08AE">
      <w:pPr>
        <w:pStyle w:val="ListParagraph"/>
        <w:numPr>
          <w:ilvl w:val="0"/>
          <w:numId w:val="10"/>
        </w:numPr>
        <w:rPr>
          <w:rFonts w:ascii="Calibri" w:hAnsi="Calibri" w:cs="Calibri"/>
          <w:b/>
          <w:bCs/>
          <w:color w:val="3A7C22" w:themeColor="accent6" w:themeShade="BF"/>
        </w:rPr>
      </w:pPr>
      <w:r w:rsidRPr="003D08AE">
        <w:rPr>
          <w:rFonts w:ascii="Calibri" w:hAnsi="Calibri" w:cs="Calibri"/>
          <w:b/>
          <w:bCs/>
          <w:color w:val="3A7C22" w:themeColor="accent6" w:themeShade="BF"/>
        </w:rPr>
        <w:t xml:space="preserve">Sun Pharmaceutical Industries: </w:t>
      </w:r>
    </w:p>
    <w:tbl>
      <w:tblPr>
        <w:tblpPr w:leftFromText="180" w:rightFromText="180" w:vertAnchor="text" w:horzAnchor="page" w:tblpX="2194" w:tblpY="347"/>
        <w:tblW w:w="7754" w:type="dxa"/>
        <w:tblLook w:val="04A0" w:firstRow="1" w:lastRow="0" w:firstColumn="1" w:lastColumn="0" w:noHBand="0" w:noVBand="1"/>
      </w:tblPr>
      <w:tblGrid>
        <w:gridCol w:w="3100"/>
        <w:gridCol w:w="1213"/>
        <w:gridCol w:w="1214"/>
        <w:gridCol w:w="1079"/>
        <w:gridCol w:w="1148"/>
      </w:tblGrid>
      <w:tr w:rsidR="000F1AA7" w:rsidRPr="00BE16FB" w14:paraId="38C897C0" w14:textId="77777777" w:rsidTr="00BE16FB">
        <w:trPr>
          <w:trHeight w:val="267"/>
        </w:trPr>
        <w:tc>
          <w:tcPr>
            <w:tcW w:w="31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8EFCE1" w14:textId="77777777" w:rsidR="000F1AA7" w:rsidRPr="00BE16FB" w:rsidRDefault="000F1AA7" w:rsidP="000F1AA7">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Turnover Ratio/Efficiency Ratios</w:t>
            </w:r>
          </w:p>
        </w:tc>
        <w:tc>
          <w:tcPr>
            <w:tcW w:w="1213" w:type="dxa"/>
            <w:tcBorders>
              <w:top w:val="single" w:sz="4" w:space="0" w:color="auto"/>
              <w:left w:val="nil"/>
              <w:bottom w:val="single" w:sz="4" w:space="0" w:color="auto"/>
              <w:right w:val="single" w:sz="4" w:space="0" w:color="auto"/>
            </w:tcBorders>
            <w:shd w:val="clear" w:color="000000" w:fill="F4CCCC"/>
            <w:noWrap/>
            <w:vAlign w:val="bottom"/>
            <w:hideMark/>
          </w:tcPr>
          <w:p w14:paraId="4E8842BE" w14:textId="77777777" w:rsidR="000F1AA7" w:rsidRPr="00BE16FB" w:rsidRDefault="000F1AA7" w:rsidP="000F1AA7">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2024</w:t>
            </w:r>
          </w:p>
        </w:tc>
        <w:tc>
          <w:tcPr>
            <w:tcW w:w="1214" w:type="dxa"/>
            <w:tcBorders>
              <w:top w:val="single" w:sz="4" w:space="0" w:color="auto"/>
              <w:left w:val="nil"/>
              <w:bottom w:val="single" w:sz="4" w:space="0" w:color="auto"/>
              <w:right w:val="single" w:sz="4" w:space="0" w:color="auto"/>
            </w:tcBorders>
            <w:shd w:val="clear" w:color="000000" w:fill="F4CCCC"/>
            <w:noWrap/>
            <w:vAlign w:val="bottom"/>
            <w:hideMark/>
          </w:tcPr>
          <w:p w14:paraId="5C75485E" w14:textId="77777777" w:rsidR="000F1AA7" w:rsidRPr="00BE16FB" w:rsidRDefault="000F1AA7" w:rsidP="000F1AA7">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2023</w:t>
            </w:r>
          </w:p>
        </w:tc>
        <w:tc>
          <w:tcPr>
            <w:tcW w:w="1079" w:type="dxa"/>
            <w:tcBorders>
              <w:top w:val="single" w:sz="4" w:space="0" w:color="auto"/>
              <w:left w:val="nil"/>
              <w:bottom w:val="single" w:sz="4" w:space="0" w:color="auto"/>
              <w:right w:val="single" w:sz="4" w:space="0" w:color="auto"/>
            </w:tcBorders>
            <w:shd w:val="clear" w:color="000000" w:fill="F4CCCC"/>
            <w:noWrap/>
            <w:vAlign w:val="bottom"/>
            <w:hideMark/>
          </w:tcPr>
          <w:p w14:paraId="1A6613B8" w14:textId="77777777" w:rsidR="000F1AA7" w:rsidRPr="00BE16FB" w:rsidRDefault="000F1AA7" w:rsidP="000F1AA7">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2022</w:t>
            </w:r>
          </w:p>
        </w:tc>
        <w:tc>
          <w:tcPr>
            <w:tcW w:w="1148" w:type="dxa"/>
            <w:tcBorders>
              <w:top w:val="single" w:sz="4" w:space="0" w:color="auto"/>
              <w:left w:val="nil"/>
              <w:bottom w:val="single" w:sz="4" w:space="0" w:color="auto"/>
              <w:right w:val="single" w:sz="4" w:space="0" w:color="auto"/>
            </w:tcBorders>
            <w:shd w:val="clear" w:color="000000" w:fill="F4CCCC"/>
            <w:noWrap/>
            <w:vAlign w:val="bottom"/>
            <w:hideMark/>
          </w:tcPr>
          <w:p w14:paraId="590F3DF4" w14:textId="77777777" w:rsidR="000F1AA7" w:rsidRPr="00BE16FB" w:rsidRDefault="000F1AA7" w:rsidP="000F1AA7">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2021</w:t>
            </w:r>
          </w:p>
        </w:tc>
      </w:tr>
      <w:tr w:rsidR="000F1AA7" w:rsidRPr="00BE16FB" w14:paraId="7834247E" w14:textId="77777777" w:rsidTr="00BE16FB">
        <w:trPr>
          <w:trHeight w:val="267"/>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02727FFD" w14:textId="77777777" w:rsidR="000F1AA7" w:rsidRPr="00BE16FB" w:rsidRDefault="000F1AA7" w:rsidP="000F1AA7">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Debtors Turnover Ratio</w:t>
            </w:r>
          </w:p>
        </w:tc>
        <w:tc>
          <w:tcPr>
            <w:tcW w:w="1213" w:type="dxa"/>
            <w:tcBorders>
              <w:top w:val="nil"/>
              <w:left w:val="nil"/>
              <w:bottom w:val="single" w:sz="4" w:space="0" w:color="auto"/>
              <w:right w:val="single" w:sz="4" w:space="0" w:color="auto"/>
            </w:tcBorders>
            <w:shd w:val="clear" w:color="auto" w:fill="auto"/>
            <w:noWrap/>
            <w:vAlign w:val="bottom"/>
            <w:hideMark/>
          </w:tcPr>
          <w:p w14:paraId="7DA4BB36"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4.28</w:t>
            </w:r>
          </w:p>
        </w:tc>
        <w:tc>
          <w:tcPr>
            <w:tcW w:w="1214" w:type="dxa"/>
            <w:tcBorders>
              <w:top w:val="nil"/>
              <w:left w:val="nil"/>
              <w:bottom w:val="single" w:sz="4" w:space="0" w:color="auto"/>
              <w:right w:val="single" w:sz="4" w:space="0" w:color="auto"/>
            </w:tcBorders>
            <w:shd w:val="clear" w:color="auto" w:fill="auto"/>
            <w:noWrap/>
            <w:vAlign w:val="bottom"/>
            <w:hideMark/>
          </w:tcPr>
          <w:p w14:paraId="33AF1090"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3.98</w:t>
            </w:r>
          </w:p>
        </w:tc>
        <w:tc>
          <w:tcPr>
            <w:tcW w:w="1079" w:type="dxa"/>
            <w:tcBorders>
              <w:top w:val="nil"/>
              <w:left w:val="nil"/>
              <w:bottom w:val="single" w:sz="4" w:space="0" w:color="auto"/>
              <w:right w:val="single" w:sz="4" w:space="0" w:color="auto"/>
            </w:tcBorders>
            <w:shd w:val="clear" w:color="auto" w:fill="auto"/>
            <w:noWrap/>
            <w:vAlign w:val="bottom"/>
            <w:hideMark/>
          </w:tcPr>
          <w:p w14:paraId="5E1B3E26"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3.93</w:t>
            </w:r>
          </w:p>
        </w:tc>
        <w:tc>
          <w:tcPr>
            <w:tcW w:w="1148" w:type="dxa"/>
            <w:tcBorders>
              <w:top w:val="nil"/>
              <w:left w:val="nil"/>
              <w:bottom w:val="single" w:sz="4" w:space="0" w:color="auto"/>
              <w:right w:val="single" w:sz="4" w:space="0" w:color="auto"/>
            </w:tcBorders>
            <w:shd w:val="clear" w:color="auto" w:fill="auto"/>
            <w:noWrap/>
            <w:vAlign w:val="bottom"/>
            <w:hideMark/>
          </w:tcPr>
          <w:p w14:paraId="562C2FD7"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3.62</w:t>
            </w:r>
          </w:p>
        </w:tc>
      </w:tr>
      <w:tr w:rsidR="000F1AA7" w:rsidRPr="00BE16FB" w14:paraId="4AB996BC" w14:textId="77777777" w:rsidTr="00BE16FB">
        <w:trPr>
          <w:trHeight w:val="267"/>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0368EA5E" w14:textId="77777777" w:rsidR="000F1AA7" w:rsidRPr="00BE16FB" w:rsidRDefault="000F1AA7" w:rsidP="000F1AA7">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Average Collection Period</w:t>
            </w:r>
          </w:p>
        </w:tc>
        <w:tc>
          <w:tcPr>
            <w:tcW w:w="1213" w:type="dxa"/>
            <w:tcBorders>
              <w:top w:val="nil"/>
              <w:left w:val="nil"/>
              <w:bottom w:val="single" w:sz="4" w:space="0" w:color="auto"/>
              <w:right w:val="single" w:sz="4" w:space="0" w:color="auto"/>
            </w:tcBorders>
            <w:shd w:val="clear" w:color="auto" w:fill="auto"/>
            <w:noWrap/>
            <w:vAlign w:val="bottom"/>
            <w:hideMark/>
          </w:tcPr>
          <w:p w14:paraId="6AF3BD89" w14:textId="77777777" w:rsidR="000F1AA7" w:rsidRPr="00BE16FB" w:rsidRDefault="000F1AA7" w:rsidP="000F1AA7">
            <w:pPr>
              <w:spacing w:after="0" w:line="240" w:lineRule="auto"/>
              <w:jc w:val="center"/>
              <w:rPr>
                <w:rFonts w:ascii="Calibri" w:eastAsia="Times New Roman" w:hAnsi="Calibri" w:cs="Calibri"/>
                <w:color w:val="3A7C22" w:themeColor="accent6" w:themeShade="BF"/>
                <w:kern w:val="0"/>
                <w:sz w:val="20"/>
                <w:szCs w:val="20"/>
                <w:lang w:eastAsia="en-IN"/>
                <w14:ligatures w14:val="none"/>
              </w:rPr>
            </w:pPr>
            <w:r w:rsidRPr="00BE16FB">
              <w:rPr>
                <w:rFonts w:ascii="Calibri" w:eastAsia="Times New Roman" w:hAnsi="Calibri" w:cs="Calibri"/>
                <w:color w:val="3A7C22" w:themeColor="accent6" w:themeShade="BF"/>
                <w:kern w:val="0"/>
                <w:sz w:val="20"/>
                <w:szCs w:val="20"/>
                <w:lang w:eastAsia="en-IN"/>
                <w14:ligatures w14:val="none"/>
              </w:rPr>
              <w:t>85.38</w:t>
            </w:r>
          </w:p>
        </w:tc>
        <w:tc>
          <w:tcPr>
            <w:tcW w:w="1214" w:type="dxa"/>
            <w:tcBorders>
              <w:top w:val="nil"/>
              <w:left w:val="nil"/>
              <w:bottom w:val="single" w:sz="4" w:space="0" w:color="auto"/>
              <w:right w:val="single" w:sz="4" w:space="0" w:color="auto"/>
            </w:tcBorders>
            <w:shd w:val="clear" w:color="auto" w:fill="auto"/>
            <w:noWrap/>
            <w:vAlign w:val="bottom"/>
            <w:hideMark/>
          </w:tcPr>
          <w:p w14:paraId="23BB231D" w14:textId="77777777" w:rsidR="000F1AA7" w:rsidRPr="00BE16FB" w:rsidRDefault="000F1AA7" w:rsidP="000F1AA7">
            <w:pPr>
              <w:spacing w:after="0" w:line="240" w:lineRule="auto"/>
              <w:jc w:val="center"/>
              <w:rPr>
                <w:rFonts w:ascii="Calibri" w:eastAsia="Times New Roman" w:hAnsi="Calibri" w:cs="Calibri"/>
                <w:color w:val="3A7C22" w:themeColor="accent6" w:themeShade="BF"/>
                <w:kern w:val="0"/>
                <w:sz w:val="20"/>
                <w:szCs w:val="20"/>
                <w:lang w:eastAsia="en-IN"/>
                <w14:ligatures w14:val="none"/>
              </w:rPr>
            </w:pPr>
            <w:r w:rsidRPr="00BE16FB">
              <w:rPr>
                <w:rFonts w:ascii="Calibri" w:eastAsia="Times New Roman" w:hAnsi="Calibri" w:cs="Calibri"/>
                <w:color w:val="3A7C22" w:themeColor="accent6" w:themeShade="BF"/>
                <w:kern w:val="0"/>
                <w:sz w:val="20"/>
                <w:szCs w:val="20"/>
                <w:lang w:eastAsia="en-IN"/>
                <w14:ligatures w14:val="none"/>
              </w:rPr>
              <w:t>91.62</w:t>
            </w:r>
          </w:p>
        </w:tc>
        <w:tc>
          <w:tcPr>
            <w:tcW w:w="1079" w:type="dxa"/>
            <w:tcBorders>
              <w:top w:val="nil"/>
              <w:left w:val="nil"/>
              <w:bottom w:val="single" w:sz="4" w:space="0" w:color="auto"/>
              <w:right w:val="single" w:sz="4" w:space="0" w:color="auto"/>
            </w:tcBorders>
            <w:shd w:val="clear" w:color="auto" w:fill="auto"/>
            <w:noWrap/>
            <w:vAlign w:val="bottom"/>
            <w:hideMark/>
          </w:tcPr>
          <w:p w14:paraId="5D3ECA34" w14:textId="77777777" w:rsidR="000F1AA7" w:rsidRPr="00BE16FB" w:rsidRDefault="000F1AA7" w:rsidP="000F1AA7">
            <w:pPr>
              <w:spacing w:after="0" w:line="240" w:lineRule="auto"/>
              <w:jc w:val="center"/>
              <w:rPr>
                <w:rFonts w:ascii="Calibri" w:eastAsia="Times New Roman" w:hAnsi="Calibri" w:cs="Calibri"/>
                <w:color w:val="3A7C22" w:themeColor="accent6" w:themeShade="BF"/>
                <w:kern w:val="0"/>
                <w:sz w:val="20"/>
                <w:szCs w:val="20"/>
                <w:lang w:eastAsia="en-IN"/>
                <w14:ligatures w14:val="none"/>
              </w:rPr>
            </w:pPr>
            <w:r w:rsidRPr="00BE16FB">
              <w:rPr>
                <w:rFonts w:ascii="Calibri" w:eastAsia="Times New Roman" w:hAnsi="Calibri" w:cs="Calibri"/>
                <w:color w:val="3A7C22" w:themeColor="accent6" w:themeShade="BF"/>
                <w:kern w:val="0"/>
                <w:sz w:val="20"/>
                <w:szCs w:val="20"/>
                <w:lang w:eastAsia="en-IN"/>
                <w14:ligatures w14:val="none"/>
              </w:rPr>
              <w:t>92.79</w:t>
            </w:r>
          </w:p>
        </w:tc>
        <w:tc>
          <w:tcPr>
            <w:tcW w:w="1148" w:type="dxa"/>
            <w:tcBorders>
              <w:top w:val="nil"/>
              <w:left w:val="nil"/>
              <w:bottom w:val="single" w:sz="4" w:space="0" w:color="auto"/>
              <w:right w:val="single" w:sz="4" w:space="0" w:color="auto"/>
            </w:tcBorders>
            <w:shd w:val="clear" w:color="auto" w:fill="auto"/>
            <w:noWrap/>
            <w:vAlign w:val="bottom"/>
            <w:hideMark/>
          </w:tcPr>
          <w:p w14:paraId="4CE00F59" w14:textId="77777777" w:rsidR="000F1AA7" w:rsidRPr="00BE16FB" w:rsidRDefault="000F1AA7" w:rsidP="000F1AA7">
            <w:pPr>
              <w:spacing w:after="0" w:line="240" w:lineRule="auto"/>
              <w:jc w:val="center"/>
              <w:rPr>
                <w:rFonts w:ascii="Calibri" w:eastAsia="Times New Roman" w:hAnsi="Calibri" w:cs="Calibri"/>
                <w:color w:val="3A7C22" w:themeColor="accent6" w:themeShade="BF"/>
                <w:kern w:val="0"/>
                <w:sz w:val="20"/>
                <w:szCs w:val="20"/>
                <w:lang w:eastAsia="en-IN"/>
                <w14:ligatures w14:val="none"/>
              </w:rPr>
            </w:pPr>
            <w:r w:rsidRPr="00BE16FB">
              <w:rPr>
                <w:rFonts w:ascii="Calibri" w:eastAsia="Times New Roman" w:hAnsi="Calibri" w:cs="Calibri"/>
                <w:color w:val="3A7C22" w:themeColor="accent6" w:themeShade="BF"/>
                <w:kern w:val="0"/>
                <w:sz w:val="20"/>
                <w:szCs w:val="20"/>
                <w:lang w:eastAsia="en-IN"/>
                <w14:ligatures w14:val="none"/>
              </w:rPr>
              <w:t>100.69</w:t>
            </w:r>
          </w:p>
        </w:tc>
      </w:tr>
      <w:tr w:rsidR="000F1AA7" w:rsidRPr="00BE16FB" w14:paraId="52EF1DE7" w14:textId="77777777" w:rsidTr="00BE16FB">
        <w:trPr>
          <w:trHeight w:val="267"/>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CD87620" w14:textId="77777777" w:rsidR="000F1AA7" w:rsidRPr="00BE16FB" w:rsidRDefault="000F1AA7" w:rsidP="000F1AA7">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Creditors Turnover Ratio</w:t>
            </w:r>
          </w:p>
        </w:tc>
        <w:tc>
          <w:tcPr>
            <w:tcW w:w="1213" w:type="dxa"/>
            <w:tcBorders>
              <w:top w:val="nil"/>
              <w:left w:val="nil"/>
              <w:bottom w:val="single" w:sz="4" w:space="0" w:color="auto"/>
              <w:right w:val="single" w:sz="4" w:space="0" w:color="auto"/>
            </w:tcBorders>
            <w:shd w:val="clear" w:color="auto" w:fill="auto"/>
            <w:noWrap/>
            <w:vAlign w:val="bottom"/>
            <w:hideMark/>
          </w:tcPr>
          <w:p w14:paraId="27387C93"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1.88</w:t>
            </w:r>
          </w:p>
        </w:tc>
        <w:tc>
          <w:tcPr>
            <w:tcW w:w="1214" w:type="dxa"/>
            <w:tcBorders>
              <w:top w:val="nil"/>
              <w:left w:val="nil"/>
              <w:bottom w:val="single" w:sz="4" w:space="0" w:color="auto"/>
              <w:right w:val="single" w:sz="4" w:space="0" w:color="auto"/>
            </w:tcBorders>
            <w:shd w:val="clear" w:color="auto" w:fill="auto"/>
            <w:noWrap/>
            <w:vAlign w:val="bottom"/>
            <w:hideMark/>
          </w:tcPr>
          <w:p w14:paraId="3D0FC9CD"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2.1</w:t>
            </w:r>
          </w:p>
        </w:tc>
        <w:tc>
          <w:tcPr>
            <w:tcW w:w="1079" w:type="dxa"/>
            <w:tcBorders>
              <w:top w:val="nil"/>
              <w:left w:val="nil"/>
              <w:bottom w:val="single" w:sz="4" w:space="0" w:color="auto"/>
              <w:right w:val="single" w:sz="4" w:space="0" w:color="auto"/>
            </w:tcBorders>
            <w:shd w:val="clear" w:color="auto" w:fill="auto"/>
            <w:noWrap/>
            <w:vAlign w:val="bottom"/>
            <w:hideMark/>
          </w:tcPr>
          <w:p w14:paraId="21BD925E"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2.45</w:t>
            </w:r>
          </w:p>
        </w:tc>
        <w:tc>
          <w:tcPr>
            <w:tcW w:w="1148" w:type="dxa"/>
            <w:tcBorders>
              <w:top w:val="nil"/>
              <w:left w:val="nil"/>
              <w:bottom w:val="single" w:sz="4" w:space="0" w:color="auto"/>
              <w:right w:val="single" w:sz="4" w:space="0" w:color="auto"/>
            </w:tcBorders>
            <w:shd w:val="clear" w:color="auto" w:fill="auto"/>
            <w:noWrap/>
            <w:vAlign w:val="bottom"/>
            <w:hideMark/>
          </w:tcPr>
          <w:p w14:paraId="00A4F246"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2.3</w:t>
            </w:r>
          </w:p>
        </w:tc>
      </w:tr>
      <w:tr w:rsidR="000F1AA7" w:rsidRPr="00BE16FB" w14:paraId="16EFE68A" w14:textId="77777777" w:rsidTr="00BE16FB">
        <w:trPr>
          <w:trHeight w:val="267"/>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A5B02C8" w14:textId="77777777" w:rsidR="000F1AA7" w:rsidRPr="00BE16FB" w:rsidRDefault="000F1AA7" w:rsidP="000F1AA7">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Average Payment period</w:t>
            </w:r>
          </w:p>
        </w:tc>
        <w:tc>
          <w:tcPr>
            <w:tcW w:w="1213" w:type="dxa"/>
            <w:tcBorders>
              <w:top w:val="nil"/>
              <w:left w:val="nil"/>
              <w:bottom w:val="single" w:sz="4" w:space="0" w:color="auto"/>
              <w:right w:val="single" w:sz="4" w:space="0" w:color="auto"/>
            </w:tcBorders>
            <w:shd w:val="clear" w:color="auto" w:fill="auto"/>
            <w:noWrap/>
            <w:vAlign w:val="bottom"/>
            <w:hideMark/>
          </w:tcPr>
          <w:p w14:paraId="50868C1F" w14:textId="77777777" w:rsidR="000F1AA7" w:rsidRPr="00BE16FB" w:rsidRDefault="000F1AA7" w:rsidP="000F1AA7">
            <w:pPr>
              <w:spacing w:after="0" w:line="240" w:lineRule="auto"/>
              <w:jc w:val="center"/>
              <w:rPr>
                <w:rFonts w:ascii="Calibri" w:eastAsia="Times New Roman" w:hAnsi="Calibri" w:cs="Calibri"/>
                <w:color w:val="3A7C22" w:themeColor="accent6" w:themeShade="BF"/>
                <w:kern w:val="0"/>
                <w:sz w:val="20"/>
                <w:szCs w:val="20"/>
                <w:lang w:eastAsia="en-IN"/>
                <w14:ligatures w14:val="none"/>
              </w:rPr>
            </w:pPr>
            <w:r w:rsidRPr="00BE16FB">
              <w:rPr>
                <w:rFonts w:ascii="Calibri" w:eastAsia="Times New Roman" w:hAnsi="Calibri" w:cs="Calibri"/>
                <w:color w:val="3A7C22" w:themeColor="accent6" w:themeShade="BF"/>
                <w:kern w:val="0"/>
                <w:sz w:val="20"/>
                <w:szCs w:val="20"/>
                <w:lang w:eastAsia="en-IN"/>
                <w14:ligatures w14:val="none"/>
              </w:rPr>
              <w:t>194.01</w:t>
            </w:r>
          </w:p>
        </w:tc>
        <w:tc>
          <w:tcPr>
            <w:tcW w:w="1214" w:type="dxa"/>
            <w:tcBorders>
              <w:top w:val="nil"/>
              <w:left w:val="nil"/>
              <w:bottom w:val="single" w:sz="4" w:space="0" w:color="auto"/>
              <w:right w:val="single" w:sz="4" w:space="0" w:color="auto"/>
            </w:tcBorders>
            <w:shd w:val="clear" w:color="auto" w:fill="auto"/>
            <w:noWrap/>
            <w:vAlign w:val="bottom"/>
            <w:hideMark/>
          </w:tcPr>
          <w:p w14:paraId="54BA5674" w14:textId="77777777" w:rsidR="000F1AA7" w:rsidRPr="00BE16FB" w:rsidRDefault="000F1AA7" w:rsidP="000F1AA7">
            <w:pPr>
              <w:spacing w:after="0" w:line="240" w:lineRule="auto"/>
              <w:jc w:val="center"/>
              <w:rPr>
                <w:rFonts w:ascii="Calibri" w:eastAsia="Times New Roman" w:hAnsi="Calibri" w:cs="Calibri"/>
                <w:color w:val="3A7C22" w:themeColor="accent6" w:themeShade="BF"/>
                <w:kern w:val="0"/>
                <w:sz w:val="20"/>
                <w:szCs w:val="20"/>
                <w:lang w:eastAsia="en-IN"/>
                <w14:ligatures w14:val="none"/>
              </w:rPr>
            </w:pPr>
            <w:r w:rsidRPr="00BE16FB">
              <w:rPr>
                <w:rFonts w:ascii="Calibri" w:eastAsia="Times New Roman" w:hAnsi="Calibri" w:cs="Calibri"/>
                <w:color w:val="3A7C22" w:themeColor="accent6" w:themeShade="BF"/>
                <w:kern w:val="0"/>
                <w:sz w:val="20"/>
                <w:szCs w:val="20"/>
                <w:lang w:eastAsia="en-IN"/>
                <w14:ligatures w14:val="none"/>
              </w:rPr>
              <w:t>173.92</w:t>
            </w:r>
          </w:p>
        </w:tc>
        <w:tc>
          <w:tcPr>
            <w:tcW w:w="1079" w:type="dxa"/>
            <w:tcBorders>
              <w:top w:val="nil"/>
              <w:left w:val="nil"/>
              <w:bottom w:val="single" w:sz="4" w:space="0" w:color="auto"/>
              <w:right w:val="single" w:sz="4" w:space="0" w:color="auto"/>
            </w:tcBorders>
            <w:shd w:val="clear" w:color="auto" w:fill="auto"/>
            <w:noWrap/>
            <w:vAlign w:val="bottom"/>
            <w:hideMark/>
          </w:tcPr>
          <w:p w14:paraId="0B938E24" w14:textId="77777777" w:rsidR="000F1AA7" w:rsidRPr="00BE16FB" w:rsidRDefault="000F1AA7" w:rsidP="000F1AA7">
            <w:pPr>
              <w:spacing w:after="0" w:line="240" w:lineRule="auto"/>
              <w:jc w:val="center"/>
              <w:rPr>
                <w:rFonts w:ascii="Calibri" w:eastAsia="Times New Roman" w:hAnsi="Calibri" w:cs="Calibri"/>
                <w:color w:val="3A7C22" w:themeColor="accent6" w:themeShade="BF"/>
                <w:kern w:val="0"/>
                <w:sz w:val="20"/>
                <w:szCs w:val="20"/>
                <w:lang w:eastAsia="en-IN"/>
                <w14:ligatures w14:val="none"/>
              </w:rPr>
            </w:pPr>
            <w:r w:rsidRPr="00BE16FB">
              <w:rPr>
                <w:rFonts w:ascii="Calibri" w:eastAsia="Times New Roman" w:hAnsi="Calibri" w:cs="Calibri"/>
                <w:color w:val="3A7C22" w:themeColor="accent6" w:themeShade="BF"/>
                <w:kern w:val="0"/>
                <w:sz w:val="20"/>
                <w:szCs w:val="20"/>
                <w:lang w:eastAsia="en-IN"/>
                <w14:ligatures w14:val="none"/>
              </w:rPr>
              <w:t>149.03</w:t>
            </w:r>
          </w:p>
        </w:tc>
        <w:tc>
          <w:tcPr>
            <w:tcW w:w="1148" w:type="dxa"/>
            <w:tcBorders>
              <w:top w:val="nil"/>
              <w:left w:val="nil"/>
              <w:bottom w:val="single" w:sz="4" w:space="0" w:color="auto"/>
              <w:right w:val="single" w:sz="4" w:space="0" w:color="auto"/>
            </w:tcBorders>
            <w:shd w:val="clear" w:color="auto" w:fill="auto"/>
            <w:noWrap/>
            <w:vAlign w:val="bottom"/>
            <w:hideMark/>
          </w:tcPr>
          <w:p w14:paraId="36C0A111" w14:textId="77777777" w:rsidR="000F1AA7" w:rsidRPr="00BE16FB" w:rsidRDefault="000F1AA7" w:rsidP="000F1AA7">
            <w:pPr>
              <w:spacing w:after="0" w:line="240" w:lineRule="auto"/>
              <w:jc w:val="center"/>
              <w:rPr>
                <w:rFonts w:ascii="Calibri" w:eastAsia="Times New Roman" w:hAnsi="Calibri" w:cs="Calibri"/>
                <w:color w:val="3A7C22" w:themeColor="accent6" w:themeShade="BF"/>
                <w:kern w:val="0"/>
                <w:sz w:val="20"/>
                <w:szCs w:val="20"/>
                <w:lang w:eastAsia="en-IN"/>
                <w14:ligatures w14:val="none"/>
              </w:rPr>
            </w:pPr>
            <w:r w:rsidRPr="00BE16FB">
              <w:rPr>
                <w:rFonts w:ascii="Calibri" w:eastAsia="Times New Roman" w:hAnsi="Calibri" w:cs="Calibri"/>
                <w:color w:val="3A7C22" w:themeColor="accent6" w:themeShade="BF"/>
                <w:kern w:val="0"/>
                <w:sz w:val="20"/>
                <w:szCs w:val="20"/>
                <w:lang w:eastAsia="en-IN"/>
                <w14:ligatures w14:val="none"/>
              </w:rPr>
              <w:t>158.71</w:t>
            </w:r>
          </w:p>
        </w:tc>
      </w:tr>
      <w:tr w:rsidR="000F1AA7" w:rsidRPr="00BE16FB" w14:paraId="0B96BAE6" w14:textId="77777777" w:rsidTr="00BE16FB">
        <w:trPr>
          <w:trHeight w:val="267"/>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0C6BFC0D" w14:textId="77777777" w:rsidR="000F1AA7" w:rsidRPr="00BE16FB" w:rsidRDefault="000F1AA7" w:rsidP="000F1AA7">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Inventory Turnover Ratio</w:t>
            </w:r>
          </w:p>
        </w:tc>
        <w:tc>
          <w:tcPr>
            <w:tcW w:w="1213" w:type="dxa"/>
            <w:tcBorders>
              <w:top w:val="nil"/>
              <w:left w:val="nil"/>
              <w:bottom w:val="single" w:sz="4" w:space="0" w:color="auto"/>
              <w:right w:val="single" w:sz="4" w:space="0" w:color="auto"/>
            </w:tcBorders>
            <w:shd w:val="clear" w:color="auto" w:fill="auto"/>
            <w:noWrap/>
            <w:vAlign w:val="bottom"/>
            <w:hideMark/>
          </w:tcPr>
          <w:p w14:paraId="25B12FE1"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2.03</w:t>
            </w:r>
          </w:p>
        </w:tc>
        <w:tc>
          <w:tcPr>
            <w:tcW w:w="1214" w:type="dxa"/>
            <w:tcBorders>
              <w:top w:val="nil"/>
              <w:left w:val="nil"/>
              <w:bottom w:val="single" w:sz="4" w:space="0" w:color="auto"/>
              <w:right w:val="single" w:sz="4" w:space="0" w:color="auto"/>
            </w:tcBorders>
            <w:shd w:val="clear" w:color="auto" w:fill="auto"/>
            <w:noWrap/>
            <w:vAlign w:val="bottom"/>
            <w:hideMark/>
          </w:tcPr>
          <w:p w14:paraId="19868436"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w:t>
            </w:r>
          </w:p>
        </w:tc>
        <w:tc>
          <w:tcPr>
            <w:tcW w:w="1079" w:type="dxa"/>
            <w:tcBorders>
              <w:top w:val="nil"/>
              <w:left w:val="nil"/>
              <w:bottom w:val="single" w:sz="4" w:space="0" w:color="auto"/>
              <w:right w:val="single" w:sz="4" w:space="0" w:color="auto"/>
            </w:tcBorders>
            <w:shd w:val="clear" w:color="auto" w:fill="auto"/>
            <w:noWrap/>
            <w:vAlign w:val="bottom"/>
            <w:hideMark/>
          </w:tcPr>
          <w:p w14:paraId="588ACB4E"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2.02</w:t>
            </w:r>
          </w:p>
        </w:tc>
        <w:tc>
          <w:tcPr>
            <w:tcW w:w="1148" w:type="dxa"/>
            <w:tcBorders>
              <w:top w:val="nil"/>
              <w:left w:val="nil"/>
              <w:bottom w:val="single" w:sz="4" w:space="0" w:color="auto"/>
              <w:right w:val="single" w:sz="4" w:space="0" w:color="auto"/>
            </w:tcBorders>
            <w:shd w:val="clear" w:color="auto" w:fill="auto"/>
            <w:noWrap/>
            <w:vAlign w:val="bottom"/>
            <w:hideMark/>
          </w:tcPr>
          <w:p w14:paraId="5FA6584F"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1.84</w:t>
            </w:r>
          </w:p>
        </w:tc>
      </w:tr>
      <w:tr w:rsidR="000F1AA7" w:rsidRPr="00BE16FB" w14:paraId="09078391" w14:textId="77777777" w:rsidTr="00BE16FB">
        <w:trPr>
          <w:trHeight w:val="267"/>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08CC81F" w14:textId="77777777" w:rsidR="000F1AA7" w:rsidRPr="00BE16FB" w:rsidRDefault="000F1AA7" w:rsidP="000F1AA7">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Working Capital Turnover Ratio</w:t>
            </w:r>
          </w:p>
        </w:tc>
        <w:tc>
          <w:tcPr>
            <w:tcW w:w="1213" w:type="dxa"/>
            <w:tcBorders>
              <w:top w:val="nil"/>
              <w:left w:val="nil"/>
              <w:bottom w:val="single" w:sz="4" w:space="0" w:color="auto"/>
              <w:right w:val="single" w:sz="4" w:space="0" w:color="auto"/>
            </w:tcBorders>
            <w:shd w:val="clear" w:color="auto" w:fill="auto"/>
            <w:noWrap/>
            <w:vAlign w:val="bottom"/>
            <w:hideMark/>
          </w:tcPr>
          <w:p w14:paraId="23E61A71"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0.78</w:t>
            </w:r>
          </w:p>
        </w:tc>
        <w:tc>
          <w:tcPr>
            <w:tcW w:w="1214" w:type="dxa"/>
            <w:tcBorders>
              <w:top w:val="nil"/>
              <w:left w:val="nil"/>
              <w:bottom w:val="single" w:sz="4" w:space="0" w:color="auto"/>
              <w:right w:val="single" w:sz="4" w:space="0" w:color="auto"/>
            </w:tcBorders>
            <w:shd w:val="clear" w:color="auto" w:fill="auto"/>
            <w:noWrap/>
            <w:vAlign w:val="bottom"/>
            <w:hideMark/>
          </w:tcPr>
          <w:p w14:paraId="4D9117F9"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0.98</w:t>
            </w:r>
          </w:p>
        </w:tc>
        <w:tc>
          <w:tcPr>
            <w:tcW w:w="1079" w:type="dxa"/>
            <w:tcBorders>
              <w:top w:val="nil"/>
              <w:left w:val="nil"/>
              <w:bottom w:val="single" w:sz="4" w:space="0" w:color="auto"/>
              <w:right w:val="single" w:sz="4" w:space="0" w:color="auto"/>
            </w:tcBorders>
            <w:shd w:val="clear" w:color="auto" w:fill="auto"/>
            <w:noWrap/>
            <w:vAlign w:val="bottom"/>
            <w:hideMark/>
          </w:tcPr>
          <w:p w14:paraId="52518AC4"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1.02</w:t>
            </w:r>
          </w:p>
        </w:tc>
        <w:tc>
          <w:tcPr>
            <w:tcW w:w="1148" w:type="dxa"/>
            <w:tcBorders>
              <w:top w:val="nil"/>
              <w:left w:val="nil"/>
              <w:bottom w:val="single" w:sz="4" w:space="0" w:color="auto"/>
              <w:right w:val="single" w:sz="4" w:space="0" w:color="auto"/>
            </w:tcBorders>
            <w:shd w:val="clear" w:color="auto" w:fill="auto"/>
            <w:noWrap/>
            <w:vAlign w:val="bottom"/>
            <w:hideMark/>
          </w:tcPr>
          <w:p w14:paraId="1D455CD8"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1.09</w:t>
            </w:r>
          </w:p>
        </w:tc>
      </w:tr>
      <w:tr w:rsidR="000F1AA7" w:rsidRPr="00BE16FB" w14:paraId="1CC9F53C" w14:textId="77777777" w:rsidTr="00BE16FB">
        <w:trPr>
          <w:trHeight w:val="267"/>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004F14E4" w14:textId="77777777" w:rsidR="000F1AA7" w:rsidRPr="00BE16FB" w:rsidRDefault="000F1AA7" w:rsidP="000F1AA7">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Fixed Asset Turnover Ratio</w:t>
            </w:r>
          </w:p>
        </w:tc>
        <w:tc>
          <w:tcPr>
            <w:tcW w:w="1213" w:type="dxa"/>
            <w:tcBorders>
              <w:top w:val="nil"/>
              <w:left w:val="nil"/>
              <w:bottom w:val="single" w:sz="4" w:space="0" w:color="auto"/>
              <w:right w:val="single" w:sz="4" w:space="0" w:color="auto"/>
            </w:tcBorders>
            <w:shd w:val="clear" w:color="auto" w:fill="auto"/>
            <w:noWrap/>
            <w:vAlign w:val="bottom"/>
            <w:hideMark/>
          </w:tcPr>
          <w:p w14:paraId="74E11FAE"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2.43</w:t>
            </w:r>
          </w:p>
        </w:tc>
        <w:tc>
          <w:tcPr>
            <w:tcW w:w="1214" w:type="dxa"/>
            <w:tcBorders>
              <w:top w:val="nil"/>
              <w:left w:val="nil"/>
              <w:bottom w:val="single" w:sz="4" w:space="0" w:color="auto"/>
              <w:right w:val="single" w:sz="4" w:space="0" w:color="auto"/>
            </w:tcBorders>
            <w:shd w:val="clear" w:color="auto" w:fill="auto"/>
            <w:noWrap/>
            <w:vAlign w:val="bottom"/>
            <w:hideMark/>
          </w:tcPr>
          <w:p w14:paraId="7B894088"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2.12</w:t>
            </w:r>
          </w:p>
        </w:tc>
        <w:tc>
          <w:tcPr>
            <w:tcW w:w="1079" w:type="dxa"/>
            <w:tcBorders>
              <w:top w:val="nil"/>
              <w:left w:val="nil"/>
              <w:bottom w:val="single" w:sz="4" w:space="0" w:color="auto"/>
              <w:right w:val="single" w:sz="4" w:space="0" w:color="auto"/>
            </w:tcBorders>
            <w:shd w:val="clear" w:color="auto" w:fill="auto"/>
            <w:noWrap/>
            <w:vAlign w:val="bottom"/>
            <w:hideMark/>
          </w:tcPr>
          <w:p w14:paraId="5B7DA667"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2.25</w:t>
            </w:r>
          </w:p>
        </w:tc>
        <w:tc>
          <w:tcPr>
            <w:tcW w:w="1148" w:type="dxa"/>
            <w:tcBorders>
              <w:top w:val="nil"/>
              <w:left w:val="nil"/>
              <w:bottom w:val="single" w:sz="4" w:space="0" w:color="auto"/>
              <w:right w:val="single" w:sz="4" w:space="0" w:color="auto"/>
            </w:tcBorders>
            <w:shd w:val="clear" w:color="auto" w:fill="auto"/>
            <w:noWrap/>
            <w:vAlign w:val="bottom"/>
            <w:hideMark/>
          </w:tcPr>
          <w:p w14:paraId="7E65A723" w14:textId="77777777" w:rsidR="000F1AA7" w:rsidRPr="00BE16FB" w:rsidRDefault="000F1AA7" w:rsidP="000F1AA7">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1.99</w:t>
            </w:r>
          </w:p>
        </w:tc>
      </w:tr>
    </w:tbl>
    <w:p w14:paraId="6E1B708D" w14:textId="77777777" w:rsidR="003D08AE" w:rsidRPr="000F1AA7" w:rsidRDefault="003D08AE" w:rsidP="000F1AA7">
      <w:pPr>
        <w:rPr>
          <w:rFonts w:ascii="Calibri" w:hAnsi="Calibri" w:cs="Calibri"/>
          <w:b/>
          <w:bCs/>
          <w:color w:val="000000" w:themeColor="text1"/>
        </w:rPr>
      </w:pPr>
    </w:p>
    <w:p w14:paraId="48FAFE81" w14:textId="77777777" w:rsidR="003D08AE" w:rsidRPr="007F6476" w:rsidRDefault="003D08AE" w:rsidP="003D08AE">
      <w:pPr>
        <w:pStyle w:val="ListParagraph"/>
        <w:rPr>
          <w:rFonts w:ascii="Calibri" w:hAnsi="Calibri" w:cs="Calibri"/>
          <w:color w:val="000000" w:themeColor="text1"/>
        </w:rPr>
      </w:pPr>
    </w:p>
    <w:p w14:paraId="5A5AC284" w14:textId="73AA53EA" w:rsidR="003D08AE" w:rsidRPr="00BE16FB" w:rsidRDefault="003D08AE" w:rsidP="003D08AE">
      <w:pPr>
        <w:pStyle w:val="ListParagraph"/>
        <w:rPr>
          <w:rFonts w:ascii="Calibri" w:hAnsi="Calibri" w:cs="Calibri"/>
          <w:i/>
          <w:iCs/>
          <w:color w:val="FF0000"/>
          <w:sz w:val="22"/>
          <w:szCs w:val="22"/>
          <w:u w:val="single"/>
        </w:rPr>
      </w:pPr>
      <w:r w:rsidRPr="00BE16FB">
        <w:rPr>
          <w:rFonts w:ascii="Calibri" w:hAnsi="Calibri" w:cs="Calibri"/>
          <w:b/>
          <w:bCs/>
          <w:i/>
          <w:iCs/>
          <w:color w:val="FF0000"/>
          <w:sz w:val="22"/>
          <w:szCs w:val="22"/>
          <w:u w:val="single"/>
        </w:rPr>
        <w:t>Interpretation:</w:t>
      </w:r>
      <w:r w:rsidRPr="00BE16FB">
        <w:rPr>
          <w:rFonts w:ascii="Calibri" w:hAnsi="Calibri" w:cs="Calibri"/>
          <w:i/>
          <w:iCs/>
          <w:color w:val="FF0000"/>
          <w:sz w:val="22"/>
          <w:szCs w:val="22"/>
          <w:u w:val="single"/>
        </w:rPr>
        <w:t xml:space="preserve"> </w:t>
      </w:r>
    </w:p>
    <w:p w14:paraId="4D4C0E2E" w14:textId="7EBC0FF8" w:rsidR="000F1AA7" w:rsidRPr="00BE16FB" w:rsidRDefault="005201B3" w:rsidP="007B22F2">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t xml:space="preserve">The higher ratio in </w:t>
      </w:r>
      <w:proofErr w:type="gramStart"/>
      <w:r w:rsidRPr="00BE16FB">
        <w:rPr>
          <w:rFonts w:ascii="Calibri" w:hAnsi="Calibri" w:cs="Calibri"/>
          <w:color w:val="FF0000"/>
          <w:sz w:val="22"/>
          <w:szCs w:val="22"/>
        </w:rPr>
        <w:t>debtors</w:t>
      </w:r>
      <w:proofErr w:type="gramEnd"/>
      <w:r w:rsidRPr="00BE16FB">
        <w:rPr>
          <w:rFonts w:ascii="Calibri" w:hAnsi="Calibri" w:cs="Calibri"/>
          <w:color w:val="FF0000"/>
          <w:sz w:val="22"/>
          <w:szCs w:val="22"/>
        </w:rPr>
        <w:t xml:space="preserve"> turnover and decrease in average collection period indicates that the Sun Pharma’s efficiency in collecting receivables have improved by collecting more frequently within the year.</w:t>
      </w:r>
    </w:p>
    <w:p w14:paraId="725B285D" w14:textId="1DDEA224" w:rsidR="005201B3" w:rsidRPr="00BE16FB" w:rsidRDefault="005201B3" w:rsidP="007B22F2">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t>A good strategy to reserve/store cash is by taking too long to pay it creditors. By looking at the decrease in creditors turnover ratio and increase in average payment period, it seems like Sun Pharma is taking more time to settle its creditors potentially enhancing its cash position.</w:t>
      </w:r>
    </w:p>
    <w:p w14:paraId="6CEE0E90" w14:textId="6C547291" w:rsidR="005201B3" w:rsidRPr="00BE16FB" w:rsidRDefault="00C51E58" w:rsidP="007B22F2">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t xml:space="preserve">The inventory turnover ratio is being relatively consistent for past three years meaning there is efficiency in inventory management. </w:t>
      </w:r>
      <w:r w:rsidR="002953FB" w:rsidRPr="00BE16FB">
        <w:rPr>
          <w:rFonts w:ascii="Calibri" w:hAnsi="Calibri" w:cs="Calibri"/>
          <w:color w:val="FF0000"/>
          <w:sz w:val="22"/>
          <w:szCs w:val="22"/>
        </w:rPr>
        <w:t xml:space="preserve">This reduces the risks of holding excess stock that may expire since it’s a pharmaceutical industry. </w:t>
      </w:r>
    </w:p>
    <w:p w14:paraId="78E9371C" w14:textId="1ABB784D" w:rsidR="002953FB" w:rsidRPr="00BE16FB" w:rsidRDefault="002953FB" w:rsidP="007B22F2">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t xml:space="preserve">There is a decrease in working capital turnover ratio meaning the company is using its working capital less efficiently. An increase in fixed asset turnover ratio indicates </w:t>
      </w:r>
      <w:r w:rsidRPr="00BE16FB">
        <w:rPr>
          <w:rFonts w:ascii="Calibri" w:hAnsi="Calibri" w:cs="Calibri"/>
          <w:color w:val="FF0000"/>
          <w:sz w:val="22"/>
          <w:szCs w:val="22"/>
        </w:rPr>
        <w:lastRenderedPageBreak/>
        <w:t>that the company has made better use of the fixed assets leading to generate higher revenue.</w:t>
      </w:r>
    </w:p>
    <w:p w14:paraId="5AECD9BA" w14:textId="77777777" w:rsidR="000F1AA7" w:rsidRPr="0098281F" w:rsidRDefault="000F1AA7" w:rsidP="000F1AA7">
      <w:pPr>
        <w:pStyle w:val="ListParagraph"/>
        <w:ind w:left="1440"/>
        <w:rPr>
          <w:rFonts w:ascii="Calibri" w:hAnsi="Calibri" w:cs="Calibri"/>
          <w:color w:val="FF0000"/>
        </w:rPr>
      </w:pPr>
    </w:p>
    <w:p w14:paraId="01AC86CA" w14:textId="3496562D" w:rsidR="003D08AE" w:rsidRPr="00F41773" w:rsidRDefault="003D08AE" w:rsidP="003D08AE">
      <w:pPr>
        <w:pStyle w:val="ListParagraph"/>
        <w:numPr>
          <w:ilvl w:val="0"/>
          <w:numId w:val="10"/>
        </w:numPr>
        <w:rPr>
          <w:rFonts w:ascii="Calibri" w:hAnsi="Calibri" w:cs="Calibri"/>
          <w:b/>
          <w:bCs/>
          <w:color w:val="3A7C22" w:themeColor="accent6" w:themeShade="BF"/>
        </w:rPr>
      </w:pPr>
      <w:proofErr w:type="spellStart"/>
      <w:proofErr w:type="gramStart"/>
      <w:r w:rsidRPr="00F41773">
        <w:rPr>
          <w:rFonts w:ascii="Calibri" w:hAnsi="Calibri" w:cs="Calibri"/>
          <w:b/>
          <w:bCs/>
          <w:color w:val="3A7C22" w:themeColor="accent6" w:themeShade="BF"/>
        </w:rPr>
        <w:t>Dr.Reddy’s</w:t>
      </w:r>
      <w:proofErr w:type="spellEnd"/>
      <w:proofErr w:type="gramEnd"/>
      <w:r w:rsidRPr="00F41773">
        <w:rPr>
          <w:rFonts w:ascii="Calibri" w:hAnsi="Calibri" w:cs="Calibri"/>
          <w:b/>
          <w:bCs/>
          <w:color w:val="3A7C22" w:themeColor="accent6" w:themeShade="BF"/>
        </w:rPr>
        <w:t xml:space="preserve"> Laboratories:</w:t>
      </w:r>
    </w:p>
    <w:p w14:paraId="52BB9C71" w14:textId="77777777" w:rsidR="003D08AE" w:rsidRPr="007F6476" w:rsidRDefault="003D08AE" w:rsidP="003D08AE">
      <w:pPr>
        <w:pStyle w:val="ListParagraph"/>
        <w:rPr>
          <w:rFonts w:ascii="Calibri" w:hAnsi="Calibri" w:cs="Calibri"/>
          <w:color w:val="000000" w:themeColor="text1"/>
        </w:rPr>
      </w:pPr>
    </w:p>
    <w:p w14:paraId="026D8994" w14:textId="7F72310E" w:rsidR="003D08AE" w:rsidRPr="007F6476" w:rsidRDefault="003D08AE" w:rsidP="003D08AE">
      <w:pPr>
        <w:pStyle w:val="ListParagraph"/>
        <w:rPr>
          <w:rFonts w:ascii="Calibri" w:hAnsi="Calibri" w:cs="Calibri"/>
          <w:color w:val="000000" w:themeColor="text1"/>
        </w:rPr>
      </w:pPr>
    </w:p>
    <w:p w14:paraId="3F4393CF" w14:textId="0D57B0C1" w:rsidR="003D08AE" w:rsidRPr="007F6476" w:rsidRDefault="003D08AE" w:rsidP="003D08AE">
      <w:pPr>
        <w:pStyle w:val="ListParagraph"/>
        <w:rPr>
          <w:rFonts w:ascii="Calibri" w:hAnsi="Calibri" w:cs="Calibri"/>
          <w:color w:val="000000" w:themeColor="text1"/>
        </w:rPr>
      </w:pPr>
    </w:p>
    <w:p w14:paraId="1E8A4A04" w14:textId="39ACF870" w:rsidR="003D08AE" w:rsidRDefault="003D08AE" w:rsidP="003D08AE">
      <w:pPr>
        <w:pStyle w:val="ListParagraph"/>
        <w:numPr>
          <w:ilvl w:val="0"/>
          <w:numId w:val="10"/>
        </w:numPr>
        <w:rPr>
          <w:rFonts w:ascii="Calibri" w:hAnsi="Calibri" w:cs="Calibri"/>
          <w:b/>
          <w:bCs/>
          <w:color w:val="3A7C22" w:themeColor="accent6" w:themeShade="BF"/>
        </w:rPr>
      </w:pPr>
      <w:r w:rsidRPr="00F41773">
        <w:rPr>
          <w:rFonts w:ascii="Calibri" w:hAnsi="Calibri" w:cs="Calibri"/>
          <w:b/>
          <w:bCs/>
          <w:color w:val="3A7C22" w:themeColor="accent6" w:themeShade="BF"/>
        </w:rPr>
        <w:t>Cipla:</w:t>
      </w:r>
    </w:p>
    <w:p w14:paraId="3A462F74" w14:textId="254A021E" w:rsidR="003D08AE" w:rsidRDefault="003D08AE" w:rsidP="003D08AE">
      <w:pPr>
        <w:pStyle w:val="ListParagraph"/>
        <w:rPr>
          <w:rFonts w:ascii="Calibri" w:hAnsi="Calibri" w:cs="Calibri"/>
          <w:b/>
          <w:bCs/>
          <w:color w:val="3A7C22" w:themeColor="accent6" w:themeShade="BF"/>
        </w:rPr>
      </w:pPr>
    </w:p>
    <w:p w14:paraId="3197513B" w14:textId="3EA38B10" w:rsidR="003D08AE" w:rsidRDefault="003D08AE" w:rsidP="003D08AE">
      <w:pPr>
        <w:pStyle w:val="ListParagraph"/>
        <w:rPr>
          <w:rFonts w:ascii="Calibri" w:hAnsi="Calibri" w:cs="Calibri"/>
          <w:b/>
          <w:bCs/>
          <w:color w:val="3A7C22" w:themeColor="accent6" w:themeShade="BF"/>
        </w:rPr>
      </w:pPr>
    </w:p>
    <w:p w14:paraId="151400FB" w14:textId="5F8E5922" w:rsidR="003D08AE" w:rsidRPr="00BE16FB" w:rsidRDefault="003D08AE" w:rsidP="00BE16FB">
      <w:pPr>
        <w:ind w:firstLine="360"/>
        <w:rPr>
          <w:rFonts w:ascii="Calibri" w:hAnsi="Calibri" w:cs="Calibri"/>
          <w:b/>
          <w:bCs/>
          <w:color w:val="3A7C22" w:themeColor="accent6" w:themeShade="BF"/>
          <w:u w:val="single"/>
        </w:rPr>
      </w:pPr>
      <w:r w:rsidRPr="00BE16FB">
        <w:rPr>
          <w:rFonts w:ascii="Calibri" w:hAnsi="Calibri" w:cs="Calibri"/>
          <w:b/>
          <w:bCs/>
          <w:color w:val="3A7C22" w:themeColor="accent6" w:themeShade="BF"/>
          <w:u w:val="single"/>
        </w:rPr>
        <w:t>CONSOLIDATED TURNOVER RATIO ANALYSIS:</w:t>
      </w:r>
    </w:p>
    <w:p w14:paraId="37516D79" w14:textId="5855CD17" w:rsidR="003D08AE" w:rsidRDefault="003D08AE" w:rsidP="00F41773">
      <w:pPr>
        <w:pStyle w:val="ListParagraph"/>
        <w:rPr>
          <w:rFonts w:ascii="Calibri" w:hAnsi="Calibri" w:cs="Calibri"/>
          <w:b/>
          <w:bCs/>
          <w:color w:val="3A7C22" w:themeColor="accent6" w:themeShade="BF"/>
        </w:rPr>
      </w:pPr>
    </w:p>
    <w:p w14:paraId="295C03B0" w14:textId="28320427" w:rsidR="003D08AE" w:rsidRPr="007F6476" w:rsidRDefault="003D08AE" w:rsidP="003D08AE">
      <w:pPr>
        <w:jc w:val="center"/>
        <w:rPr>
          <w:rFonts w:ascii="Calibri" w:hAnsi="Calibri" w:cs="Calibri"/>
          <w:b/>
          <w:bCs/>
          <w:color w:val="77206D" w:themeColor="accent5" w:themeShade="BF"/>
          <w:sz w:val="28"/>
          <w:szCs w:val="28"/>
          <w:u w:val="single"/>
        </w:rPr>
      </w:pPr>
      <w:r>
        <w:rPr>
          <w:rFonts w:ascii="Calibri" w:hAnsi="Calibri" w:cs="Calibri"/>
          <w:b/>
          <w:bCs/>
          <w:color w:val="77206D" w:themeColor="accent5" w:themeShade="BF"/>
          <w:sz w:val="28"/>
          <w:szCs w:val="28"/>
          <w:u w:val="single"/>
        </w:rPr>
        <w:t>SOLVENCY</w:t>
      </w:r>
      <w:r w:rsidRPr="007F6476">
        <w:rPr>
          <w:rFonts w:ascii="Calibri" w:hAnsi="Calibri" w:cs="Calibri"/>
          <w:b/>
          <w:bCs/>
          <w:color w:val="77206D" w:themeColor="accent5" w:themeShade="BF"/>
          <w:sz w:val="28"/>
          <w:szCs w:val="28"/>
          <w:u w:val="single"/>
        </w:rPr>
        <w:t xml:space="preserve"> RATIO</w:t>
      </w:r>
      <w:r w:rsidR="00C11600">
        <w:rPr>
          <w:rFonts w:ascii="Calibri" w:hAnsi="Calibri" w:cs="Calibri"/>
          <w:b/>
          <w:bCs/>
          <w:color w:val="77206D" w:themeColor="accent5" w:themeShade="BF"/>
          <w:sz w:val="28"/>
          <w:szCs w:val="28"/>
          <w:u w:val="single"/>
        </w:rPr>
        <w:t xml:space="preserve"> ANALYSIS</w:t>
      </w:r>
      <w:r w:rsidRPr="007F6476">
        <w:rPr>
          <w:rFonts w:ascii="Calibri" w:hAnsi="Calibri" w:cs="Calibri"/>
          <w:b/>
          <w:bCs/>
          <w:color w:val="77206D" w:themeColor="accent5" w:themeShade="BF"/>
          <w:sz w:val="28"/>
          <w:szCs w:val="28"/>
          <w:u w:val="single"/>
        </w:rPr>
        <w:t>:</w:t>
      </w:r>
    </w:p>
    <w:p w14:paraId="4A063E92" w14:textId="77777777" w:rsidR="003D08AE" w:rsidRPr="007F6476" w:rsidRDefault="003D08AE" w:rsidP="003D08AE">
      <w:pPr>
        <w:pStyle w:val="ListParagraph"/>
        <w:rPr>
          <w:rFonts w:ascii="Calibri" w:hAnsi="Calibri" w:cs="Calibri"/>
          <w:color w:val="000000" w:themeColor="text1"/>
        </w:rPr>
      </w:pPr>
    </w:p>
    <w:p w14:paraId="6C9B3363" w14:textId="502DEBDB" w:rsidR="003D08AE" w:rsidRPr="003D08AE" w:rsidRDefault="003D08AE" w:rsidP="003D08AE">
      <w:pPr>
        <w:pStyle w:val="ListParagraph"/>
        <w:numPr>
          <w:ilvl w:val="0"/>
          <w:numId w:val="11"/>
        </w:numPr>
        <w:rPr>
          <w:rFonts w:ascii="Calibri" w:hAnsi="Calibri" w:cs="Calibri"/>
          <w:b/>
          <w:bCs/>
          <w:color w:val="3A7C22" w:themeColor="accent6" w:themeShade="BF"/>
        </w:rPr>
      </w:pPr>
      <w:r w:rsidRPr="003D08AE">
        <w:rPr>
          <w:rFonts w:ascii="Calibri" w:hAnsi="Calibri" w:cs="Calibri"/>
          <w:b/>
          <w:bCs/>
          <w:color w:val="3A7C22" w:themeColor="accent6" w:themeShade="BF"/>
        </w:rPr>
        <w:t xml:space="preserve">Sun Pharmaceutical Industries: </w:t>
      </w:r>
    </w:p>
    <w:tbl>
      <w:tblPr>
        <w:tblpPr w:leftFromText="180" w:rightFromText="180" w:vertAnchor="text" w:horzAnchor="page" w:tblpX="2173" w:tblpY="254"/>
        <w:tblW w:w="5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696"/>
        <w:gridCol w:w="696"/>
        <w:gridCol w:w="696"/>
        <w:gridCol w:w="696"/>
      </w:tblGrid>
      <w:tr w:rsidR="007B09C8" w:rsidRPr="00BE16FB" w14:paraId="5AE2D0FB" w14:textId="77777777" w:rsidTr="00BE16FB">
        <w:trPr>
          <w:trHeight w:val="251"/>
        </w:trPr>
        <w:tc>
          <w:tcPr>
            <w:tcW w:w="2735" w:type="dxa"/>
            <w:shd w:val="clear" w:color="000000" w:fill="FFFF00"/>
            <w:noWrap/>
            <w:vAlign w:val="bottom"/>
            <w:hideMark/>
          </w:tcPr>
          <w:p w14:paraId="65CF4714" w14:textId="77777777" w:rsidR="007B09C8" w:rsidRPr="00BE16FB" w:rsidRDefault="007B09C8" w:rsidP="007B09C8">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Solvency Ratios</w:t>
            </w:r>
          </w:p>
        </w:tc>
        <w:tc>
          <w:tcPr>
            <w:tcW w:w="696" w:type="dxa"/>
            <w:shd w:val="clear" w:color="000000" w:fill="F4CCCC"/>
            <w:noWrap/>
            <w:vAlign w:val="bottom"/>
            <w:hideMark/>
          </w:tcPr>
          <w:p w14:paraId="5BE6AF1E" w14:textId="77777777" w:rsidR="007B09C8" w:rsidRPr="00BE16FB" w:rsidRDefault="007B09C8" w:rsidP="007B09C8">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2024</w:t>
            </w:r>
          </w:p>
        </w:tc>
        <w:tc>
          <w:tcPr>
            <w:tcW w:w="696" w:type="dxa"/>
            <w:shd w:val="clear" w:color="000000" w:fill="F4CCCC"/>
            <w:noWrap/>
            <w:vAlign w:val="bottom"/>
            <w:hideMark/>
          </w:tcPr>
          <w:p w14:paraId="3BD8FE78" w14:textId="77777777" w:rsidR="007B09C8" w:rsidRPr="00BE16FB" w:rsidRDefault="007B09C8" w:rsidP="007B09C8">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2023</w:t>
            </w:r>
          </w:p>
        </w:tc>
        <w:tc>
          <w:tcPr>
            <w:tcW w:w="696" w:type="dxa"/>
            <w:shd w:val="clear" w:color="000000" w:fill="F4CCCC"/>
            <w:noWrap/>
            <w:vAlign w:val="bottom"/>
            <w:hideMark/>
          </w:tcPr>
          <w:p w14:paraId="0EA72301" w14:textId="77777777" w:rsidR="007B09C8" w:rsidRPr="00BE16FB" w:rsidRDefault="007B09C8" w:rsidP="007B09C8">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2022</w:t>
            </w:r>
          </w:p>
        </w:tc>
        <w:tc>
          <w:tcPr>
            <w:tcW w:w="696" w:type="dxa"/>
            <w:shd w:val="clear" w:color="000000" w:fill="F4CCCC"/>
            <w:noWrap/>
            <w:vAlign w:val="bottom"/>
            <w:hideMark/>
          </w:tcPr>
          <w:p w14:paraId="3CF695EF" w14:textId="77777777" w:rsidR="007B09C8" w:rsidRPr="00BE16FB" w:rsidRDefault="007B09C8" w:rsidP="007B09C8">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2021</w:t>
            </w:r>
          </w:p>
        </w:tc>
      </w:tr>
      <w:tr w:rsidR="007B09C8" w:rsidRPr="00BE16FB" w14:paraId="29CCC0B5" w14:textId="77777777" w:rsidTr="00BE16FB">
        <w:trPr>
          <w:trHeight w:val="251"/>
        </w:trPr>
        <w:tc>
          <w:tcPr>
            <w:tcW w:w="2735" w:type="dxa"/>
            <w:shd w:val="clear" w:color="auto" w:fill="auto"/>
            <w:noWrap/>
            <w:vAlign w:val="bottom"/>
            <w:hideMark/>
          </w:tcPr>
          <w:p w14:paraId="4A78213F" w14:textId="77777777" w:rsidR="007B09C8" w:rsidRPr="00BE16FB" w:rsidRDefault="007B09C8" w:rsidP="007B09C8">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Debt-Equity Ratio</w:t>
            </w:r>
          </w:p>
        </w:tc>
        <w:tc>
          <w:tcPr>
            <w:tcW w:w="696" w:type="dxa"/>
            <w:shd w:val="clear" w:color="auto" w:fill="auto"/>
            <w:noWrap/>
            <w:vAlign w:val="bottom"/>
            <w:hideMark/>
          </w:tcPr>
          <w:p w14:paraId="7DA05596" w14:textId="77777777"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0.02</w:t>
            </w:r>
          </w:p>
        </w:tc>
        <w:tc>
          <w:tcPr>
            <w:tcW w:w="696" w:type="dxa"/>
            <w:shd w:val="clear" w:color="auto" w:fill="auto"/>
            <w:noWrap/>
            <w:vAlign w:val="bottom"/>
            <w:hideMark/>
          </w:tcPr>
          <w:p w14:paraId="0B004452" w14:textId="77777777"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0.03</w:t>
            </w:r>
          </w:p>
        </w:tc>
        <w:tc>
          <w:tcPr>
            <w:tcW w:w="696" w:type="dxa"/>
            <w:shd w:val="clear" w:color="auto" w:fill="auto"/>
            <w:noWrap/>
            <w:vAlign w:val="bottom"/>
            <w:hideMark/>
          </w:tcPr>
          <w:p w14:paraId="2449B5C3" w14:textId="77777777"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0.03</w:t>
            </w:r>
          </w:p>
        </w:tc>
        <w:tc>
          <w:tcPr>
            <w:tcW w:w="696" w:type="dxa"/>
            <w:shd w:val="clear" w:color="auto" w:fill="auto"/>
            <w:noWrap/>
            <w:vAlign w:val="bottom"/>
            <w:hideMark/>
          </w:tcPr>
          <w:p w14:paraId="3ACEC79E" w14:textId="0B02A855"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0.04</w:t>
            </w:r>
          </w:p>
        </w:tc>
      </w:tr>
      <w:tr w:rsidR="007B09C8" w:rsidRPr="00BE16FB" w14:paraId="005E7C10" w14:textId="77777777" w:rsidTr="00BE16FB">
        <w:trPr>
          <w:trHeight w:val="251"/>
        </w:trPr>
        <w:tc>
          <w:tcPr>
            <w:tcW w:w="2735" w:type="dxa"/>
            <w:shd w:val="clear" w:color="auto" w:fill="auto"/>
            <w:noWrap/>
            <w:vAlign w:val="bottom"/>
            <w:hideMark/>
          </w:tcPr>
          <w:p w14:paraId="2F099E18" w14:textId="77777777" w:rsidR="007B09C8" w:rsidRPr="00BE16FB" w:rsidRDefault="007B09C8" w:rsidP="007B09C8">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Proprietary Ratio</w:t>
            </w:r>
          </w:p>
        </w:tc>
        <w:tc>
          <w:tcPr>
            <w:tcW w:w="696" w:type="dxa"/>
            <w:shd w:val="clear" w:color="auto" w:fill="auto"/>
            <w:noWrap/>
            <w:vAlign w:val="bottom"/>
            <w:hideMark/>
          </w:tcPr>
          <w:p w14:paraId="1F02DD5B" w14:textId="77777777"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0.74</w:t>
            </w:r>
          </w:p>
        </w:tc>
        <w:tc>
          <w:tcPr>
            <w:tcW w:w="696" w:type="dxa"/>
            <w:shd w:val="clear" w:color="auto" w:fill="auto"/>
            <w:noWrap/>
            <w:vAlign w:val="bottom"/>
            <w:hideMark/>
          </w:tcPr>
          <w:p w14:paraId="4BF2AF58" w14:textId="77777777"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0.69</w:t>
            </w:r>
          </w:p>
        </w:tc>
        <w:tc>
          <w:tcPr>
            <w:tcW w:w="696" w:type="dxa"/>
            <w:shd w:val="clear" w:color="auto" w:fill="auto"/>
            <w:noWrap/>
            <w:vAlign w:val="bottom"/>
            <w:hideMark/>
          </w:tcPr>
          <w:p w14:paraId="383DA128" w14:textId="77777777"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0.69</w:t>
            </w:r>
          </w:p>
        </w:tc>
        <w:tc>
          <w:tcPr>
            <w:tcW w:w="696" w:type="dxa"/>
            <w:shd w:val="clear" w:color="auto" w:fill="auto"/>
            <w:noWrap/>
            <w:vAlign w:val="bottom"/>
            <w:hideMark/>
          </w:tcPr>
          <w:p w14:paraId="2F5C3B5F" w14:textId="77777777"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0.69</w:t>
            </w:r>
          </w:p>
        </w:tc>
      </w:tr>
      <w:tr w:rsidR="007B09C8" w:rsidRPr="00BE16FB" w14:paraId="5C5841D0" w14:textId="77777777" w:rsidTr="00BE16FB">
        <w:trPr>
          <w:trHeight w:val="251"/>
        </w:trPr>
        <w:tc>
          <w:tcPr>
            <w:tcW w:w="2735" w:type="dxa"/>
            <w:shd w:val="clear" w:color="auto" w:fill="auto"/>
            <w:noWrap/>
            <w:vAlign w:val="bottom"/>
            <w:hideMark/>
          </w:tcPr>
          <w:p w14:paraId="43CA2F67" w14:textId="77777777" w:rsidR="007B09C8" w:rsidRPr="00BE16FB" w:rsidRDefault="007B09C8" w:rsidP="007B09C8">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Interest Coverage Ratio</w:t>
            </w:r>
          </w:p>
        </w:tc>
        <w:tc>
          <w:tcPr>
            <w:tcW w:w="696" w:type="dxa"/>
            <w:shd w:val="clear" w:color="auto" w:fill="auto"/>
            <w:noWrap/>
            <w:vAlign w:val="bottom"/>
            <w:hideMark/>
          </w:tcPr>
          <w:p w14:paraId="3E896819" w14:textId="77777777"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40.79</w:t>
            </w:r>
          </w:p>
        </w:tc>
        <w:tc>
          <w:tcPr>
            <w:tcW w:w="696" w:type="dxa"/>
            <w:shd w:val="clear" w:color="auto" w:fill="auto"/>
            <w:noWrap/>
            <w:vAlign w:val="bottom"/>
            <w:hideMark/>
          </w:tcPr>
          <w:p w14:paraId="386B5B9A" w14:textId="77777777"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49.48</w:t>
            </w:r>
          </w:p>
        </w:tc>
        <w:tc>
          <w:tcPr>
            <w:tcW w:w="696" w:type="dxa"/>
            <w:shd w:val="clear" w:color="auto" w:fill="auto"/>
            <w:noWrap/>
            <w:vAlign w:val="bottom"/>
            <w:hideMark/>
          </w:tcPr>
          <w:p w14:paraId="09A5F898" w14:textId="77777777"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63.02</w:t>
            </w:r>
          </w:p>
        </w:tc>
        <w:tc>
          <w:tcPr>
            <w:tcW w:w="696" w:type="dxa"/>
            <w:shd w:val="clear" w:color="auto" w:fill="auto"/>
            <w:noWrap/>
            <w:vAlign w:val="bottom"/>
            <w:hideMark/>
          </w:tcPr>
          <w:p w14:paraId="3F3E83EF" w14:textId="7C0F8630" w:rsidR="007B09C8" w:rsidRPr="00BE16FB" w:rsidRDefault="007B09C8" w:rsidP="007B09C8">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42.79</w:t>
            </w:r>
          </w:p>
        </w:tc>
      </w:tr>
    </w:tbl>
    <w:p w14:paraId="190F60B1" w14:textId="1C70E246" w:rsidR="003D08AE" w:rsidRPr="007F6476" w:rsidRDefault="003D08AE" w:rsidP="003D08AE">
      <w:pPr>
        <w:pStyle w:val="ListParagraph"/>
        <w:rPr>
          <w:rFonts w:ascii="Calibri" w:hAnsi="Calibri" w:cs="Calibri"/>
          <w:b/>
          <w:bCs/>
          <w:color w:val="000000" w:themeColor="text1"/>
        </w:rPr>
      </w:pPr>
    </w:p>
    <w:p w14:paraId="7DFD265C" w14:textId="3F400A5C" w:rsidR="003D08AE" w:rsidRPr="007F6476" w:rsidRDefault="003D08AE" w:rsidP="003D08AE">
      <w:pPr>
        <w:pStyle w:val="ListParagraph"/>
        <w:rPr>
          <w:rFonts w:ascii="Calibri" w:hAnsi="Calibri" w:cs="Calibri"/>
          <w:b/>
          <w:bCs/>
          <w:color w:val="000000" w:themeColor="text1"/>
        </w:rPr>
      </w:pPr>
    </w:p>
    <w:p w14:paraId="73B5A33C" w14:textId="77777777" w:rsidR="003D08AE" w:rsidRPr="007F6476" w:rsidRDefault="003D08AE" w:rsidP="003D08AE">
      <w:pPr>
        <w:pStyle w:val="ListParagraph"/>
        <w:rPr>
          <w:rFonts w:ascii="Calibri" w:hAnsi="Calibri" w:cs="Calibri"/>
          <w:color w:val="000000" w:themeColor="text1"/>
        </w:rPr>
      </w:pPr>
    </w:p>
    <w:p w14:paraId="1A4432E7" w14:textId="0DAFC5E9" w:rsidR="003D08AE" w:rsidRPr="007F6476" w:rsidRDefault="003D08AE" w:rsidP="003D08AE">
      <w:pPr>
        <w:pStyle w:val="ListParagraph"/>
        <w:rPr>
          <w:rFonts w:ascii="Calibri" w:hAnsi="Calibri" w:cs="Calibri"/>
          <w:color w:val="000000" w:themeColor="text1"/>
        </w:rPr>
      </w:pPr>
    </w:p>
    <w:p w14:paraId="2BFD7122" w14:textId="25CFCA0D" w:rsidR="007B09C8" w:rsidRDefault="007B09C8" w:rsidP="003D08AE">
      <w:pPr>
        <w:pStyle w:val="ListParagraph"/>
        <w:rPr>
          <w:noProof/>
        </w:rPr>
      </w:pPr>
    </w:p>
    <w:p w14:paraId="711DC004" w14:textId="72FE4B02" w:rsidR="00B53739" w:rsidRDefault="00B53739" w:rsidP="003D08AE">
      <w:pPr>
        <w:pStyle w:val="ListParagraph"/>
        <w:rPr>
          <w:rFonts w:ascii="Calibri" w:hAnsi="Calibri" w:cs="Calibri"/>
          <w:b/>
          <w:bCs/>
          <w:i/>
          <w:iCs/>
          <w:color w:val="FF0000"/>
          <w:u w:val="single"/>
        </w:rPr>
      </w:pPr>
      <w:r>
        <w:rPr>
          <w:noProof/>
        </w:rPr>
        <w:drawing>
          <wp:anchor distT="0" distB="0" distL="114300" distR="114300" simplePos="0" relativeHeight="251660288" behindDoc="0" locked="0" layoutInCell="1" allowOverlap="1" wp14:anchorId="419037ED" wp14:editId="553C05EE">
            <wp:simplePos x="0" y="0"/>
            <wp:positionH relativeFrom="column">
              <wp:posOffset>443132</wp:posOffset>
            </wp:positionH>
            <wp:positionV relativeFrom="paragraph">
              <wp:posOffset>7962</wp:posOffset>
            </wp:positionV>
            <wp:extent cx="5415915" cy="2307101"/>
            <wp:effectExtent l="0" t="0" r="13335" b="17145"/>
            <wp:wrapNone/>
            <wp:docPr id="151140387" name="Chart 1">
              <a:extLst xmlns:a="http://schemas.openxmlformats.org/drawingml/2006/main">
                <a:ext uri="{FF2B5EF4-FFF2-40B4-BE49-F238E27FC236}">
                  <a16:creationId xmlns:a16="http://schemas.microsoft.com/office/drawing/2014/main" id="{E77EB2C9-B27F-5047-2EC9-FEDB750C43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71471227" w14:textId="58483312" w:rsidR="007B09C8" w:rsidRDefault="007B09C8" w:rsidP="003D08AE">
      <w:pPr>
        <w:pStyle w:val="ListParagraph"/>
        <w:rPr>
          <w:rFonts w:ascii="Calibri" w:hAnsi="Calibri" w:cs="Calibri"/>
          <w:b/>
          <w:bCs/>
          <w:i/>
          <w:iCs/>
          <w:color w:val="FF0000"/>
          <w:u w:val="single"/>
        </w:rPr>
      </w:pPr>
    </w:p>
    <w:p w14:paraId="13C74C16" w14:textId="77777777" w:rsidR="007B09C8" w:rsidRDefault="007B09C8" w:rsidP="003D08AE">
      <w:pPr>
        <w:pStyle w:val="ListParagraph"/>
        <w:rPr>
          <w:rFonts w:ascii="Calibri" w:hAnsi="Calibri" w:cs="Calibri"/>
          <w:b/>
          <w:bCs/>
          <w:i/>
          <w:iCs/>
          <w:color w:val="FF0000"/>
          <w:u w:val="single"/>
        </w:rPr>
      </w:pPr>
    </w:p>
    <w:p w14:paraId="33F7AD26" w14:textId="77777777" w:rsidR="003908CB" w:rsidRDefault="003908CB" w:rsidP="003D08AE">
      <w:pPr>
        <w:pStyle w:val="ListParagraph"/>
        <w:rPr>
          <w:rFonts w:ascii="Calibri" w:hAnsi="Calibri" w:cs="Calibri"/>
          <w:b/>
          <w:bCs/>
          <w:i/>
          <w:iCs/>
          <w:color w:val="FF0000"/>
          <w:u w:val="single"/>
        </w:rPr>
      </w:pPr>
    </w:p>
    <w:p w14:paraId="054E5CF0" w14:textId="77777777" w:rsidR="003908CB" w:rsidRDefault="003908CB" w:rsidP="003D08AE">
      <w:pPr>
        <w:pStyle w:val="ListParagraph"/>
        <w:rPr>
          <w:rFonts w:ascii="Calibri" w:hAnsi="Calibri" w:cs="Calibri"/>
          <w:b/>
          <w:bCs/>
          <w:i/>
          <w:iCs/>
          <w:color w:val="FF0000"/>
          <w:u w:val="single"/>
        </w:rPr>
      </w:pPr>
    </w:p>
    <w:p w14:paraId="5B46432A" w14:textId="77777777" w:rsidR="003908CB" w:rsidRDefault="003908CB" w:rsidP="003D08AE">
      <w:pPr>
        <w:pStyle w:val="ListParagraph"/>
        <w:rPr>
          <w:rFonts w:ascii="Calibri" w:hAnsi="Calibri" w:cs="Calibri"/>
          <w:b/>
          <w:bCs/>
          <w:i/>
          <w:iCs/>
          <w:color w:val="FF0000"/>
          <w:u w:val="single"/>
        </w:rPr>
      </w:pPr>
    </w:p>
    <w:p w14:paraId="513E2492" w14:textId="77777777" w:rsidR="003908CB" w:rsidRDefault="003908CB" w:rsidP="003D08AE">
      <w:pPr>
        <w:pStyle w:val="ListParagraph"/>
        <w:rPr>
          <w:rFonts w:ascii="Calibri" w:hAnsi="Calibri" w:cs="Calibri"/>
          <w:b/>
          <w:bCs/>
          <w:i/>
          <w:iCs/>
          <w:color w:val="FF0000"/>
          <w:u w:val="single"/>
        </w:rPr>
      </w:pPr>
    </w:p>
    <w:p w14:paraId="2433C602" w14:textId="77777777" w:rsidR="003908CB" w:rsidRDefault="003908CB" w:rsidP="003D08AE">
      <w:pPr>
        <w:pStyle w:val="ListParagraph"/>
        <w:rPr>
          <w:rFonts w:ascii="Calibri" w:hAnsi="Calibri" w:cs="Calibri"/>
          <w:b/>
          <w:bCs/>
          <w:i/>
          <w:iCs/>
          <w:color w:val="FF0000"/>
          <w:u w:val="single"/>
        </w:rPr>
      </w:pPr>
    </w:p>
    <w:p w14:paraId="3F5113A7" w14:textId="77777777" w:rsidR="003908CB" w:rsidRDefault="003908CB" w:rsidP="003D08AE">
      <w:pPr>
        <w:pStyle w:val="ListParagraph"/>
        <w:rPr>
          <w:rFonts w:ascii="Calibri" w:hAnsi="Calibri" w:cs="Calibri"/>
          <w:b/>
          <w:bCs/>
          <w:i/>
          <w:iCs/>
          <w:color w:val="FF0000"/>
          <w:u w:val="single"/>
        </w:rPr>
      </w:pPr>
    </w:p>
    <w:p w14:paraId="57A342F2" w14:textId="77777777" w:rsidR="003908CB" w:rsidRDefault="003908CB" w:rsidP="003D08AE">
      <w:pPr>
        <w:pStyle w:val="ListParagraph"/>
        <w:rPr>
          <w:rFonts w:ascii="Calibri" w:hAnsi="Calibri" w:cs="Calibri"/>
          <w:b/>
          <w:bCs/>
          <w:i/>
          <w:iCs/>
          <w:color w:val="FF0000"/>
          <w:u w:val="single"/>
        </w:rPr>
      </w:pPr>
    </w:p>
    <w:p w14:paraId="5E9671FC" w14:textId="77777777" w:rsidR="003908CB" w:rsidRDefault="003908CB" w:rsidP="003D08AE">
      <w:pPr>
        <w:pStyle w:val="ListParagraph"/>
        <w:rPr>
          <w:rFonts w:ascii="Calibri" w:hAnsi="Calibri" w:cs="Calibri"/>
          <w:b/>
          <w:bCs/>
          <w:i/>
          <w:iCs/>
          <w:color w:val="FF0000"/>
          <w:u w:val="single"/>
        </w:rPr>
      </w:pPr>
    </w:p>
    <w:p w14:paraId="237BBC27" w14:textId="716CE78D" w:rsidR="003908CB" w:rsidRPr="00BE16FB" w:rsidRDefault="003908CB" w:rsidP="003908CB">
      <w:pPr>
        <w:ind w:firstLine="720"/>
        <w:rPr>
          <w:rFonts w:ascii="Calibri" w:hAnsi="Calibri" w:cs="Calibri"/>
          <w:i/>
          <w:iCs/>
          <w:color w:val="FF0000"/>
          <w:sz w:val="22"/>
          <w:szCs w:val="22"/>
          <w:u w:val="single"/>
        </w:rPr>
      </w:pPr>
      <w:r w:rsidRPr="00BE16FB">
        <w:rPr>
          <w:rFonts w:ascii="Calibri" w:hAnsi="Calibri" w:cs="Calibri"/>
          <w:b/>
          <w:bCs/>
          <w:i/>
          <w:iCs/>
          <w:color w:val="FF0000"/>
          <w:sz w:val="22"/>
          <w:szCs w:val="22"/>
          <w:u w:val="single"/>
        </w:rPr>
        <w:t>I</w:t>
      </w:r>
      <w:r w:rsidR="003D08AE" w:rsidRPr="00BE16FB">
        <w:rPr>
          <w:rFonts w:ascii="Calibri" w:hAnsi="Calibri" w:cs="Calibri"/>
          <w:b/>
          <w:bCs/>
          <w:i/>
          <w:iCs/>
          <w:color w:val="FF0000"/>
          <w:sz w:val="22"/>
          <w:szCs w:val="22"/>
          <w:u w:val="single"/>
        </w:rPr>
        <w:t>nterpretation:</w:t>
      </w:r>
      <w:r w:rsidR="003D08AE" w:rsidRPr="00BE16FB">
        <w:rPr>
          <w:rFonts w:ascii="Calibri" w:hAnsi="Calibri" w:cs="Calibri"/>
          <w:i/>
          <w:iCs/>
          <w:color w:val="FF0000"/>
          <w:sz w:val="22"/>
          <w:szCs w:val="22"/>
          <w:u w:val="single"/>
        </w:rPr>
        <w:t xml:space="preserve"> </w:t>
      </w:r>
    </w:p>
    <w:p w14:paraId="4BD274CE" w14:textId="4B0EE92D" w:rsidR="003D08AE" w:rsidRPr="00BE16FB" w:rsidRDefault="003908CB" w:rsidP="003908CB">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t>The proportion of debt is decreasing indicating that company relies more on equity for financing the company. In pharmaceutical industry, low proportion of debt is beneficiary.</w:t>
      </w:r>
      <w:r w:rsidR="00F84674" w:rsidRPr="00BE16FB">
        <w:rPr>
          <w:rFonts w:ascii="Calibri" w:hAnsi="Calibri" w:cs="Calibri"/>
          <w:color w:val="FF0000"/>
          <w:sz w:val="22"/>
          <w:szCs w:val="22"/>
        </w:rPr>
        <w:t xml:space="preserve"> Higher the proprietary ratio, better for equity shareholders’ funds. Sun Pharma has improved from constant 0.69 to 0.74 in recent year.</w:t>
      </w:r>
    </w:p>
    <w:p w14:paraId="17E2F2E6" w14:textId="612CF95F" w:rsidR="003908CB" w:rsidRDefault="003908CB" w:rsidP="00BE16FB">
      <w:pPr>
        <w:pStyle w:val="ListParagraph"/>
        <w:numPr>
          <w:ilvl w:val="0"/>
          <w:numId w:val="6"/>
        </w:numPr>
        <w:rPr>
          <w:rFonts w:ascii="Calibri" w:hAnsi="Calibri" w:cs="Calibri"/>
          <w:color w:val="FF0000"/>
          <w:sz w:val="22"/>
          <w:szCs w:val="22"/>
        </w:rPr>
      </w:pPr>
      <w:r w:rsidRPr="00BE16FB">
        <w:rPr>
          <w:rFonts w:ascii="Calibri" w:hAnsi="Calibri" w:cs="Calibri"/>
          <w:color w:val="FF0000"/>
          <w:sz w:val="22"/>
          <w:szCs w:val="22"/>
        </w:rPr>
        <w:lastRenderedPageBreak/>
        <w:t xml:space="preserve">The decline in interest coverage ratio indicates that the company has higher interest rate expenses, but the ratio isn’t too low </w:t>
      </w:r>
      <w:r w:rsidR="00F84674" w:rsidRPr="00BE16FB">
        <w:rPr>
          <w:rFonts w:ascii="Calibri" w:hAnsi="Calibri" w:cs="Calibri"/>
          <w:color w:val="FF0000"/>
          <w:sz w:val="22"/>
          <w:szCs w:val="22"/>
        </w:rPr>
        <w:t>and is</w:t>
      </w:r>
      <w:r w:rsidRPr="00BE16FB">
        <w:rPr>
          <w:rFonts w:ascii="Calibri" w:hAnsi="Calibri" w:cs="Calibri"/>
          <w:color w:val="FF0000"/>
          <w:sz w:val="22"/>
          <w:szCs w:val="22"/>
        </w:rPr>
        <w:t xml:space="preserve"> </w:t>
      </w:r>
      <w:r w:rsidR="00F84674" w:rsidRPr="00BE16FB">
        <w:rPr>
          <w:rFonts w:ascii="Calibri" w:hAnsi="Calibri" w:cs="Calibri"/>
          <w:color w:val="FF0000"/>
          <w:sz w:val="22"/>
          <w:szCs w:val="22"/>
        </w:rPr>
        <w:t>comparatively</w:t>
      </w:r>
      <w:r w:rsidRPr="00BE16FB">
        <w:rPr>
          <w:rFonts w:ascii="Calibri" w:hAnsi="Calibri" w:cs="Calibri"/>
          <w:color w:val="FF0000"/>
          <w:sz w:val="22"/>
          <w:szCs w:val="22"/>
        </w:rPr>
        <w:t xml:space="preserve"> greater than debt equity ratio</w:t>
      </w:r>
      <w:r w:rsidR="00F84674" w:rsidRPr="00BE16FB">
        <w:rPr>
          <w:rFonts w:ascii="Calibri" w:hAnsi="Calibri" w:cs="Calibri"/>
          <w:color w:val="FF0000"/>
          <w:sz w:val="22"/>
          <w:szCs w:val="22"/>
        </w:rPr>
        <w:t xml:space="preserve"> which </w:t>
      </w:r>
      <w:r w:rsidRPr="00BE16FB">
        <w:rPr>
          <w:rFonts w:ascii="Calibri" w:hAnsi="Calibri" w:cs="Calibri"/>
          <w:color w:val="FF0000"/>
          <w:sz w:val="22"/>
          <w:szCs w:val="22"/>
        </w:rPr>
        <w:t>indicates financial stability.</w:t>
      </w:r>
    </w:p>
    <w:p w14:paraId="55AEDBC7" w14:textId="77777777" w:rsidR="00BE16FB" w:rsidRPr="00BE16FB" w:rsidRDefault="00BE16FB" w:rsidP="00BE16FB">
      <w:pPr>
        <w:pStyle w:val="ListParagraph"/>
        <w:numPr>
          <w:ilvl w:val="0"/>
          <w:numId w:val="6"/>
        </w:numPr>
        <w:rPr>
          <w:rFonts w:ascii="Calibri" w:hAnsi="Calibri" w:cs="Calibri"/>
          <w:color w:val="FF0000"/>
          <w:sz w:val="22"/>
          <w:szCs w:val="22"/>
        </w:rPr>
      </w:pPr>
    </w:p>
    <w:p w14:paraId="63D7E8D0" w14:textId="77777777" w:rsidR="003D08AE" w:rsidRPr="00F41773" w:rsidRDefault="003D08AE" w:rsidP="003D08AE">
      <w:pPr>
        <w:pStyle w:val="ListParagraph"/>
        <w:numPr>
          <w:ilvl w:val="0"/>
          <w:numId w:val="11"/>
        </w:numPr>
        <w:rPr>
          <w:rFonts w:ascii="Calibri" w:hAnsi="Calibri" w:cs="Calibri"/>
          <w:b/>
          <w:bCs/>
          <w:color w:val="3A7C22" w:themeColor="accent6" w:themeShade="BF"/>
        </w:rPr>
      </w:pPr>
      <w:proofErr w:type="spellStart"/>
      <w:proofErr w:type="gramStart"/>
      <w:r w:rsidRPr="00F41773">
        <w:rPr>
          <w:rFonts w:ascii="Calibri" w:hAnsi="Calibri" w:cs="Calibri"/>
          <w:b/>
          <w:bCs/>
          <w:color w:val="3A7C22" w:themeColor="accent6" w:themeShade="BF"/>
        </w:rPr>
        <w:t>Dr.Reddy’s</w:t>
      </w:r>
      <w:proofErr w:type="spellEnd"/>
      <w:proofErr w:type="gramEnd"/>
      <w:r w:rsidRPr="00F41773">
        <w:rPr>
          <w:rFonts w:ascii="Calibri" w:hAnsi="Calibri" w:cs="Calibri"/>
          <w:b/>
          <w:bCs/>
          <w:color w:val="3A7C22" w:themeColor="accent6" w:themeShade="BF"/>
        </w:rPr>
        <w:t xml:space="preserve"> Laboratories:</w:t>
      </w:r>
    </w:p>
    <w:p w14:paraId="6D0B5591" w14:textId="77777777" w:rsidR="003D08AE" w:rsidRPr="007F6476" w:rsidRDefault="003D08AE" w:rsidP="003D08AE">
      <w:pPr>
        <w:pStyle w:val="ListParagraph"/>
        <w:rPr>
          <w:rFonts w:ascii="Calibri" w:hAnsi="Calibri" w:cs="Calibri"/>
          <w:color w:val="000000" w:themeColor="text1"/>
        </w:rPr>
      </w:pPr>
    </w:p>
    <w:p w14:paraId="66DE8BFE" w14:textId="77777777" w:rsidR="003D08AE" w:rsidRPr="007F6476" w:rsidRDefault="003D08AE" w:rsidP="003D08AE">
      <w:pPr>
        <w:pStyle w:val="ListParagraph"/>
        <w:rPr>
          <w:rFonts w:ascii="Calibri" w:hAnsi="Calibri" w:cs="Calibri"/>
          <w:color w:val="000000" w:themeColor="text1"/>
        </w:rPr>
      </w:pPr>
    </w:p>
    <w:p w14:paraId="02AD73E8" w14:textId="77777777" w:rsidR="003D08AE" w:rsidRPr="007F6476" w:rsidRDefault="003D08AE" w:rsidP="003D08AE">
      <w:pPr>
        <w:pStyle w:val="ListParagraph"/>
        <w:rPr>
          <w:rFonts w:ascii="Calibri" w:hAnsi="Calibri" w:cs="Calibri"/>
          <w:color w:val="000000" w:themeColor="text1"/>
        </w:rPr>
      </w:pPr>
    </w:p>
    <w:p w14:paraId="53443C95" w14:textId="77777777" w:rsidR="003D08AE" w:rsidRDefault="003D08AE" w:rsidP="003D08AE">
      <w:pPr>
        <w:pStyle w:val="ListParagraph"/>
        <w:numPr>
          <w:ilvl w:val="0"/>
          <w:numId w:val="11"/>
        </w:numPr>
        <w:rPr>
          <w:rFonts w:ascii="Calibri" w:hAnsi="Calibri" w:cs="Calibri"/>
          <w:b/>
          <w:bCs/>
          <w:color w:val="3A7C22" w:themeColor="accent6" w:themeShade="BF"/>
        </w:rPr>
      </w:pPr>
      <w:r w:rsidRPr="00F41773">
        <w:rPr>
          <w:rFonts w:ascii="Calibri" w:hAnsi="Calibri" w:cs="Calibri"/>
          <w:b/>
          <w:bCs/>
          <w:color w:val="3A7C22" w:themeColor="accent6" w:themeShade="BF"/>
        </w:rPr>
        <w:t>Cipla:</w:t>
      </w:r>
    </w:p>
    <w:p w14:paraId="7BD50DE6" w14:textId="77777777" w:rsidR="003D08AE" w:rsidRDefault="003D08AE" w:rsidP="003D08AE">
      <w:pPr>
        <w:pStyle w:val="ListParagraph"/>
        <w:rPr>
          <w:rFonts w:ascii="Calibri" w:hAnsi="Calibri" w:cs="Calibri"/>
          <w:b/>
          <w:bCs/>
          <w:color w:val="3A7C22" w:themeColor="accent6" w:themeShade="BF"/>
        </w:rPr>
      </w:pPr>
    </w:p>
    <w:p w14:paraId="3783255E" w14:textId="77777777" w:rsidR="003D08AE" w:rsidRDefault="003D08AE" w:rsidP="003D08AE">
      <w:pPr>
        <w:pStyle w:val="ListParagraph"/>
        <w:rPr>
          <w:rFonts w:ascii="Calibri" w:hAnsi="Calibri" w:cs="Calibri"/>
          <w:b/>
          <w:bCs/>
          <w:color w:val="3A7C22" w:themeColor="accent6" w:themeShade="BF"/>
        </w:rPr>
      </w:pPr>
    </w:p>
    <w:p w14:paraId="3D3D67E2" w14:textId="41C76F2E" w:rsidR="003D08AE" w:rsidRPr="00F41773" w:rsidRDefault="003D08AE" w:rsidP="003D08AE">
      <w:pPr>
        <w:pStyle w:val="ListParagraph"/>
        <w:rPr>
          <w:rFonts w:ascii="Calibri" w:hAnsi="Calibri" w:cs="Calibri"/>
          <w:b/>
          <w:bCs/>
          <w:color w:val="3A7C22" w:themeColor="accent6" w:themeShade="BF"/>
        </w:rPr>
      </w:pPr>
      <w:r>
        <w:rPr>
          <w:rFonts w:ascii="Calibri" w:hAnsi="Calibri" w:cs="Calibri"/>
          <w:b/>
          <w:bCs/>
          <w:color w:val="3A7C22" w:themeColor="accent6" w:themeShade="BF"/>
        </w:rPr>
        <w:t xml:space="preserve">CONSOLIDATED </w:t>
      </w:r>
      <w:r w:rsidRPr="003D08AE">
        <w:rPr>
          <w:rFonts w:ascii="Calibri" w:hAnsi="Calibri" w:cs="Calibri"/>
          <w:b/>
          <w:bCs/>
          <w:color w:val="3A7C22" w:themeColor="accent6" w:themeShade="BF"/>
        </w:rPr>
        <w:t xml:space="preserve">SOLVENCY </w:t>
      </w:r>
      <w:r>
        <w:rPr>
          <w:rFonts w:ascii="Calibri" w:hAnsi="Calibri" w:cs="Calibri"/>
          <w:b/>
          <w:bCs/>
          <w:color w:val="3A7C22" w:themeColor="accent6" w:themeShade="BF"/>
        </w:rPr>
        <w:t>RATIO ANALYSIS:</w:t>
      </w:r>
    </w:p>
    <w:p w14:paraId="43A84496" w14:textId="77777777" w:rsidR="003D08AE" w:rsidRDefault="003D08AE" w:rsidP="00F41773">
      <w:pPr>
        <w:pStyle w:val="ListParagraph"/>
        <w:rPr>
          <w:rFonts w:ascii="Calibri" w:hAnsi="Calibri" w:cs="Calibri"/>
          <w:b/>
          <w:bCs/>
          <w:color w:val="3A7C22" w:themeColor="accent6" w:themeShade="BF"/>
        </w:rPr>
      </w:pPr>
    </w:p>
    <w:p w14:paraId="78199B45" w14:textId="21D6153A" w:rsidR="003D08AE" w:rsidRPr="007F6476" w:rsidRDefault="003D08AE" w:rsidP="003D08AE">
      <w:pPr>
        <w:jc w:val="center"/>
        <w:rPr>
          <w:rFonts w:ascii="Calibri" w:hAnsi="Calibri" w:cs="Calibri"/>
          <w:b/>
          <w:bCs/>
          <w:color w:val="77206D" w:themeColor="accent5" w:themeShade="BF"/>
          <w:sz w:val="28"/>
          <w:szCs w:val="28"/>
          <w:u w:val="single"/>
        </w:rPr>
      </w:pPr>
      <w:r>
        <w:rPr>
          <w:rFonts w:ascii="Calibri" w:hAnsi="Calibri" w:cs="Calibri"/>
          <w:b/>
          <w:bCs/>
          <w:color w:val="77206D" w:themeColor="accent5" w:themeShade="BF"/>
          <w:sz w:val="28"/>
          <w:szCs w:val="28"/>
          <w:u w:val="single"/>
        </w:rPr>
        <w:t>VALUATION</w:t>
      </w:r>
      <w:r w:rsidRPr="007F6476">
        <w:rPr>
          <w:rFonts w:ascii="Calibri" w:hAnsi="Calibri" w:cs="Calibri"/>
          <w:b/>
          <w:bCs/>
          <w:color w:val="77206D" w:themeColor="accent5" w:themeShade="BF"/>
          <w:sz w:val="28"/>
          <w:szCs w:val="28"/>
          <w:u w:val="single"/>
        </w:rPr>
        <w:t xml:space="preserve"> RATIO</w:t>
      </w:r>
      <w:r w:rsidR="00C11600">
        <w:rPr>
          <w:rFonts w:ascii="Calibri" w:hAnsi="Calibri" w:cs="Calibri"/>
          <w:b/>
          <w:bCs/>
          <w:color w:val="77206D" w:themeColor="accent5" w:themeShade="BF"/>
          <w:sz w:val="28"/>
          <w:szCs w:val="28"/>
          <w:u w:val="single"/>
        </w:rPr>
        <w:t xml:space="preserve"> ANALYSIS</w:t>
      </w:r>
      <w:r w:rsidRPr="007F6476">
        <w:rPr>
          <w:rFonts w:ascii="Calibri" w:hAnsi="Calibri" w:cs="Calibri"/>
          <w:b/>
          <w:bCs/>
          <w:color w:val="77206D" w:themeColor="accent5" w:themeShade="BF"/>
          <w:sz w:val="28"/>
          <w:szCs w:val="28"/>
          <w:u w:val="single"/>
        </w:rPr>
        <w:t>:</w:t>
      </w:r>
    </w:p>
    <w:p w14:paraId="09668E12" w14:textId="77777777" w:rsidR="003D08AE" w:rsidRPr="007F6476" w:rsidRDefault="003D08AE" w:rsidP="003D08AE">
      <w:pPr>
        <w:pStyle w:val="ListParagraph"/>
        <w:rPr>
          <w:rFonts w:ascii="Calibri" w:hAnsi="Calibri" w:cs="Calibri"/>
          <w:color w:val="000000" w:themeColor="text1"/>
        </w:rPr>
      </w:pPr>
    </w:p>
    <w:p w14:paraId="3E650083" w14:textId="77777777" w:rsidR="003D08AE" w:rsidRPr="00F41773" w:rsidRDefault="003D08AE" w:rsidP="003D08AE">
      <w:pPr>
        <w:pStyle w:val="ListParagraph"/>
        <w:numPr>
          <w:ilvl w:val="0"/>
          <w:numId w:val="11"/>
        </w:numPr>
        <w:rPr>
          <w:rFonts w:ascii="Calibri" w:hAnsi="Calibri" w:cs="Calibri"/>
          <w:b/>
          <w:bCs/>
          <w:color w:val="3A7C22" w:themeColor="accent6" w:themeShade="BF"/>
        </w:rPr>
      </w:pPr>
      <w:r w:rsidRPr="00F41773">
        <w:rPr>
          <w:rFonts w:ascii="Calibri" w:hAnsi="Calibri" w:cs="Calibri"/>
          <w:b/>
          <w:bCs/>
          <w:color w:val="3A7C22" w:themeColor="accent6" w:themeShade="BF"/>
        </w:rPr>
        <w:t xml:space="preserve">Sun Pharmaceutical Industries: </w:t>
      </w:r>
    </w:p>
    <w:tbl>
      <w:tblPr>
        <w:tblpPr w:leftFromText="180" w:rightFromText="180" w:vertAnchor="text" w:horzAnchor="page" w:tblpX="2151" w:tblpY="205"/>
        <w:tblW w:w="5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688"/>
        <w:gridCol w:w="671"/>
        <w:gridCol w:w="671"/>
        <w:gridCol w:w="688"/>
      </w:tblGrid>
      <w:tr w:rsidR="00BE16FB" w:rsidRPr="00BE16FB" w14:paraId="1166BFDD" w14:textId="77777777" w:rsidTr="00BE16FB">
        <w:trPr>
          <w:trHeight w:val="264"/>
        </w:trPr>
        <w:tc>
          <w:tcPr>
            <w:tcW w:w="2705" w:type="dxa"/>
            <w:shd w:val="clear" w:color="000000" w:fill="FFFF00"/>
            <w:noWrap/>
            <w:vAlign w:val="bottom"/>
            <w:hideMark/>
          </w:tcPr>
          <w:p w14:paraId="0194AE69" w14:textId="77777777" w:rsidR="00BE16FB" w:rsidRPr="00BE16FB" w:rsidRDefault="00BE16FB" w:rsidP="00BE16FB">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Valuations Ratios</w:t>
            </w:r>
          </w:p>
        </w:tc>
        <w:tc>
          <w:tcPr>
            <w:tcW w:w="688" w:type="dxa"/>
            <w:shd w:val="clear" w:color="000000" w:fill="F4CCCC"/>
            <w:noWrap/>
            <w:vAlign w:val="bottom"/>
            <w:hideMark/>
          </w:tcPr>
          <w:p w14:paraId="3FF39B21" w14:textId="77777777" w:rsidR="00BE16FB" w:rsidRPr="00BE16FB" w:rsidRDefault="00BE16FB" w:rsidP="00BE16FB">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2024</w:t>
            </w:r>
          </w:p>
        </w:tc>
        <w:tc>
          <w:tcPr>
            <w:tcW w:w="671" w:type="dxa"/>
            <w:shd w:val="clear" w:color="000000" w:fill="F4CCCC"/>
            <w:noWrap/>
            <w:vAlign w:val="bottom"/>
            <w:hideMark/>
          </w:tcPr>
          <w:p w14:paraId="7F932889" w14:textId="77777777" w:rsidR="00BE16FB" w:rsidRPr="00BE16FB" w:rsidRDefault="00BE16FB" w:rsidP="00BE16FB">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2023</w:t>
            </w:r>
          </w:p>
        </w:tc>
        <w:tc>
          <w:tcPr>
            <w:tcW w:w="671" w:type="dxa"/>
            <w:shd w:val="clear" w:color="000000" w:fill="F4CCCC"/>
            <w:noWrap/>
            <w:vAlign w:val="bottom"/>
            <w:hideMark/>
          </w:tcPr>
          <w:p w14:paraId="4B871C7C" w14:textId="77777777" w:rsidR="00BE16FB" w:rsidRPr="00BE16FB" w:rsidRDefault="00BE16FB" w:rsidP="00BE16FB">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2022</w:t>
            </w:r>
          </w:p>
        </w:tc>
        <w:tc>
          <w:tcPr>
            <w:tcW w:w="688" w:type="dxa"/>
            <w:shd w:val="clear" w:color="000000" w:fill="F4CCCC"/>
            <w:noWrap/>
            <w:vAlign w:val="bottom"/>
            <w:hideMark/>
          </w:tcPr>
          <w:p w14:paraId="195C9FAF" w14:textId="77777777" w:rsidR="00BE16FB" w:rsidRPr="00BE16FB" w:rsidRDefault="00BE16FB" w:rsidP="00BE16FB">
            <w:pPr>
              <w:spacing w:after="0" w:line="240" w:lineRule="auto"/>
              <w:jc w:val="center"/>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2021</w:t>
            </w:r>
          </w:p>
        </w:tc>
      </w:tr>
      <w:tr w:rsidR="00BE16FB" w:rsidRPr="00BE16FB" w14:paraId="12C02A1C" w14:textId="77777777" w:rsidTr="00BE16FB">
        <w:trPr>
          <w:trHeight w:val="264"/>
        </w:trPr>
        <w:tc>
          <w:tcPr>
            <w:tcW w:w="2705" w:type="dxa"/>
            <w:shd w:val="clear" w:color="auto" w:fill="auto"/>
            <w:noWrap/>
            <w:vAlign w:val="bottom"/>
            <w:hideMark/>
          </w:tcPr>
          <w:p w14:paraId="2DDB391C" w14:textId="77777777" w:rsidR="00BE16FB" w:rsidRPr="00BE16FB" w:rsidRDefault="00BE16FB" w:rsidP="00BE16FB">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Price Earnings (PE) RATIO</w:t>
            </w:r>
          </w:p>
        </w:tc>
        <w:tc>
          <w:tcPr>
            <w:tcW w:w="688" w:type="dxa"/>
            <w:shd w:val="clear" w:color="auto" w:fill="auto"/>
            <w:noWrap/>
            <w:vAlign w:val="bottom"/>
            <w:hideMark/>
          </w:tcPr>
          <w:p w14:paraId="4E2AA703" w14:textId="77777777" w:rsidR="00BE16FB" w:rsidRPr="00BE16FB" w:rsidRDefault="00BE16FB" w:rsidP="00BE16FB">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46.26</w:t>
            </w:r>
          </w:p>
        </w:tc>
        <w:tc>
          <w:tcPr>
            <w:tcW w:w="671" w:type="dxa"/>
            <w:shd w:val="clear" w:color="auto" w:fill="auto"/>
            <w:noWrap/>
            <w:vAlign w:val="bottom"/>
            <w:hideMark/>
          </w:tcPr>
          <w:p w14:paraId="5555EEA3" w14:textId="77777777" w:rsidR="00BE16FB" w:rsidRPr="00BE16FB" w:rsidRDefault="00BE16FB" w:rsidP="00BE16FB">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35.3</w:t>
            </w:r>
          </w:p>
        </w:tc>
        <w:tc>
          <w:tcPr>
            <w:tcW w:w="671" w:type="dxa"/>
            <w:shd w:val="clear" w:color="auto" w:fill="auto"/>
            <w:noWrap/>
            <w:vAlign w:val="bottom"/>
            <w:hideMark/>
          </w:tcPr>
          <w:p w14:paraId="5CB0C72B" w14:textId="77777777" w:rsidR="00BE16FB" w:rsidRPr="00BE16FB" w:rsidRDefault="00BE16FB" w:rsidP="00BE16FB">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70.5</w:t>
            </w:r>
          </w:p>
        </w:tc>
        <w:tc>
          <w:tcPr>
            <w:tcW w:w="688" w:type="dxa"/>
            <w:shd w:val="clear" w:color="auto" w:fill="auto"/>
            <w:noWrap/>
            <w:vAlign w:val="bottom"/>
            <w:hideMark/>
          </w:tcPr>
          <w:p w14:paraId="04D5A24D" w14:textId="77777777" w:rsidR="00BE16FB" w:rsidRPr="00BE16FB" w:rsidRDefault="00BE16FB" w:rsidP="00BE16FB">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88.78</w:t>
            </w:r>
          </w:p>
        </w:tc>
      </w:tr>
      <w:tr w:rsidR="00BE16FB" w:rsidRPr="00BE16FB" w14:paraId="24294958" w14:textId="77777777" w:rsidTr="00BE16FB">
        <w:trPr>
          <w:trHeight w:val="264"/>
        </w:trPr>
        <w:tc>
          <w:tcPr>
            <w:tcW w:w="2705" w:type="dxa"/>
            <w:shd w:val="clear" w:color="auto" w:fill="auto"/>
            <w:noWrap/>
            <w:vAlign w:val="bottom"/>
            <w:hideMark/>
          </w:tcPr>
          <w:p w14:paraId="711C283F" w14:textId="77777777" w:rsidR="00BE16FB" w:rsidRPr="00BE16FB" w:rsidRDefault="00BE16FB" w:rsidP="00BE16FB">
            <w:pPr>
              <w:spacing w:after="0" w:line="240" w:lineRule="auto"/>
              <w:rPr>
                <w:rFonts w:ascii="Calibri" w:eastAsia="Times New Roman" w:hAnsi="Calibri" w:cs="Calibri"/>
                <w:b/>
                <w:bCs/>
                <w:color w:val="000000"/>
                <w:kern w:val="0"/>
                <w:sz w:val="20"/>
                <w:szCs w:val="20"/>
                <w:lang w:eastAsia="en-IN"/>
                <w14:ligatures w14:val="none"/>
              </w:rPr>
            </w:pPr>
            <w:r w:rsidRPr="00BE16FB">
              <w:rPr>
                <w:rFonts w:ascii="Calibri" w:eastAsia="Times New Roman" w:hAnsi="Calibri" w:cs="Calibri"/>
                <w:b/>
                <w:bCs/>
                <w:color w:val="000000"/>
                <w:kern w:val="0"/>
                <w:sz w:val="20"/>
                <w:szCs w:val="20"/>
                <w:lang w:eastAsia="en-IN"/>
                <w14:ligatures w14:val="none"/>
              </w:rPr>
              <w:t>Price to Book (PB) RATIO</w:t>
            </w:r>
          </w:p>
        </w:tc>
        <w:tc>
          <w:tcPr>
            <w:tcW w:w="688" w:type="dxa"/>
            <w:shd w:val="clear" w:color="auto" w:fill="auto"/>
            <w:noWrap/>
            <w:vAlign w:val="bottom"/>
            <w:hideMark/>
          </w:tcPr>
          <w:p w14:paraId="6040DBF1" w14:textId="77777777" w:rsidR="00BE16FB" w:rsidRPr="00BE16FB" w:rsidRDefault="00BE16FB" w:rsidP="00BE16FB">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7.01</w:t>
            </w:r>
          </w:p>
        </w:tc>
        <w:tc>
          <w:tcPr>
            <w:tcW w:w="671" w:type="dxa"/>
            <w:shd w:val="clear" w:color="auto" w:fill="auto"/>
            <w:noWrap/>
            <w:vAlign w:val="bottom"/>
            <w:hideMark/>
          </w:tcPr>
          <w:p w14:paraId="33428B7C" w14:textId="77777777" w:rsidR="00BE16FB" w:rsidRPr="00BE16FB" w:rsidRDefault="00BE16FB" w:rsidP="00BE16FB">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5.4</w:t>
            </w:r>
          </w:p>
        </w:tc>
        <w:tc>
          <w:tcPr>
            <w:tcW w:w="671" w:type="dxa"/>
            <w:shd w:val="clear" w:color="auto" w:fill="auto"/>
            <w:noWrap/>
            <w:vAlign w:val="bottom"/>
            <w:hideMark/>
          </w:tcPr>
          <w:p w14:paraId="1AEDF335" w14:textId="77777777" w:rsidR="00BE16FB" w:rsidRPr="00BE16FB" w:rsidRDefault="00BE16FB" w:rsidP="00BE16FB">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5</w:t>
            </w:r>
          </w:p>
        </w:tc>
        <w:tc>
          <w:tcPr>
            <w:tcW w:w="688" w:type="dxa"/>
            <w:shd w:val="clear" w:color="auto" w:fill="auto"/>
            <w:noWrap/>
            <w:vAlign w:val="bottom"/>
            <w:hideMark/>
          </w:tcPr>
          <w:p w14:paraId="359805F5" w14:textId="77777777" w:rsidR="00BE16FB" w:rsidRPr="00BE16FB" w:rsidRDefault="00BE16FB" w:rsidP="00BE16FB">
            <w:pPr>
              <w:spacing w:after="0" w:line="240" w:lineRule="auto"/>
              <w:jc w:val="center"/>
              <w:rPr>
                <w:rFonts w:ascii="Calibri" w:eastAsia="Times New Roman" w:hAnsi="Calibri" w:cs="Calibri"/>
                <w:color w:val="000000"/>
                <w:kern w:val="0"/>
                <w:sz w:val="20"/>
                <w:szCs w:val="20"/>
                <w:lang w:eastAsia="en-IN"/>
                <w14:ligatures w14:val="none"/>
              </w:rPr>
            </w:pPr>
            <w:r w:rsidRPr="00BE16FB">
              <w:rPr>
                <w:rFonts w:ascii="Calibri" w:eastAsia="Times New Roman" w:hAnsi="Calibri" w:cs="Calibri"/>
                <w:color w:val="000000"/>
                <w:kern w:val="0"/>
                <w:sz w:val="20"/>
                <w:szCs w:val="20"/>
                <w:lang w:eastAsia="en-IN"/>
                <w14:ligatures w14:val="none"/>
              </w:rPr>
              <w:t>4.37</w:t>
            </w:r>
          </w:p>
        </w:tc>
      </w:tr>
    </w:tbl>
    <w:p w14:paraId="43D16F5E" w14:textId="77777777" w:rsidR="003D08AE" w:rsidRPr="007F6476" w:rsidRDefault="003D08AE" w:rsidP="003D08AE">
      <w:pPr>
        <w:pStyle w:val="ListParagraph"/>
        <w:rPr>
          <w:rFonts w:ascii="Calibri" w:hAnsi="Calibri" w:cs="Calibri"/>
          <w:b/>
          <w:bCs/>
          <w:color w:val="000000" w:themeColor="text1"/>
        </w:rPr>
      </w:pPr>
    </w:p>
    <w:p w14:paraId="54AA3174" w14:textId="77777777" w:rsidR="003D08AE" w:rsidRPr="007F6476" w:rsidRDefault="003D08AE" w:rsidP="003D08AE">
      <w:pPr>
        <w:pStyle w:val="ListParagraph"/>
        <w:rPr>
          <w:rFonts w:ascii="Calibri" w:hAnsi="Calibri" w:cs="Calibri"/>
          <w:b/>
          <w:bCs/>
          <w:color w:val="000000" w:themeColor="text1"/>
        </w:rPr>
      </w:pPr>
    </w:p>
    <w:p w14:paraId="203813D9" w14:textId="77777777" w:rsidR="003D08AE" w:rsidRPr="007F6476" w:rsidRDefault="003D08AE" w:rsidP="003D08AE">
      <w:pPr>
        <w:pStyle w:val="ListParagraph"/>
        <w:rPr>
          <w:rFonts w:ascii="Calibri" w:hAnsi="Calibri" w:cs="Calibri"/>
          <w:color w:val="000000" w:themeColor="text1"/>
        </w:rPr>
      </w:pPr>
    </w:p>
    <w:p w14:paraId="225E241B" w14:textId="3DF45CA1" w:rsidR="003D08AE" w:rsidRPr="007F6476" w:rsidRDefault="00BE16FB" w:rsidP="003D08AE">
      <w:pPr>
        <w:pStyle w:val="ListParagraph"/>
        <w:rPr>
          <w:rFonts w:ascii="Calibri" w:hAnsi="Calibri" w:cs="Calibri"/>
          <w:color w:val="000000" w:themeColor="text1"/>
        </w:rPr>
      </w:pPr>
      <w:r>
        <w:rPr>
          <w:noProof/>
        </w:rPr>
        <w:drawing>
          <wp:anchor distT="0" distB="0" distL="114300" distR="114300" simplePos="0" relativeHeight="251661312" behindDoc="0" locked="0" layoutInCell="1" allowOverlap="1" wp14:anchorId="693B2043" wp14:editId="44335A7B">
            <wp:simplePos x="0" y="0"/>
            <wp:positionH relativeFrom="margin">
              <wp:posOffset>397510</wp:posOffset>
            </wp:positionH>
            <wp:positionV relativeFrom="paragraph">
              <wp:posOffset>142875</wp:posOffset>
            </wp:positionV>
            <wp:extent cx="5276850" cy="2266950"/>
            <wp:effectExtent l="0" t="0" r="0" b="0"/>
            <wp:wrapNone/>
            <wp:docPr id="504662999" name="Chart 1">
              <a:extLst xmlns:a="http://schemas.openxmlformats.org/drawingml/2006/main">
                <a:ext uri="{FF2B5EF4-FFF2-40B4-BE49-F238E27FC236}">
                  <a16:creationId xmlns:a16="http://schemas.microsoft.com/office/drawing/2014/main" id="{523B0D6D-7233-D42B-5D48-6A04E6465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04422CAA" w14:textId="7135F491" w:rsidR="00BE16FB" w:rsidRDefault="00BE16FB" w:rsidP="003D08AE">
      <w:pPr>
        <w:pStyle w:val="ListParagraph"/>
        <w:rPr>
          <w:rFonts w:ascii="Calibri" w:hAnsi="Calibri" w:cs="Calibri"/>
          <w:b/>
          <w:bCs/>
          <w:i/>
          <w:iCs/>
          <w:color w:val="FF0000"/>
          <w:sz w:val="22"/>
          <w:szCs w:val="22"/>
          <w:u w:val="single"/>
        </w:rPr>
      </w:pPr>
    </w:p>
    <w:p w14:paraId="2B969780" w14:textId="77777777" w:rsidR="00BE16FB" w:rsidRDefault="00BE16FB" w:rsidP="003D08AE">
      <w:pPr>
        <w:pStyle w:val="ListParagraph"/>
        <w:rPr>
          <w:rFonts w:ascii="Calibri" w:hAnsi="Calibri" w:cs="Calibri"/>
          <w:b/>
          <w:bCs/>
          <w:i/>
          <w:iCs/>
          <w:color w:val="FF0000"/>
          <w:sz w:val="22"/>
          <w:szCs w:val="22"/>
          <w:u w:val="single"/>
        </w:rPr>
      </w:pPr>
    </w:p>
    <w:p w14:paraId="29C4BED6" w14:textId="77777777" w:rsidR="00BE16FB" w:rsidRDefault="00BE16FB" w:rsidP="003D08AE">
      <w:pPr>
        <w:pStyle w:val="ListParagraph"/>
        <w:rPr>
          <w:rFonts w:ascii="Calibri" w:hAnsi="Calibri" w:cs="Calibri"/>
          <w:b/>
          <w:bCs/>
          <w:i/>
          <w:iCs/>
          <w:color w:val="FF0000"/>
          <w:sz w:val="22"/>
          <w:szCs w:val="22"/>
          <w:u w:val="single"/>
        </w:rPr>
      </w:pPr>
    </w:p>
    <w:p w14:paraId="6F1660D7" w14:textId="77777777" w:rsidR="00BE16FB" w:rsidRDefault="00BE16FB" w:rsidP="003D08AE">
      <w:pPr>
        <w:pStyle w:val="ListParagraph"/>
        <w:rPr>
          <w:rFonts w:ascii="Calibri" w:hAnsi="Calibri" w:cs="Calibri"/>
          <w:b/>
          <w:bCs/>
          <w:i/>
          <w:iCs/>
          <w:color w:val="FF0000"/>
          <w:sz w:val="22"/>
          <w:szCs w:val="22"/>
          <w:u w:val="single"/>
        </w:rPr>
      </w:pPr>
    </w:p>
    <w:p w14:paraId="09E09325" w14:textId="77777777" w:rsidR="00BE16FB" w:rsidRDefault="00BE16FB" w:rsidP="003D08AE">
      <w:pPr>
        <w:pStyle w:val="ListParagraph"/>
        <w:rPr>
          <w:rFonts w:ascii="Calibri" w:hAnsi="Calibri" w:cs="Calibri"/>
          <w:b/>
          <w:bCs/>
          <w:i/>
          <w:iCs/>
          <w:color w:val="FF0000"/>
          <w:sz w:val="22"/>
          <w:szCs w:val="22"/>
          <w:u w:val="single"/>
        </w:rPr>
      </w:pPr>
    </w:p>
    <w:p w14:paraId="627A078C" w14:textId="77777777" w:rsidR="00BE16FB" w:rsidRDefault="00BE16FB" w:rsidP="003D08AE">
      <w:pPr>
        <w:pStyle w:val="ListParagraph"/>
        <w:rPr>
          <w:rFonts w:ascii="Calibri" w:hAnsi="Calibri" w:cs="Calibri"/>
          <w:b/>
          <w:bCs/>
          <w:i/>
          <w:iCs/>
          <w:color w:val="FF0000"/>
          <w:sz w:val="22"/>
          <w:szCs w:val="22"/>
          <w:u w:val="single"/>
        </w:rPr>
      </w:pPr>
    </w:p>
    <w:p w14:paraId="217EDE30" w14:textId="77777777" w:rsidR="00BE16FB" w:rsidRDefault="00BE16FB" w:rsidP="003D08AE">
      <w:pPr>
        <w:pStyle w:val="ListParagraph"/>
        <w:rPr>
          <w:rFonts w:ascii="Calibri" w:hAnsi="Calibri" w:cs="Calibri"/>
          <w:b/>
          <w:bCs/>
          <w:i/>
          <w:iCs/>
          <w:color w:val="FF0000"/>
          <w:sz w:val="22"/>
          <w:szCs w:val="22"/>
          <w:u w:val="single"/>
        </w:rPr>
      </w:pPr>
    </w:p>
    <w:p w14:paraId="00AF630F" w14:textId="77777777" w:rsidR="00BE16FB" w:rsidRDefault="00BE16FB" w:rsidP="003D08AE">
      <w:pPr>
        <w:pStyle w:val="ListParagraph"/>
        <w:rPr>
          <w:rFonts w:ascii="Calibri" w:hAnsi="Calibri" w:cs="Calibri"/>
          <w:b/>
          <w:bCs/>
          <w:i/>
          <w:iCs/>
          <w:color w:val="FF0000"/>
          <w:sz w:val="22"/>
          <w:szCs w:val="22"/>
          <w:u w:val="single"/>
        </w:rPr>
      </w:pPr>
    </w:p>
    <w:p w14:paraId="0AAC36E5" w14:textId="77777777" w:rsidR="00BE16FB" w:rsidRDefault="00BE16FB" w:rsidP="003D08AE">
      <w:pPr>
        <w:pStyle w:val="ListParagraph"/>
        <w:rPr>
          <w:rFonts w:ascii="Calibri" w:hAnsi="Calibri" w:cs="Calibri"/>
          <w:b/>
          <w:bCs/>
          <w:i/>
          <w:iCs/>
          <w:color w:val="FF0000"/>
          <w:sz w:val="22"/>
          <w:szCs w:val="22"/>
          <w:u w:val="single"/>
        </w:rPr>
      </w:pPr>
    </w:p>
    <w:p w14:paraId="45462786" w14:textId="77777777" w:rsidR="00BE16FB" w:rsidRDefault="00BE16FB" w:rsidP="003D08AE">
      <w:pPr>
        <w:pStyle w:val="ListParagraph"/>
        <w:rPr>
          <w:rFonts w:ascii="Calibri" w:hAnsi="Calibri" w:cs="Calibri"/>
          <w:b/>
          <w:bCs/>
          <w:i/>
          <w:iCs/>
          <w:color w:val="FF0000"/>
          <w:sz w:val="22"/>
          <w:szCs w:val="22"/>
          <w:u w:val="single"/>
        </w:rPr>
      </w:pPr>
    </w:p>
    <w:p w14:paraId="43B636D6" w14:textId="77777777" w:rsidR="00BE16FB" w:rsidRPr="00BE16FB" w:rsidRDefault="00BE16FB" w:rsidP="00BE16FB">
      <w:pPr>
        <w:rPr>
          <w:rFonts w:ascii="Calibri" w:hAnsi="Calibri" w:cs="Calibri"/>
          <w:b/>
          <w:bCs/>
          <w:i/>
          <w:iCs/>
          <w:color w:val="FF0000"/>
          <w:sz w:val="22"/>
          <w:szCs w:val="22"/>
          <w:u w:val="single"/>
        </w:rPr>
      </w:pPr>
    </w:p>
    <w:p w14:paraId="109BE319" w14:textId="1749AC7C" w:rsidR="003D08AE" w:rsidRPr="00BE16FB" w:rsidRDefault="003D08AE" w:rsidP="003D08AE">
      <w:pPr>
        <w:pStyle w:val="ListParagraph"/>
        <w:rPr>
          <w:rFonts w:ascii="Calibri" w:hAnsi="Calibri" w:cs="Calibri"/>
          <w:i/>
          <w:iCs/>
          <w:color w:val="FF0000"/>
          <w:sz w:val="22"/>
          <w:szCs w:val="22"/>
          <w:u w:val="single"/>
        </w:rPr>
      </w:pPr>
      <w:r w:rsidRPr="00BE16FB">
        <w:rPr>
          <w:rFonts w:ascii="Calibri" w:hAnsi="Calibri" w:cs="Calibri"/>
          <w:b/>
          <w:bCs/>
          <w:i/>
          <w:iCs/>
          <w:color w:val="FF0000"/>
          <w:sz w:val="22"/>
          <w:szCs w:val="22"/>
          <w:u w:val="single"/>
        </w:rPr>
        <w:t>Interpretation:</w:t>
      </w:r>
      <w:r w:rsidRPr="00BE16FB">
        <w:rPr>
          <w:rFonts w:ascii="Calibri" w:hAnsi="Calibri" w:cs="Calibri"/>
          <w:i/>
          <w:iCs/>
          <w:color w:val="FF0000"/>
          <w:sz w:val="22"/>
          <w:szCs w:val="22"/>
          <w:u w:val="single"/>
        </w:rPr>
        <w:t xml:space="preserve"> </w:t>
      </w:r>
    </w:p>
    <w:p w14:paraId="508E27A1" w14:textId="46935474" w:rsidR="00BE16FB" w:rsidRDefault="00BE16FB" w:rsidP="00907E74">
      <w:pPr>
        <w:pStyle w:val="ListParagraph"/>
        <w:numPr>
          <w:ilvl w:val="0"/>
          <w:numId w:val="6"/>
        </w:numPr>
        <w:rPr>
          <w:rFonts w:ascii="Calibri" w:hAnsi="Calibri" w:cs="Calibri"/>
          <w:color w:val="FF0000"/>
          <w:sz w:val="22"/>
          <w:szCs w:val="22"/>
        </w:rPr>
      </w:pPr>
      <w:r w:rsidRPr="00716551">
        <w:rPr>
          <w:rFonts w:ascii="Calibri" w:hAnsi="Calibri" w:cs="Calibri"/>
          <w:color w:val="FF0000"/>
          <w:sz w:val="22"/>
          <w:szCs w:val="22"/>
        </w:rPr>
        <w:t>There is a sharp decline in Price earnings ratio</w:t>
      </w:r>
      <w:r w:rsidR="00716551">
        <w:rPr>
          <w:rFonts w:ascii="Calibri" w:hAnsi="Calibri" w:cs="Calibri"/>
          <w:color w:val="FF0000"/>
          <w:sz w:val="22"/>
          <w:szCs w:val="22"/>
        </w:rPr>
        <w:t xml:space="preserve"> from 2021 to 2023 maybe due to the slow growth of company however, the ratio went up in 2024 compared to the previous year meaning the company value has increased. </w:t>
      </w:r>
    </w:p>
    <w:p w14:paraId="4D8107C4" w14:textId="4A4DF30F" w:rsidR="00716551" w:rsidRDefault="00716551" w:rsidP="00907E74">
      <w:pPr>
        <w:pStyle w:val="ListParagraph"/>
        <w:numPr>
          <w:ilvl w:val="0"/>
          <w:numId w:val="6"/>
        </w:numPr>
        <w:rPr>
          <w:rFonts w:ascii="Calibri" w:hAnsi="Calibri" w:cs="Calibri"/>
          <w:color w:val="FF0000"/>
          <w:sz w:val="22"/>
          <w:szCs w:val="22"/>
        </w:rPr>
      </w:pPr>
      <w:r>
        <w:rPr>
          <w:rFonts w:ascii="Calibri" w:hAnsi="Calibri" w:cs="Calibri"/>
          <w:color w:val="FF0000"/>
          <w:sz w:val="22"/>
          <w:szCs w:val="22"/>
        </w:rPr>
        <w:t xml:space="preserve">Price to book ratio has a positive trend which indicates the market perception of strength </w:t>
      </w:r>
      <w:proofErr w:type="spellStart"/>
      <w:r>
        <w:rPr>
          <w:rFonts w:ascii="Calibri" w:hAnsi="Calibri" w:cs="Calibri"/>
          <w:color w:val="FF0000"/>
          <w:sz w:val="22"/>
          <w:szCs w:val="22"/>
        </w:rPr>
        <w:t>ie</w:t>
      </w:r>
      <w:proofErr w:type="spellEnd"/>
      <w:r>
        <w:rPr>
          <w:rFonts w:ascii="Calibri" w:hAnsi="Calibri" w:cs="Calibri"/>
          <w:color w:val="FF0000"/>
          <w:sz w:val="22"/>
          <w:szCs w:val="22"/>
        </w:rPr>
        <w:t>., assets of the company. As per investor’s view, the company value will increase in the future and hence they are willing to pay more per equity share.</w:t>
      </w:r>
    </w:p>
    <w:p w14:paraId="28D918E0" w14:textId="77777777" w:rsidR="00716551" w:rsidRPr="00716551" w:rsidRDefault="00716551" w:rsidP="00716551">
      <w:pPr>
        <w:pStyle w:val="ListParagraph"/>
        <w:ind w:left="1440"/>
        <w:rPr>
          <w:rFonts w:ascii="Calibri" w:hAnsi="Calibri" w:cs="Calibri"/>
          <w:color w:val="FF0000"/>
          <w:sz w:val="22"/>
          <w:szCs w:val="22"/>
        </w:rPr>
      </w:pPr>
    </w:p>
    <w:p w14:paraId="5FAA9D1E" w14:textId="77777777" w:rsidR="003D08AE" w:rsidRPr="00F41773" w:rsidRDefault="003D08AE" w:rsidP="003D08AE">
      <w:pPr>
        <w:pStyle w:val="ListParagraph"/>
        <w:numPr>
          <w:ilvl w:val="0"/>
          <w:numId w:val="11"/>
        </w:numPr>
        <w:rPr>
          <w:rFonts w:ascii="Calibri" w:hAnsi="Calibri" w:cs="Calibri"/>
          <w:b/>
          <w:bCs/>
          <w:color w:val="3A7C22" w:themeColor="accent6" w:themeShade="BF"/>
        </w:rPr>
      </w:pPr>
      <w:proofErr w:type="spellStart"/>
      <w:proofErr w:type="gramStart"/>
      <w:r w:rsidRPr="00F41773">
        <w:rPr>
          <w:rFonts w:ascii="Calibri" w:hAnsi="Calibri" w:cs="Calibri"/>
          <w:b/>
          <w:bCs/>
          <w:color w:val="3A7C22" w:themeColor="accent6" w:themeShade="BF"/>
        </w:rPr>
        <w:t>Dr.Reddy’s</w:t>
      </w:r>
      <w:proofErr w:type="spellEnd"/>
      <w:proofErr w:type="gramEnd"/>
      <w:r w:rsidRPr="00F41773">
        <w:rPr>
          <w:rFonts w:ascii="Calibri" w:hAnsi="Calibri" w:cs="Calibri"/>
          <w:b/>
          <w:bCs/>
          <w:color w:val="3A7C22" w:themeColor="accent6" w:themeShade="BF"/>
        </w:rPr>
        <w:t xml:space="preserve"> Laboratories:</w:t>
      </w:r>
    </w:p>
    <w:p w14:paraId="2F5A7ED0" w14:textId="77777777" w:rsidR="003D08AE" w:rsidRPr="007F6476" w:rsidRDefault="003D08AE" w:rsidP="003D08AE">
      <w:pPr>
        <w:pStyle w:val="ListParagraph"/>
        <w:rPr>
          <w:rFonts w:ascii="Calibri" w:hAnsi="Calibri" w:cs="Calibri"/>
          <w:color w:val="000000" w:themeColor="text1"/>
        </w:rPr>
      </w:pPr>
    </w:p>
    <w:p w14:paraId="3DBFAF27" w14:textId="77777777" w:rsidR="003D08AE" w:rsidRPr="007F6476" w:rsidRDefault="003D08AE" w:rsidP="003D08AE">
      <w:pPr>
        <w:pStyle w:val="ListParagraph"/>
        <w:rPr>
          <w:rFonts w:ascii="Calibri" w:hAnsi="Calibri" w:cs="Calibri"/>
          <w:color w:val="000000" w:themeColor="text1"/>
        </w:rPr>
      </w:pPr>
    </w:p>
    <w:p w14:paraId="7DAF50D8" w14:textId="77777777" w:rsidR="003D08AE" w:rsidRPr="007F6476" w:rsidRDefault="003D08AE" w:rsidP="003D08AE">
      <w:pPr>
        <w:pStyle w:val="ListParagraph"/>
        <w:rPr>
          <w:rFonts w:ascii="Calibri" w:hAnsi="Calibri" w:cs="Calibri"/>
          <w:color w:val="000000" w:themeColor="text1"/>
        </w:rPr>
      </w:pPr>
    </w:p>
    <w:p w14:paraId="49BD5AF7" w14:textId="77777777" w:rsidR="003D08AE" w:rsidRDefault="003D08AE" w:rsidP="003D08AE">
      <w:pPr>
        <w:pStyle w:val="ListParagraph"/>
        <w:numPr>
          <w:ilvl w:val="0"/>
          <w:numId w:val="11"/>
        </w:numPr>
        <w:rPr>
          <w:rFonts w:ascii="Calibri" w:hAnsi="Calibri" w:cs="Calibri"/>
          <w:b/>
          <w:bCs/>
          <w:color w:val="3A7C22" w:themeColor="accent6" w:themeShade="BF"/>
        </w:rPr>
      </w:pPr>
      <w:r w:rsidRPr="00F41773">
        <w:rPr>
          <w:rFonts w:ascii="Calibri" w:hAnsi="Calibri" w:cs="Calibri"/>
          <w:b/>
          <w:bCs/>
          <w:color w:val="3A7C22" w:themeColor="accent6" w:themeShade="BF"/>
        </w:rPr>
        <w:t>Cipla:</w:t>
      </w:r>
    </w:p>
    <w:p w14:paraId="0057902C" w14:textId="77777777" w:rsidR="003D08AE" w:rsidRDefault="003D08AE" w:rsidP="003D08AE">
      <w:pPr>
        <w:pStyle w:val="ListParagraph"/>
        <w:rPr>
          <w:rFonts w:ascii="Calibri" w:hAnsi="Calibri" w:cs="Calibri"/>
          <w:b/>
          <w:bCs/>
          <w:color w:val="3A7C22" w:themeColor="accent6" w:themeShade="BF"/>
        </w:rPr>
      </w:pPr>
    </w:p>
    <w:p w14:paraId="29B45FA3" w14:textId="7561AAA4" w:rsidR="003D08AE" w:rsidRPr="00BE16FB" w:rsidRDefault="003D08AE" w:rsidP="00BE16FB">
      <w:pPr>
        <w:pStyle w:val="ListParagraph"/>
        <w:ind w:left="360"/>
        <w:rPr>
          <w:rFonts w:ascii="Calibri" w:hAnsi="Calibri" w:cs="Calibri"/>
          <w:b/>
          <w:bCs/>
          <w:color w:val="3A7C22" w:themeColor="accent6" w:themeShade="BF"/>
          <w:u w:val="single"/>
        </w:rPr>
      </w:pPr>
      <w:r w:rsidRPr="00BE16FB">
        <w:rPr>
          <w:rFonts w:ascii="Calibri" w:hAnsi="Calibri" w:cs="Calibri"/>
          <w:b/>
          <w:bCs/>
          <w:color w:val="3A7C22" w:themeColor="accent6" w:themeShade="BF"/>
          <w:u w:val="single"/>
        </w:rPr>
        <w:t>CONSOLIDATED VALUATION RATIO ANALYSIS:</w:t>
      </w:r>
    </w:p>
    <w:p w14:paraId="2AB18A76" w14:textId="77777777" w:rsidR="003D08AE" w:rsidRPr="00F41773" w:rsidRDefault="003D08AE" w:rsidP="00F41773">
      <w:pPr>
        <w:pStyle w:val="ListParagraph"/>
        <w:rPr>
          <w:rFonts w:ascii="Calibri" w:hAnsi="Calibri" w:cs="Calibri"/>
          <w:b/>
          <w:bCs/>
          <w:color w:val="3A7C22" w:themeColor="accent6" w:themeShade="BF"/>
        </w:rPr>
      </w:pPr>
    </w:p>
    <w:sectPr w:rsidR="003D08AE" w:rsidRPr="00F41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92B51"/>
    <w:multiLevelType w:val="hybridMultilevel"/>
    <w:tmpl w:val="D9344D50"/>
    <w:lvl w:ilvl="0" w:tplc="7E086C0E">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B63446"/>
    <w:multiLevelType w:val="hybridMultilevel"/>
    <w:tmpl w:val="54409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D171E"/>
    <w:multiLevelType w:val="hybridMultilevel"/>
    <w:tmpl w:val="7414B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A67C95"/>
    <w:multiLevelType w:val="hybridMultilevel"/>
    <w:tmpl w:val="54409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46260D"/>
    <w:multiLevelType w:val="hybridMultilevel"/>
    <w:tmpl w:val="625E1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F50954"/>
    <w:multiLevelType w:val="hybridMultilevel"/>
    <w:tmpl w:val="1B2E0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687D74"/>
    <w:multiLevelType w:val="hybridMultilevel"/>
    <w:tmpl w:val="8BBE8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2F014F"/>
    <w:multiLevelType w:val="hybridMultilevel"/>
    <w:tmpl w:val="2EB89738"/>
    <w:lvl w:ilvl="0" w:tplc="1D9A0334">
      <w:start w:val="1"/>
      <w:numFmt w:val="bullet"/>
      <w:lvlText w:val="-"/>
      <w:lvlJc w:val="left"/>
      <w:pPr>
        <w:ind w:left="1080" w:hanging="360"/>
      </w:pPr>
      <w:rPr>
        <w:rFonts w:ascii="Calibri" w:eastAsiaTheme="minorHAnsi" w:hAnsi="Calibri" w:cs="Calibri" w:hint="default"/>
        <w:u w:val="singl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BA51942"/>
    <w:multiLevelType w:val="hybridMultilevel"/>
    <w:tmpl w:val="436CD67A"/>
    <w:lvl w:ilvl="0" w:tplc="D744F7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B4B7710"/>
    <w:multiLevelType w:val="hybridMultilevel"/>
    <w:tmpl w:val="0DFCC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455D5F"/>
    <w:multiLevelType w:val="hybridMultilevel"/>
    <w:tmpl w:val="66DEE998"/>
    <w:lvl w:ilvl="0" w:tplc="E58CB0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21681335">
    <w:abstractNumId w:val="9"/>
  </w:num>
  <w:num w:numId="2" w16cid:durableId="576088852">
    <w:abstractNumId w:val="2"/>
  </w:num>
  <w:num w:numId="3" w16cid:durableId="960956473">
    <w:abstractNumId w:val="1"/>
  </w:num>
  <w:num w:numId="4" w16cid:durableId="988291141">
    <w:abstractNumId w:val="3"/>
  </w:num>
  <w:num w:numId="5" w16cid:durableId="1259290434">
    <w:abstractNumId w:val="7"/>
  </w:num>
  <w:num w:numId="6" w16cid:durableId="1970625970">
    <w:abstractNumId w:val="0"/>
  </w:num>
  <w:num w:numId="7" w16cid:durableId="629438294">
    <w:abstractNumId w:val="10"/>
  </w:num>
  <w:num w:numId="8" w16cid:durableId="727148826">
    <w:abstractNumId w:val="6"/>
  </w:num>
  <w:num w:numId="9" w16cid:durableId="924463343">
    <w:abstractNumId w:val="8"/>
  </w:num>
  <w:num w:numId="10" w16cid:durableId="70349855">
    <w:abstractNumId w:val="5"/>
  </w:num>
  <w:num w:numId="11" w16cid:durableId="1798910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07"/>
    <w:rsid w:val="00037EF3"/>
    <w:rsid w:val="000E27CD"/>
    <w:rsid w:val="000F1AA7"/>
    <w:rsid w:val="001079A3"/>
    <w:rsid w:val="001237DD"/>
    <w:rsid w:val="00162384"/>
    <w:rsid w:val="001D0E7E"/>
    <w:rsid w:val="00231440"/>
    <w:rsid w:val="00290302"/>
    <w:rsid w:val="002953FB"/>
    <w:rsid w:val="00295FD5"/>
    <w:rsid w:val="003908CB"/>
    <w:rsid w:val="003D08AE"/>
    <w:rsid w:val="003F6135"/>
    <w:rsid w:val="00433D07"/>
    <w:rsid w:val="004C3D62"/>
    <w:rsid w:val="005201B3"/>
    <w:rsid w:val="005D7F35"/>
    <w:rsid w:val="005F1272"/>
    <w:rsid w:val="00716551"/>
    <w:rsid w:val="007B09C8"/>
    <w:rsid w:val="007F6476"/>
    <w:rsid w:val="0080717B"/>
    <w:rsid w:val="00807F17"/>
    <w:rsid w:val="008A4831"/>
    <w:rsid w:val="008B4851"/>
    <w:rsid w:val="0098281F"/>
    <w:rsid w:val="00A121B2"/>
    <w:rsid w:val="00A175CD"/>
    <w:rsid w:val="00AB3D00"/>
    <w:rsid w:val="00AE1F68"/>
    <w:rsid w:val="00B53739"/>
    <w:rsid w:val="00BB66C2"/>
    <w:rsid w:val="00BE16FB"/>
    <w:rsid w:val="00C11600"/>
    <w:rsid w:val="00C51E58"/>
    <w:rsid w:val="00D21BA5"/>
    <w:rsid w:val="00D41F8A"/>
    <w:rsid w:val="00EC6F3F"/>
    <w:rsid w:val="00F41773"/>
    <w:rsid w:val="00F84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801B4"/>
  <w15:chartTrackingRefBased/>
  <w15:docId w15:val="{6306E763-0632-4787-AED4-693B6A95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D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D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3D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3D0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3D0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3D0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3D0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D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D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33D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33D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3D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3D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3D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3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D0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D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3D07"/>
    <w:pPr>
      <w:spacing w:before="160"/>
      <w:jc w:val="center"/>
    </w:pPr>
    <w:rPr>
      <w:i/>
      <w:iCs/>
      <w:color w:val="404040" w:themeColor="text1" w:themeTint="BF"/>
    </w:rPr>
  </w:style>
  <w:style w:type="character" w:customStyle="1" w:styleId="QuoteChar">
    <w:name w:val="Quote Char"/>
    <w:basedOn w:val="DefaultParagraphFont"/>
    <w:link w:val="Quote"/>
    <w:uiPriority w:val="29"/>
    <w:rsid w:val="00433D07"/>
    <w:rPr>
      <w:i/>
      <w:iCs/>
      <w:color w:val="404040" w:themeColor="text1" w:themeTint="BF"/>
    </w:rPr>
  </w:style>
  <w:style w:type="paragraph" w:styleId="ListParagraph">
    <w:name w:val="List Paragraph"/>
    <w:basedOn w:val="Normal"/>
    <w:uiPriority w:val="34"/>
    <w:qFormat/>
    <w:rsid w:val="00433D07"/>
    <w:pPr>
      <w:ind w:left="720"/>
      <w:contextualSpacing/>
    </w:pPr>
  </w:style>
  <w:style w:type="character" w:styleId="IntenseEmphasis">
    <w:name w:val="Intense Emphasis"/>
    <w:basedOn w:val="DefaultParagraphFont"/>
    <w:uiPriority w:val="21"/>
    <w:qFormat/>
    <w:rsid w:val="00433D07"/>
    <w:rPr>
      <w:i/>
      <w:iCs/>
      <w:color w:val="0F4761" w:themeColor="accent1" w:themeShade="BF"/>
    </w:rPr>
  </w:style>
  <w:style w:type="paragraph" w:styleId="IntenseQuote">
    <w:name w:val="Intense Quote"/>
    <w:basedOn w:val="Normal"/>
    <w:next w:val="Normal"/>
    <w:link w:val="IntenseQuoteChar"/>
    <w:uiPriority w:val="30"/>
    <w:qFormat/>
    <w:rsid w:val="00433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D07"/>
    <w:rPr>
      <w:i/>
      <w:iCs/>
      <w:color w:val="0F4761" w:themeColor="accent1" w:themeShade="BF"/>
    </w:rPr>
  </w:style>
  <w:style w:type="character" w:styleId="IntenseReference">
    <w:name w:val="Intense Reference"/>
    <w:basedOn w:val="DefaultParagraphFont"/>
    <w:uiPriority w:val="32"/>
    <w:qFormat/>
    <w:rsid w:val="00433D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197439">
      <w:bodyDiv w:val="1"/>
      <w:marLeft w:val="0"/>
      <w:marRight w:val="0"/>
      <w:marTop w:val="0"/>
      <w:marBottom w:val="0"/>
      <w:divBdr>
        <w:top w:val="none" w:sz="0" w:space="0" w:color="auto"/>
        <w:left w:val="none" w:sz="0" w:space="0" w:color="auto"/>
        <w:bottom w:val="none" w:sz="0" w:space="0" w:color="auto"/>
        <w:right w:val="none" w:sz="0" w:space="0" w:color="auto"/>
      </w:divBdr>
    </w:div>
    <w:div w:id="375396400">
      <w:bodyDiv w:val="1"/>
      <w:marLeft w:val="0"/>
      <w:marRight w:val="0"/>
      <w:marTop w:val="0"/>
      <w:marBottom w:val="0"/>
      <w:divBdr>
        <w:top w:val="none" w:sz="0" w:space="0" w:color="auto"/>
        <w:left w:val="none" w:sz="0" w:space="0" w:color="auto"/>
        <w:bottom w:val="none" w:sz="0" w:space="0" w:color="auto"/>
        <w:right w:val="none" w:sz="0" w:space="0" w:color="auto"/>
      </w:divBdr>
    </w:div>
    <w:div w:id="456798559">
      <w:bodyDiv w:val="1"/>
      <w:marLeft w:val="0"/>
      <w:marRight w:val="0"/>
      <w:marTop w:val="0"/>
      <w:marBottom w:val="0"/>
      <w:divBdr>
        <w:top w:val="none" w:sz="0" w:space="0" w:color="auto"/>
        <w:left w:val="none" w:sz="0" w:space="0" w:color="auto"/>
        <w:bottom w:val="none" w:sz="0" w:space="0" w:color="auto"/>
        <w:right w:val="none" w:sz="0" w:space="0" w:color="auto"/>
      </w:divBdr>
    </w:div>
    <w:div w:id="722363331">
      <w:bodyDiv w:val="1"/>
      <w:marLeft w:val="0"/>
      <w:marRight w:val="0"/>
      <w:marTop w:val="0"/>
      <w:marBottom w:val="0"/>
      <w:divBdr>
        <w:top w:val="none" w:sz="0" w:space="0" w:color="auto"/>
        <w:left w:val="none" w:sz="0" w:space="0" w:color="auto"/>
        <w:bottom w:val="none" w:sz="0" w:space="0" w:color="auto"/>
        <w:right w:val="none" w:sz="0" w:space="0" w:color="auto"/>
      </w:divBdr>
    </w:div>
    <w:div w:id="1661928435">
      <w:bodyDiv w:val="1"/>
      <w:marLeft w:val="0"/>
      <w:marRight w:val="0"/>
      <w:marTop w:val="0"/>
      <w:marBottom w:val="0"/>
      <w:divBdr>
        <w:top w:val="none" w:sz="0" w:space="0" w:color="auto"/>
        <w:left w:val="none" w:sz="0" w:space="0" w:color="auto"/>
        <w:bottom w:val="none" w:sz="0" w:space="0" w:color="auto"/>
        <w:right w:val="none" w:sz="0" w:space="0" w:color="auto"/>
      </w:divBdr>
    </w:div>
    <w:div w:id="1861240427">
      <w:bodyDiv w:val="1"/>
      <w:marLeft w:val="0"/>
      <w:marRight w:val="0"/>
      <w:marTop w:val="0"/>
      <w:marBottom w:val="0"/>
      <w:divBdr>
        <w:top w:val="none" w:sz="0" w:space="0" w:color="auto"/>
        <w:left w:val="none" w:sz="0" w:space="0" w:color="auto"/>
        <w:bottom w:val="none" w:sz="0" w:space="0" w:color="auto"/>
        <w:right w:val="none" w:sz="0" w:space="0" w:color="auto"/>
      </w:divBdr>
    </w:div>
    <w:div w:id="194052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ithu\Desktop\MBA\Financial%20Management%20Accounting\EC1%20Assignment\Interpret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ithu\Desktop\MBA\Financial%20Management%20Accounting\EC1%20Assignment\Interpreta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ithu\Desktop\MBA\Financial%20Management%20Accounting\EC1%20Assignment\Interpreta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ithu\Desktop\MBA\Financial%20Management%20Accounting\EC1%20Assignment\Interpretation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374996124508253E-2"/>
          <c:y val="7.0665644229150684E-2"/>
          <c:w val="0.93531250636687935"/>
          <c:h val="0.79916003966315763"/>
        </c:manualLayout>
      </c:layout>
      <c:barChart>
        <c:barDir val="col"/>
        <c:grouping val="clustered"/>
        <c:varyColors val="0"/>
        <c:ser>
          <c:idx val="0"/>
          <c:order val="0"/>
          <c:tx>
            <c:strRef>
              <c:f>Sheet2!$B$2</c:f>
              <c:strCache>
                <c:ptCount val="1"/>
                <c:pt idx="0">
                  <c:v>2024</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Sheet2!$A$3:$A$5</c:f>
              <c:strCache>
                <c:ptCount val="3"/>
                <c:pt idx="0">
                  <c:v>Current Ratio</c:v>
                </c:pt>
                <c:pt idx="1">
                  <c:v>Quick Ratio</c:v>
                </c:pt>
                <c:pt idx="2">
                  <c:v>Absolute Cash Ratio</c:v>
                </c:pt>
              </c:strCache>
            </c:strRef>
          </c:cat>
          <c:val>
            <c:numRef>
              <c:f>Sheet2!$B$3:$B$5</c:f>
              <c:numCache>
                <c:formatCode>General</c:formatCode>
                <c:ptCount val="3"/>
                <c:pt idx="0">
                  <c:v>2.56</c:v>
                </c:pt>
                <c:pt idx="1">
                  <c:v>1.98</c:v>
                </c:pt>
                <c:pt idx="2">
                  <c:v>1.1200000000000001</c:v>
                </c:pt>
              </c:numCache>
            </c:numRef>
          </c:val>
          <c:extLst>
            <c:ext xmlns:c16="http://schemas.microsoft.com/office/drawing/2014/chart" uri="{C3380CC4-5D6E-409C-BE32-E72D297353CC}">
              <c16:uniqueId val="{00000000-6215-4B42-8A1D-A65112F03C96}"/>
            </c:ext>
          </c:extLst>
        </c:ser>
        <c:ser>
          <c:idx val="1"/>
          <c:order val="1"/>
          <c:tx>
            <c:strRef>
              <c:f>Sheet2!$C$2</c:f>
              <c:strCache>
                <c:ptCount val="1"/>
                <c:pt idx="0">
                  <c:v>2023</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Sheet2!$A$3:$A$5</c:f>
              <c:strCache>
                <c:ptCount val="3"/>
                <c:pt idx="0">
                  <c:v>Current Ratio</c:v>
                </c:pt>
                <c:pt idx="1">
                  <c:v>Quick Ratio</c:v>
                </c:pt>
                <c:pt idx="2">
                  <c:v>Absolute Cash Ratio</c:v>
                </c:pt>
              </c:strCache>
            </c:strRef>
          </c:cat>
          <c:val>
            <c:numRef>
              <c:f>Sheet2!$C$3:$C$5</c:f>
              <c:numCache>
                <c:formatCode>General</c:formatCode>
                <c:ptCount val="3"/>
                <c:pt idx="0">
                  <c:v>2</c:v>
                </c:pt>
                <c:pt idx="1">
                  <c:v>1.48</c:v>
                </c:pt>
                <c:pt idx="2">
                  <c:v>0.76</c:v>
                </c:pt>
              </c:numCache>
            </c:numRef>
          </c:val>
          <c:extLst>
            <c:ext xmlns:c16="http://schemas.microsoft.com/office/drawing/2014/chart" uri="{C3380CC4-5D6E-409C-BE32-E72D297353CC}">
              <c16:uniqueId val="{00000001-6215-4B42-8A1D-A65112F03C96}"/>
            </c:ext>
          </c:extLst>
        </c:ser>
        <c:ser>
          <c:idx val="2"/>
          <c:order val="2"/>
          <c:tx>
            <c:strRef>
              <c:f>Sheet2!$D$2</c:f>
              <c:strCache>
                <c:ptCount val="1"/>
                <c:pt idx="0">
                  <c:v>2022</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Sheet2!$A$3:$A$5</c:f>
              <c:strCache>
                <c:ptCount val="3"/>
                <c:pt idx="0">
                  <c:v>Current Ratio</c:v>
                </c:pt>
                <c:pt idx="1">
                  <c:v>Quick Ratio</c:v>
                </c:pt>
                <c:pt idx="2">
                  <c:v>Absolute Cash Ratio</c:v>
                </c:pt>
              </c:strCache>
            </c:strRef>
          </c:cat>
          <c:val>
            <c:numRef>
              <c:f>Sheet2!$D$3:$D$5</c:f>
              <c:numCache>
                <c:formatCode>General</c:formatCode>
                <c:ptCount val="3"/>
                <c:pt idx="0">
                  <c:v>2.04</c:v>
                </c:pt>
                <c:pt idx="1">
                  <c:v>1.51</c:v>
                </c:pt>
                <c:pt idx="2">
                  <c:v>0.74</c:v>
                </c:pt>
              </c:numCache>
            </c:numRef>
          </c:val>
          <c:extLst>
            <c:ext xmlns:c16="http://schemas.microsoft.com/office/drawing/2014/chart" uri="{C3380CC4-5D6E-409C-BE32-E72D297353CC}">
              <c16:uniqueId val="{00000002-6215-4B42-8A1D-A65112F03C96}"/>
            </c:ext>
          </c:extLst>
        </c:ser>
        <c:ser>
          <c:idx val="3"/>
          <c:order val="3"/>
          <c:tx>
            <c:strRef>
              <c:f>Sheet2!$E$2</c:f>
              <c:strCache>
                <c:ptCount val="1"/>
                <c:pt idx="0">
                  <c:v>2021</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Sheet2!$A$3:$A$5</c:f>
              <c:strCache>
                <c:ptCount val="3"/>
                <c:pt idx="0">
                  <c:v>Current Ratio</c:v>
                </c:pt>
                <c:pt idx="1">
                  <c:v>Quick Ratio</c:v>
                </c:pt>
                <c:pt idx="2">
                  <c:v>Absolute Cash Ratio</c:v>
                </c:pt>
              </c:strCache>
            </c:strRef>
          </c:cat>
          <c:val>
            <c:numRef>
              <c:f>Sheet2!$E$3:$E$5</c:f>
              <c:numCache>
                <c:formatCode>General</c:formatCode>
                <c:ptCount val="3"/>
                <c:pt idx="0">
                  <c:v>1.89</c:v>
                </c:pt>
                <c:pt idx="1">
                  <c:v>1.33</c:v>
                </c:pt>
                <c:pt idx="2">
                  <c:v>0.59</c:v>
                </c:pt>
              </c:numCache>
            </c:numRef>
          </c:val>
          <c:extLst>
            <c:ext xmlns:c16="http://schemas.microsoft.com/office/drawing/2014/chart" uri="{C3380CC4-5D6E-409C-BE32-E72D297353CC}">
              <c16:uniqueId val="{00000003-6215-4B42-8A1D-A65112F03C96}"/>
            </c:ext>
          </c:extLst>
        </c:ser>
        <c:dLbls>
          <c:dLblPos val="inEnd"/>
          <c:showLegendKey val="0"/>
          <c:showVal val="1"/>
          <c:showCatName val="0"/>
          <c:showSerName val="0"/>
          <c:showPercent val="0"/>
          <c:showBubbleSize val="0"/>
        </c:dLbls>
        <c:gapWidth val="65"/>
        <c:axId val="95297231"/>
        <c:axId val="95296751"/>
      </c:barChart>
      <c:catAx>
        <c:axId val="95297231"/>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5296751"/>
        <c:crosses val="autoZero"/>
        <c:auto val="1"/>
        <c:lblAlgn val="ctr"/>
        <c:lblOffset val="100"/>
        <c:noMultiLvlLbl val="0"/>
      </c:catAx>
      <c:valAx>
        <c:axId val="95296751"/>
        <c:scaling>
          <c:orientation val="minMax"/>
        </c:scaling>
        <c:delete val="1"/>
        <c:axPos val="l"/>
        <c:numFmt formatCode="General" sourceLinked="1"/>
        <c:majorTickMark val="none"/>
        <c:minorTickMark val="none"/>
        <c:tickLblPos val="nextTo"/>
        <c:crossAx val="95297231"/>
        <c:crosses val="autoZero"/>
        <c:crossBetween val="between"/>
      </c:valAx>
      <c:spPr>
        <a:noFill/>
        <a:ln>
          <a:noFill/>
        </a:ln>
        <a:effectLst/>
      </c:spPr>
    </c:plotArea>
    <c:legend>
      <c:legendPos val="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2374755011518753E-2"/>
          <c:y val="0.14294036162146398"/>
          <c:w val="0.94009249389677818"/>
          <c:h val="0.66220618256051322"/>
        </c:manualLayout>
      </c:layout>
      <c:barChart>
        <c:barDir val="col"/>
        <c:grouping val="clustered"/>
        <c:varyColors val="0"/>
        <c:ser>
          <c:idx val="0"/>
          <c:order val="0"/>
          <c:tx>
            <c:strRef>
              <c:f>Sheet2!$B$22</c:f>
              <c:strCache>
                <c:ptCount val="1"/>
                <c:pt idx="0">
                  <c:v>2024</c:v>
                </c:pt>
              </c:strCache>
            </c:strRef>
          </c:tx>
          <c:spPr>
            <a:solidFill>
              <a:schemeClr val="accent1"/>
            </a:solidFill>
            <a:ln>
              <a:noFill/>
            </a:ln>
            <a:effectLst/>
          </c:spPr>
          <c:invertIfNegative val="0"/>
          <c:cat>
            <c:strRef>
              <c:f>Sheet2!$A$23:$A$28</c:f>
              <c:strCache>
                <c:ptCount val="6"/>
                <c:pt idx="0">
                  <c:v>Gross Profit Ratio</c:v>
                </c:pt>
                <c:pt idx="1">
                  <c:v>Net Profit Ratio</c:v>
                </c:pt>
                <c:pt idx="2">
                  <c:v>Operating Profit Ratio</c:v>
                </c:pt>
                <c:pt idx="3">
                  <c:v>Return on Equity</c:v>
                </c:pt>
                <c:pt idx="4">
                  <c:v>Return on Capital Employed</c:v>
                </c:pt>
                <c:pt idx="5">
                  <c:v>Earnings Per Share</c:v>
                </c:pt>
              </c:strCache>
            </c:strRef>
          </c:cat>
          <c:val>
            <c:numRef>
              <c:f>Sheet2!$B$23:$B$28</c:f>
              <c:numCache>
                <c:formatCode>General</c:formatCode>
                <c:ptCount val="6"/>
                <c:pt idx="0">
                  <c:v>57.27</c:v>
                </c:pt>
                <c:pt idx="1">
                  <c:v>19.350000000000001</c:v>
                </c:pt>
                <c:pt idx="2">
                  <c:v>20.059999999999999</c:v>
                </c:pt>
                <c:pt idx="3">
                  <c:v>15.15</c:v>
                </c:pt>
                <c:pt idx="4">
                  <c:v>14.96</c:v>
                </c:pt>
                <c:pt idx="5">
                  <c:v>40.21</c:v>
                </c:pt>
              </c:numCache>
            </c:numRef>
          </c:val>
          <c:extLst>
            <c:ext xmlns:c16="http://schemas.microsoft.com/office/drawing/2014/chart" uri="{C3380CC4-5D6E-409C-BE32-E72D297353CC}">
              <c16:uniqueId val="{00000000-4BDD-4BBC-8838-44DA7B484DC7}"/>
            </c:ext>
          </c:extLst>
        </c:ser>
        <c:ser>
          <c:idx val="1"/>
          <c:order val="1"/>
          <c:tx>
            <c:strRef>
              <c:f>Sheet2!$C$22</c:f>
              <c:strCache>
                <c:ptCount val="1"/>
                <c:pt idx="0">
                  <c:v>2023</c:v>
                </c:pt>
              </c:strCache>
            </c:strRef>
          </c:tx>
          <c:spPr>
            <a:solidFill>
              <a:schemeClr val="accent2"/>
            </a:solidFill>
            <a:ln>
              <a:noFill/>
            </a:ln>
            <a:effectLst/>
          </c:spPr>
          <c:invertIfNegative val="0"/>
          <c:cat>
            <c:strRef>
              <c:f>Sheet2!$A$23:$A$28</c:f>
              <c:strCache>
                <c:ptCount val="6"/>
                <c:pt idx="0">
                  <c:v>Gross Profit Ratio</c:v>
                </c:pt>
                <c:pt idx="1">
                  <c:v>Net Profit Ratio</c:v>
                </c:pt>
                <c:pt idx="2">
                  <c:v>Operating Profit Ratio</c:v>
                </c:pt>
                <c:pt idx="3">
                  <c:v>Return on Equity</c:v>
                </c:pt>
                <c:pt idx="4">
                  <c:v>Return on Capital Employed</c:v>
                </c:pt>
                <c:pt idx="5">
                  <c:v>Earnings Per Share</c:v>
                </c:pt>
              </c:strCache>
            </c:strRef>
          </c:cat>
          <c:val>
            <c:numRef>
              <c:f>Sheet2!$C$23:$C$28</c:f>
              <c:numCache>
                <c:formatCode>General</c:formatCode>
                <c:ptCount val="6"/>
                <c:pt idx="0">
                  <c:v>55.52</c:v>
                </c:pt>
                <c:pt idx="1">
                  <c:v>19.23</c:v>
                </c:pt>
                <c:pt idx="2">
                  <c:v>19.39</c:v>
                </c:pt>
                <c:pt idx="3">
                  <c:v>15.29</c:v>
                </c:pt>
                <c:pt idx="4">
                  <c:v>14.8</c:v>
                </c:pt>
                <c:pt idx="5">
                  <c:v>35.68</c:v>
                </c:pt>
              </c:numCache>
            </c:numRef>
          </c:val>
          <c:extLst>
            <c:ext xmlns:c16="http://schemas.microsoft.com/office/drawing/2014/chart" uri="{C3380CC4-5D6E-409C-BE32-E72D297353CC}">
              <c16:uniqueId val="{00000001-4BDD-4BBC-8838-44DA7B484DC7}"/>
            </c:ext>
          </c:extLst>
        </c:ser>
        <c:ser>
          <c:idx val="2"/>
          <c:order val="2"/>
          <c:tx>
            <c:strRef>
              <c:f>Sheet2!$D$22</c:f>
              <c:strCache>
                <c:ptCount val="1"/>
                <c:pt idx="0">
                  <c:v>2022</c:v>
                </c:pt>
              </c:strCache>
            </c:strRef>
          </c:tx>
          <c:spPr>
            <a:solidFill>
              <a:schemeClr val="accent3"/>
            </a:solidFill>
            <a:ln>
              <a:noFill/>
            </a:ln>
            <a:effectLst/>
          </c:spPr>
          <c:invertIfNegative val="0"/>
          <c:cat>
            <c:strRef>
              <c:f>Sheet2!$A$23:$A$28</c:f>
              <c:strCache>
                <c:ptCount val="6"/>
                <c:pt idx="0">
                  <c:v>Gross Profit Ratio</c:v>
                </c:pt>
                <c:pt idx="1">
                  <c:v>Net Profit Ratio</c:v>
                </c:pt>
                <c:pt idx="2">
                  <c:v>Operating Profit Ratio</c:v>
                </c:pt>
                <c:pt idx="3">
                  <c:v>Return on Equity</c:v>
                </c:pt>
                <c:pt idx="4">
                  <c:v>Return on Capital Employed</c:v>
                </c:pt>
                <c:pt idx="5">
                  <c:v>Earnings Per Share</c:v>
                </c:pt>
              </c:strCache>
            </c:strRef>
          </c:cat>
          <c:val>
            <c:numRef>
              <c:f>Sheet2!$D$23:$D$28</c:f>
              <c:numCache>
                <c:formatCode>General</c:formatCode>
                <c:ptCount val="6"/>
                <c:pt idx="0">
                  <c:v>52.89</c:v>
                </c:pt>
                <c:pt idx="1">
                  <c:v>8.61</c:v>
                </c:pt>
                <c:pt idx="2">
                  <c:v>20.76</c:v>
                </c:pt>
                <c:pt idx="3">
                  <c:v>7.09</c:v>
                </c:pt>
                <c:pt idx="4">
                  <c:v>16.2</c:v>
                </c:pt>
                <c:pt idx="5">
                  <c:v>14.2</c:v>
                </c:pt>
              </c:numCache>
            </c:numRef>
          </c:val>
          <c:extLst>
            <c:ext xmlns:c16="http://schemas.microsoft.com/office/drawing/2014/chart" uri="{C3380CC4-5D6E-409C-BE32-E72D297353CC}">
              <c16:uniqueId val="{00000002-4BDD-4BBC-8838-44DA7B484DC7}"/>
            </c:ext>
          </c:extLst>
        </c:ser>
        <c:ser>
          <c:idx val="3"/>
          <c:order val="3"/>
          <c:tx>
            <c:strRef>
              <c:f>Sheet2!$E$22</c:f>
              <c:strCache>
                <c:ptCount val="1"/>
                <c:pt idx="0">
                  <c:v>2021</c:v>
                </c:pt>
              </c:strCache>
            </c:strRef>
          </c:tx>
          <c:spPr>
            <a:solidFill>
              <a:schemeClr val="accent4"/>
            </a:solidFill>
            <a:ln>
              <a:noFill/>
            </a:ln>
            <a:effectLst/>
          </c:spPr>
          <c:invertIfNegative val="0"/>
          <c:cat>
            <c:strRef>
              <c:f>Sheet2!$A$23:$A$28</c:f>
              <c:strCache>
                <c:ptCount val="6"/>
                <c:pt idx="0">
                  <c:v>Gross Profit Ratio</c:v>
                </c:pt>
                <c:pt idx="1">
                  <c:v>Net Profit Ratio</c:v>
                </c:pt>
                <c:pt idx="2">
                  <c:v>Operating Profit Ratio</c:v>
                </c:pt>
                <c:pt idx="3">
                  <c:v>Return on Equity</c:v>
                </c:pt>
                <c:pt idx="4">
                  <c:v>Return on Capital Employed</c:v>
                </c:pt>
                <c:pt idx="5">
                  <c:v>Earnings Per Share</c:v>
                </c:pt>
              </c:strCache>
            </c:strRef>
          </c:cat>
          <c:val>
            <c:numRef>
              <c:f>Sheet2!$E$23:$E$28</c:f>
              <c:numCache>
                <c:formatCode>General</c:formatCode>
                <c:ptCount val="6"/>
                <c:pt idx="0">
                  <c:v>53.57</c:v>
                </c:pt>
                <c:pt idx="1">
                  <c:v>6.65</c:v>
                </c:pt>
                <c:pt idx="2">
                  <c:v>18.07</c:v>
                </c:pt>
                <c:pt idx="3">
                  <c:v>4.92</c:v>
                </c:pt>
                <c:pt idx="4">
                  <c:v>12.48</c:v>
                </c:pt>
                <c:pt idx="5">
                  <c:v>9.52</c:v>
                </c:pt>
              </c:numCache>
            </c:numRef>
          </c:val>
          <c:extLst>
            <c:ext xmlns:c16="http://schemas.microsoft.com/office/drawing/2014/chart" uri="{C3380CC4-5D6E-409C-BE32-E72D297353CC}">
              <c16:uniqueId val="{00000003-4BDD-4BBC-8838-44DA7B484DC7}"/>
            </c:ext>
          </c:extLst>
        </c:ser>
        <c:dLbls>
          <c:showLegendKey val="0"/>
          <c:showVal val="0"/>
          <c:showCatName val="0"/>
          <c:showSerName val="0"/>
          <c:showPercent val="0"/>
          <c:showBubbleSize val="0"/>
        </c:dLbls>
        <c:gapWidth val="199"/>
        <c:axId val="142565887"/>
        <c:axId val="142555807"/>
      </c:barChart>
      <c:catAx>
        <c:axId val="142565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42555807"/>
        <c:crosses val="autoZero"/>
        <c:auto val="1"/>
        <c:lblAlgn val="ctr"/>
        <c:lblOffset val="100"/>
        <c:noMultiLvlLbl val="0"/>
      </c:catAx>
      <c:valAx>
        <c:axId val="1425558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56588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2024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Debt-Equity Ratio</c:v>
                </c:pt>
                <c:pt idx="1">
                  <c:v>Proprietary Ratio</c:v>
                </c:pt>
                <c:pt idx="2">
                  <c:v>Interest Coverage Ratio</c:v>
                </c:pt>
              </c:strCache>
            </c:strRef>
          </c:cat>
          <c:val>
            <c:numRef>
              <c:f>Sheet1!$B$2:$B$4</c:f>
              <c:numCache>
                <c:formatCode>General</c:formatCode>
                <c:ptCount val="3"/>
                <c:pt idx="0">
                  <c:v>0.02</c:v>
                </c:pt>
                <c:pt idx="1">
                  <c:v>0.74</c:v>
                </c:pt>
                <c:pt idx="2">
                  <c:v>40.79</c:v>
                </c:pt>
              </c:numCache>
            </c:numRef>
          </c:val>
          <c:extLst>
            <c:ext xmlns:c16="http://schemas.microsoft.com/office/drawing/2014/chart" uri="{C3380CC4-5D6E-409C-BE32-E72D297353CC}">
              <c16:uniqueId val="{00000000-CE1F-449C-8156-C0BA1D1DB864}"/>
            </c:ext>
          </c:extLst>
        </c:ser>
        <c:ser>
          <c:idx val="1"/>
          <c:order val="1"/>
          <c:tx>
            <c:strRef>
              <c:f>Sheet1!$C$1</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Debt-Equity Ratio</c:v>
                </c:pt>
                <c:pt idx="1">
                  <c:v>Proprietary Ratio</c:v>
                </c:pt>
                <c:pt idx="2">
                  <c:v>Interest Coverage Ratio</c:v>
                </c:pt>
              </c:strCache>
            </c:strRef>
          </c:cat>
          <c:val>
            <c:numRef>
              <c:f>Sheet1!$C$2:$C$4</c:f>
              <c:numCache>
                <c:formatCode>General</c:formatCode>
                <c:ptCount val="3"/>
                <c:pt idx="0">
                  <c:v>0.03</c:v>
                </c:pt>
                <c:pt idx="1">
                  <c:v>0.69</c:v>
                </c:pt>
                <c:pt idx="2">
                  <c:v>49.48</c:v>
                </c:pt>
              </c:numCache>
            </c:numRef>
          </c:val>
          <c:extLst>
            <c:ext xmlns:c16="http://schemas.microsoft.com/office/drawing/2014/chart" uri="{C3380CC4-5D6E-409C-BE32-E72D297353CC}">
              <c16:uniqueId val="{00000001-CE1F-449C-8156-C0BA1D1DB864}"/>
            </c:ext>
          </c:extLst>
        </c:ser>
        <c:ser>
          <c:idx val="2"/>
          <c:order val="2"/>
          <c:tx>
            <c:strRef>
              <c:f>Sheet1!$D$1</c:f>
              <c:strCache>
                <c:ptCount val="1"/>
                <c:pt idx="0">
                  <c:v>2022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Debt-Equity Ratio</c:v>
                </c:pt>
                <c:pt idx="1">
                  <c:v>Proprietary Ratio</c:v>
                </c:pt>
                <c:pt idx="2">
                  <c:v>Interest Coverage Ratio</c:v>
                </c:pt>
              </c:strCache>
            </c:strRef>
          </c:cat>
          <c:val>
            <c:numRef>
              <c:f>Sheet1!$D$2:$D$4</c:f>
              <c:numCache>
                <c:formatCode>General</c:formatCode>
                <c:ptCount val="3"/>
                <c:pt idx="0">
                  <c:v>0.03</c:v>
                </c:pt>
                <c:pt idx="1">
                  <c:v>0.69</c:v>
                </c:pt>
                <c:pt idx="2">
                  <c:v>63.02</c:v>
                </c:pt>
              </c:numCache>
            </c:numRef>
          </c:val>
          <c:extLst>
            <c:ext xmlns:c16="http://schemas.microsoft.com/office/drawing/2014/chart" uri="{C3380CC4-5D6E-409C-BE32-E72D297353CC}">
              <c16:uniqueId val="{00000002-CE1F-449C-8156-C0BA1D1DB864}"/>
            </c:ext>
          </c:extLst>
        </c:ser>
        <c:ser>
          <c:idx val="3"/>
          <c:order val="3"/>
          <c:tx>
            <c:strRef>
              <c:f>Sheet1!$E$1</c:f>
              <c:strCache>
                <c:ptCount val="1"/>
                <c:pt idx="0">
                  <c:v>2021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Debt-Equity Ratio</c:v>
                </c:pt>
                <c:pt idx="1">
                  <c:v>Proprietary Ratio</c:v>
                </c:pt>
                <c:pt idx="2">
                  <c:v>Interest Coverage Ratio</c:v>
                </c:pt>
              </c:strCache>
            </c:strRef>
          </c:cat>
          <c:val>
            <c:numRef>
              <c:f>Sheet1!$E$2:$E$4</c:f>
              <c:numCache>
                <c:formatCode>General</c:formatCode>
                <c:ptCount val="3"/>
                <c:pt idx="0">
                  <c:v>0.04</c:v>
                </c:pt>
                <c:pt idx="1">
                  <c:v>0.69</c:v>
                </c:pt>
                <c:pt idx="2">
                  <c:v>42.79</c:v>
                </c:pt>
              </c:numCache>
            </c:numRef>
          </c:val>
          <c:extLst>
            <c:ext xmlns:c16="http://schemas.microsoft.com/office/drawing/2014/chart" uri="{C3380CC4-5D6E-409C-BE32-E72D297353CC}">
              <c16:uniqueId val="{00000003-CE1F-449C-8156-C0BA1D1DB864}"/>
            </c:ext>
          </c:extLst>
        </c:ser>
        <c:dLbls>
          <c:dLblPos val="outEnd"/>
          <c:showLegendKey val="0"/>
          <c:showVal val="1"/>
          <c:showCatName val="0"/>
          <c:showSerName val="0"/>
          <c:showPercent val="0"/>
          <c:showBubbleSize val="0"/>
        </c:dLbls>
        <c:gapWidth val="219"/>
        <c:overlap val="-27"/>
        <c:axId val="147834959"/>
        <c:axId val="147833519"/>
      </c:barChart>
      <c:catAx>
        <c:axId val="147834959"/>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833519"/>
        <c:crosses val="autoZero"/>
        <c:auto val="1"/>
        <c:lblAlgn val="ctr"/>
        <c:lblOffset val="100"/>
        <c:noMultiLvlLbl val="0"/>
      </c:catAx>
      <c:valAx>
        <c:axId val="147833519"/>
        <c:scaling>
          <c:orientation val="minMax"/>
        </c:scaling>
        <c:delete val="1"/>
        <c:axPos val="l"/>
        <c:numFmt formatCode="General" sourceLinked="1"/>
        <c:majorTickMark val="out"/>
        <c:minorTickMark val="none"/>
        <c:tickLblPos val="nextTo"/>
        <c:crossAx val="1478349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Sheet1!$B$6</c:f>
              <c:strCache>
                <c:ptCount val="1"/>
                <c:pt idx="0">
                  <c:v>2024</c:v>
                </c:pt>
              </c:strCache>
            </c:strRef>
          </c:tx>
          <c:spPr>
            <a:solidFill>
              <a:schemeClr val="accent2">
                <a:shade val="5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Sheet1!$A$7:$A$8</c:f>
              <c:strCache>
                <c:ptCount val="2"/>
                <c:pt idx="0">
                  <c:v>Price Earnings (PE) RATIO</c:v>
                </c:pt>
                <c:pt idx="1">
                  <c:v>Price to Book (PB) RATIO</c:v>
                </c:pt>
              </c:strCache>
            </c:strRef>
          </c:cat>
          <c:val>
            <c:numRef>
              <c:f>Sheet1!$B$7:$B$8</c:f>
              <c:numCache>
                <c:formatCode>General</c:formatCode>
                <c:ptCount val="2"/>
                <c:pt idx="0">
                  <c:v>46.26</c:v>
                </c:pt>
                <c:pt idx="1">
                  <c:v>7.01</c:v>
                </c:pt>
              </c:numCache>
            </c:numRef>
          </c:val>
          <c:extLst>
            <c:ext xmlns:c16="http://schemas.microsoft.com/office/drawing/2014/chart" uri="{C3380CC4-5D6E-409C-BE32-E72D297353CC}">
              <c16:uniqueId val="{00000000-9E47-4344-814E-671B7EE2BBA0}"/>
            </c:ext>
          </c:extLst>
        </c:ser>
        <c:ser>
          <c:idx val="1"/>
          <c:order val="1"/>
          <c:tx>
            <c:strRef>
              <c:f>Sheet1!$C$6</c:f>
              <c:strCache>
                <c:ptCount val="1"/>
                <c:pt idx="0">
                  <c:v>2023</c:v>
                </c:pt>
              </c:strCache>
            </c:strRef>
          </c:tx>
          <c:spPr>
            <a:solidFill>
              <a:schemeClr val="accent2">
                <a:shade val="8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Sheet1!$A$7:$A$8</c:f>
              <c:strCache>
                <c:ptCount val="2"/>
                <c:pt idx="0">
                  <c:v>Price Earnings (PE) RATIO</c:v>
                </c:pt>
                <c:pt idx="1">
                  <c:v>Price to Book (PB) RATIO</c:v>
                </c:pt>
              </c:strCache>
            </c:strRef>
          </c:cat>
          <c:val>
            <c:numRef>
              <c:f>Sheet1!$C$7:$C$8</c:f>
              <c:numCache>
                <c:formatCode>General</c:formatCode>
                <c:ptCount val="2"/>
                <c:pt idx="0">
                  <c:v>35.299999999999997</c:v>
                </c:pt>
                <c:pt idx="1">
                  <c:v>5.4</c:v>
                </c:pt>
              </c:numCache>
            </c:numRef>
          </c:val>
          <c:extLst>
            <c:ext xmlns:c16="http://schemas.microsoft.com/office/drawing/2014/chart" uri="{C3380CC4-5D6E-409C-BE32-E72D297353CC}">
              <c16:uniqueId val="{00000001-9E47-4344-814E-671B7EE2BBA0}"/>
            </c:ext>
          </c:extLst>
        </c:ser>
        <c:ser>
          <c:idx val="2"/>
          <c:order val="2"/>
          <c:tx>
            <c:strRef>
              <c:f>Sheet1!$D$6</c:f>
              <c:strCache>
                <c:ptCount val="1"/>
                <c:pt idx="0">
                  <c:v>2022</c:v>
                </c:pt>
              </c:strCache>
            </c:strRef>
          </c:tx>
          <c:spPr>
            <a:solidFill>
              <a:schemeClr val="accent2">
                <a:tint val="8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Sheet1!$A$7:$A$8</c:f>
              <c:strCache>
                <c:ptCount val="2"/>
                <c:pt idx="0">
                  <c:v>Price Earnings (PE) RATIO</c:v>
                </c:pt>
                <c:pt idx="1">
                  <c:v>Price to Book (PB) RATIO</c:v>
                </c:pt>
              </c:strCache>
            </c:strRef>
          </c:cat>
          <c:val>
            <c:numRef>
              <c:f>Sheet1!$D$7:$D$8</c:f>
              <c:numCache>
                <c:formatCode>General</c:formatCode>
                <c:ptCount val="2"/>
                <c:pt idx="0">
                  <c:v>70.5</c:v>
                </c:pt>
                <c:pt idx="1">
                  <c:v>5</c:v>
                </c:pt>
              </c:numCache>
            </c:numRef>
          </c:val>
          <c:extLst>
            <c:ext xmlns:c16="http://schemas.microsoft.com/office/drawing/2014/chart" uri="{C3380CC4-5D6E-409C-BE32-E72D297353CC}">
              <c16:uniqueId val="{00000002-9E47-4344-814E-671B7EE2BBA0}"/>
            </c:ext>
          </c:extLst>
        </c:ser>
        <c:ser>
          <c:idx val="3"/>
          <c:order val="3"/>
          <c:tx>
            <c:strRef>
              <c:f>Sheet1!$E$6</c:f>
              <c:strCache>
                <c:ptCount val="1"/>
                <c:pt idx="0">
                  <c:v>2021</c:v>
                </c:pt>
              </c:strCache>
            </c:strRef>
          </c:tx>
          <c:spPr>
            <a:solidFill>
              <a:schemeClr val="accent2">
                <a:tint val="5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Sheet1!$A$7:$A$8</c:f>
              <c:strCache>
                <c:ptCount val="2"/>
                <c:pt idx="0">
                  <c:v>Price Earnings (PE) RATIO</c:v>
                </c:pt>
                <c:pt idx="1">
                  <c:v>Price to Book (PB) RATIO</c:v>
                </c:pt>
              </c:strCache>
            </c:strRef>
          </c:cat>
          <c:val>
            <c:numRef>
              <c:f>Sheet1!$E$7:$E$8</c:f>
              <c:numCache>
                <c:formatCode>General</c:formatCode>
                <c:ptCount val="2"/>
                <c:pt idx="0">
                  <c:v>88.78</c:v>
                </c:pt>
                <c:pt idx="1">
                  <c:v>4.37</c:v>
                </c:pt>
              </c:numCache>
            </c:numRef>
          </c:val>
          <c:extLst>
            <c:ext xmlns:c16="http://schemas.microsoft.com/office/drawing/2014/chart" uri="{C3380CC4-5D6E-409C-BE32-E72D297353CC}">
              <c16:uniqueId val="{00000003-9E47-4344-814E-671B7EE2BBA0}"/>
            </c:ext>
          </c:extLst>
        </c:ser>
        <c:dLbls>
          <c:dLblPos val="outEnd"/>
          <c:showLegendKey val="0"/>
          <c:showVal val="1"/>
          <c:showCatName val="0"/>
          <c:showSerName val="0"/>
          <c:showPercent val="0"/>
          <c:showBubbleSize val="0"/>
        </c:dLbls>
        <c:gapWidth val="444"/>
        <c:overlap val="-90"/>
        <c:axId val="1820490416"/>
        <c:axId val="1820492336"/>
      </c:barChart>
      <c:catAx>
        <c:axId val="1820490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20492336"/>
        <c:crosses val="autoZero"/>
        <c:auto val="1"/>
        <c:lblAlgn val="ctr"/>
        <c:lblOffset val="100"/>
        <c:noMultiLvlLbl val="0"/>
      </c:catAx>
      <c:valAx>
        <c:axId val="1820492336"/>
        <c:scaling>
          <c:orientation val="minMax"/>
        </c:scaling>
        <c:delete val="1"/>
        <c:axPos val="l"/>
        <c:numFmt formatCode="General" sourceLinked="1"/>
        <c:majorTickMark val="none"/>
        <c:minorTickMark val="none"/>
        <c:tickLblPos val="nextTo"/>
        <c:crossAx val="1820490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637</TotalTime>
  <Pages>6</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C .</dc:creator>
  <cp:keywords/>
  <dc:description/>
  <cp:lastModifiedBy>KIRUTHIKA C .</cp:lastModifiedBy>
  <cp:revision>9</cp:revision>
  <dcterms:created xsi:type="dcterms:W3CDTF">2024-11-02T17:42:00Z</dcterms:created>
  <dcterms:modified xsi:type="dcterms:W3CDTF">2024-11-03T21:08:00Z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5cab5240-e72c-478c-a9a1-ebff898d0d9f</vt:lpwstr>
  </property>
</Properties>
</file>