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Microsoft YaHei" w:hAnsi="Microsoft YaHei" w:eastAsia="Microsoft YaHei"/>
          <w:b/>
          <w:color w:val="1F4E78"/>
          <w:sz w:val="48"/>
        </w:rPr>
        <w:t>RAG 分享稿（增强版）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546A"/>
          <w:sz w:val="24"/>
        </w:rPr>
        <w:t>面向内部技术分享的结构优化、内容补强与可讲化整理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5B6573"/>
          <w:sz w:val="22"/>
        </w:rPr>
        <w:t>适用场景：RAG 基础认知 / 企业级落地 / 从 Demo 走向生产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9FBAD0"/>
          <w:left w:val="single" w:sz="8" w:color="9FBAD0"/>
          <w:bottom w:val="single" w:sz="8" w:color="9FBAD0"/>
          <w:right w:val="single" w:sz="8" w:color="9FBAD0"/>
          <w:insideH w:val="single" w:sz="8" w:color="9FBAD0"/>
          <w:insideV w:val="single" w:sz="8" w:color="9FBAD0"/>
        </w:tblBorders>
      </w:tblPr>
      <w:tblGrid>
        <w:gridCol w:w="8957"/>
      </w:tblGrid>
      <w:tr>
        <w:tc>
          <w:tcPr>
            <w:tcW w:type="dxa" w:w="974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line="312" w:lineRule="auto"/>
            </w:pPr>
            <w:r>
              <w:rPr>
                <w:rFonts w:ascii="Microsoft YaHei" w:hAnsi="Microsoft YaHei" w:eastAsia="Microsoft YaHei"/>
                <w:b/>
                <w:color w:val="1F1F1F"/>
                <w:sz w:val="22"/>
              </w:rPr>
              <w:t>一句话主线：RAG 不是“让模型更聪明”，而是“让模型回答时有依据、可更新、可追溯”，因此它非常适合企业知识问答、客服辅助、内部助手等场景。</w:t>
            </w:r>
          </w:p>
        </w:tc>
      </w:tr>
    </w:tbl>
    <w:p>
      <w:pPr>
        <w:spacing w:before="160" w:after="0" w:line="324" w:lineRule="auto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整理说明：本版在保留你原始主线“概念—架构—Demo—工程化”的基础上，补强了术语解释、生产化视角、常见误区与演讲话术。</w:t>
      </w:r>
    </w:p>
    <w:p>
      <w:r>
        <w:br w:type="page"/>
      </w:r>
    </w:p>
    <w:p>
      <w:pPr>
        <w:pStyle w:val="Heading1"/>
        <w:spacing w:before="0" w:after="200" w:line="324" w:lineRule="auto"/>
      </w:pPr>
      <w:r>
        <w:rPr>
          <w:rFonts w:ascii="Microsoft YaHei" w:hAnsi="Microsoft YaHei" w:eastAsia="Microsoft YaHei"/>
          <w:b/>
          <w:color w:val="1F4E78"/>
          <w:sz w:val="32"/>
        </w:rPr>
        <w:t>一、原稿诊断与优化方向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你的原稿已经具备清晰的骨架，但从“能看”到“适合正式分享”之间，还差三件事：逻辑递进更强、工程视角更深、听众更容易带走结论。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3E6"/>
          <w:left w:val="single" w:sz="6" w:color="C9D3E6"/>
          <w:bottom w:val="single" w:sz="6" w:color="C9D3E6"/>
          <w:right w:val="single" w:sz="6" w:color="C9D3E6"/>
          <w:insideH w:val="single" w:sz="6" w:color="C9D3E6"/>
          <w:insideV w:val="single" w:sz="6" w:color="C9D3E6"/>
        </w:tblBorders>
      </w:tblPr>
      <w:tblGrid>
        <w:gridCol w:w="1701"/>
        <w:gridCol w:w="3288"/>
        <w:gridCol w:w="3798"/>
      </w:tblGrid>
      <w:tr>
        <w:tc>
          <w:tcPr>
            <w:tcW w:type="dxa" w:w="324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维度</w:t>
            </w:r>
          </w:p>
        </w:tc>
        <w:tc>
          <w:tcPr>
            <w:tcW w:type="dxa" w:w="324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当前优点</w:t>
            </w:r>
          </w:p>
        </w:tc>
        <w:tc>
          <w:tcPr>
            <w:tcW w:type="dxa" w:w="324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建议增强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主线结构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已经形成“概念 → Demo → 工程化”的顺序，方向是对的。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建议再补一层“为什么企业需要 RAG”，让听众先理解问题，再进入方案。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专业术语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已经覆盖 embedding、rerank、Top-K 等关键词。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建议把术语从“名词表”升级成“流程中的作用”，避免听众只记住词，不知道它们怎么协同。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Demo 描述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说明了当前 Demo 的组成和边界。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建议明确“离线入库链路”和“在线问答链路”的输入输出，以及当前方案的短板。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工程化部分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已经列出了检索、数据、生成、评测、平台等方向。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建议增加优先级和落地顺序，回答“先做什么、后做什么、为什么”。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汇报表达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内容偏实在，适合技术同学。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建议增加“一句话总结”“常见误区”“结尾升华”，让分享更像一场完整输出。</w:t>
            </w:r>
          </w:p>
        </w:tc>
      </w:tr>
    </w:tbl>
    <w:p>
      <w:pPr>
        <w:spacing w:before="160" w:after="120" w:line="324" w:lineRule="auto"/>
      </w:pPr>
      <w:r>
        <w:rPr>
          <w:rFonts w:ascii="Microsoft YaHei" w:hAnsi="Microsoft YaHei" w:eastAsia="Microsoft YaHei"/>
          <w:b/>
          <w:sz w:val="22"/>
        </w:rPr>
        <w:t>建议你在分享时重点传递三个结论：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RAG 解决的不是模型“会不会说”，而是“有没有依据地说”。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企业级 RAG 的难点不在于接一个大模型，而在于把数据、检索、生成、评测和治理串起来。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一个能跑的 Demo 离生产系统之间，至少还隔着数据治理、检索优化、评测闭环和权限治理。</w:t>
      </w:r>
    </w:p>
    <w:p>
      <w:pPr>
        <w:pStyle w:val="Heading1"/>
        <w:spacing w:before="280" w:after="160" w:line="324" w:lineRule="auto"/>
      </w:pPr>
      <w:r>
        <w:rPr>
          <w:rFonts w:ascii="Microsoft YaHei" w:hAnsi="Microsoft YaHei" w:eastAsia="Microsoft YaHei"/>
          <w:b/>
          <w:color w:val="1F4E78"/>
          <w:sz w:val="32"/>
        </w:rPr>
        <w:t>二、增强后的分享稿（可直接作为正文使用）</w:t>
      </w:r>
    </w:p>
    <w:p>
      <w:pPr>
        <w:pStyle w:val="Heading2"/>
        <w:spacing w:before="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1. 开场：为什么今天要讲 RAG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过去大家谈大模型，关注点多是“模型能力有多强”；但一旦进入企业场景，问题马上变成：模型知不知道我们的 SOP、FAQ、制度、工单规则，以及它说的话能不能追溯到依据。RAG 正是在这个阶段变得重要。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5B6573"/>
          <w:sz w:val="21"/>
        </w:rPr>
        <w:t>建议话术：大模型很强，但它默认掌握的是通用知识；企业真正关心的是私域知识、更新时效、答案可信度和安全合规，这些恰恰是 RAG 要解决的。</w:t>
      </w:r>
    </w:p>
    <w:p>
      <w:pPr>
        <w:pStyle w:val="Heading2"/>
        <w:spacing w:before="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2. RAG 是什么：不是替代模型，而是给模型补“外部证据”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RAG（Retrieval-Augmented Generation，检索增强生成）本质上是“先检索，再生成”的工作模式：系统先从外部知识库中找到与问题相关的资料，再把这些资料连同问题一起交给大模型，由模型基于证据生成答案。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因此，RAG 的核心价值不是让模型参数里“记住更多知识”，而是让模型在回答时有可以引用的依据。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8D08D"/>
          <w:left w:val="single" w:sz="8" w:color="A8D08D"/>
          <w:bottom w:val="single" w:sz="8" w:color="A8D08D"/>
          <w:right w:val="single" w:sz="8" w:color="A8D08D"/>
          <w:insideH w:val="single" w:sz="8" w:color="A8D08D"/>
          <w:insideV w:val="single" w:sz="8" w:color="A8D08D"/>
        </w:tblBorders>
      </w:tblPr>
      <w:tblGrid>
        <w:gridCol w:w="8957"/>
      </w:tblGrid>
      <w:tr>
        <w:tc>
          <w:tcPr>
            <w:tcW w:type="dxa" w:w="9746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1F1F"/>
                <w:sz w:val="22"/>
              </w:rPr>
              <w:t>一句话解释：纯大模型是“靠参数记忆回答”，RAG 是“靠外部证据 + 模型生成回答”。</w:t>
            </w:r>
          </w:p>
        </w:tc>
      </w:tr>
    </w:tbl>
    <w:p>
      <w:pPr>
        <w:pStyle w:val="Heading2"/>
        <w:spacing w:before="20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3. 为什么企业场景不能只靠纯大模型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知识不完整：通用模型通常没有企业内部 SOP、产品规则、流程文档和历史经验。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知识更新滞后：企业知识每天都在变，重新训练模型成本高、周期长。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幻觉不可接受：业务系统里“看起来像对的”但实际错误的答案，代价很高。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数据安全和权限要求高：私域数据不能无边界暴露给外部模型。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答案要可追溯：很多业务回答必须说明依据出处，便于复核和审计。</w:t>
      </w:r>
    </w:p>
    <w:p>
      <w:pPr>
        <w:pStyle w:val="Heading2"/>
        <w:spacing w:before="20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4. RAG 的适用边界：什么时候适合，什么时候不一定适合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6DCE5"/>
          <w:left w:val="single" w:sz="6" w:color="D6DCE5"/>
          <w:bottom w:val="single" w:sz="6" w:color="D6DCE5"/>
          <w:right w:val="single" w:sz="6" w:color="D6DCE5"/>
          <w:insideH w:val="single" w:sz="6" w:color="D6DCE5"/>
          <w:insideV w:val="single" w:sz="6" w:color="D6DCE5"/>
        </w:tblBorders>
      </w:tblPr>
      <w:tblGrid>
        <w:gridCol w:w="4365"/>
        <w:gridCol w:w="4365"/>
      </w:tblGrid>
      <w:tr>
        <w:tc>
          <w:tcPr>
            <w:tcW w:type="dxa" w:w="4873"/>
            <w:shd w:fill="DEEA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更适合 RAG 的场景</w:t>
            </w:r>
          </w:p>
        </w:tc>
        <w:tc>
          <w:tcPr>
            <w:tcW w:type="dxa" w:w="4873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不一定优先使用 RAG 的场景</w:t>
            </w:r>
          </w:p>
        </w:tc>
      </w:tr>
      <w:tr>
        <w:tc>
          <w:tcPr>
            <w:tcW w:type="dxa" w:w="4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知识库问答、FAQ、制度/SOP 查询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客服辅助、工单辅助、坐席辅助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产品文档、运维文档、研发知识问答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要求给出引用来源、证据链的回答</w:t>
            </w:r>
          </w:p>
        </w:tc>
        <w:tc>
          <w:tcPr>
            <w:tcW w:type="dxa" w:w="4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纯创作类内容，如广告文案、故事生成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不依赖外部知识的闲聊式对话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极短、固定、完全可模板化的回复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对时延极端敏感且知识长期稳定的场景</w:t>
            </w:r>
          </w:p>
        </w:tc>
      </w:tr>
    </w:tbl>
    <w:p>
      <w:pPr>
        <w:spacing w:before="16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补充说明：RAG 与微调不是替代关系。微调解决的是任务习惯、输出风格和行为模式，RAG 解决的是知识来源、时效性和可追溯性。企业实践里常见的是“基础模型 + RAG + 少量任务级微调”。</w:t>
      </w:r>
    </w:p>
    <w:p>
      <w:pPr>
        <w:sectPr>
          <w:pgSz w:w="12240" w:h="15840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2"/>
        <w:spacing w:before="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5. RAG 的经典链路：不是一个点能力，而是一条完整链路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从系统视角看，一次完整的 RAG 调用大致包含以下步骤：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文档处理：把原始文档清洗、切片、补充 metadata。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向量化/索引：将文本转成向量，并写入向量库或检索索引。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问题理解：接收用户问题，必要时进行 query rewrite 或意图识别。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召回：从知识库取回 Top-K 候选内容，常见方式包括向量检索、BM25 或混合检索。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重排：使用 reranker 对候选结果重新排序，提高相关性。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上下文构造：把高相关片段拼成 Prompt，控制长度与结构。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答案生成：由大模型基于问题和证据生成回答。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结果校验：进行结构校验、引用校验、策略校验，必要时触发人工兜底。</w:t>
      </w:r>
    </w:p>
    <w:p>
      <w:pPr>
        <w:spacing w:before="160" w:after="120" w:line="324" w:lineRule="auto"/>
      </w:pPr>
      <w:r>
        <w:rPr>
          <w:rFonts w:ascii="Microsoft YaHei" w:hAnsi="Microsoft YaHei" w:eastAsia="Microsoft YaHei"/>
          <w:b/>
          <w:sz w:val="22"/>
        </w:rPr>
        <w:t>把术语放回流程里理解：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38"/>
        <w:gridCol w:w="6293"/>
      </w:tblGrid>
      <w:tr>
        <w:tc>
          <w:tcPr>
            <w:tcW w:type="dxa" w:w="4873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术语</w:t>
            </w:r>
          </w:p>
        </w:tc>
        <w:tc>
          <w:tcPr>
            <w:tcW w:type="dxa" w:w="4873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放在流程中怎么理解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Chunk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把大文档切成适合检索的最小语义单元，避免上下文过长或主题混杂。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Embedding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把文本映射成向量，让“语义相近”的内容在向量空间更接近。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Top-K Retrieval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第一轮从知识库中召回 K 条候选片段，追求“别漏掉”。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ANN / 向量检索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在大规模向量库里近似搜索最近邻，兼顾速度和召回率。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BM25 / Sparse Retrieval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基于关键词匹配的稀疏检索，适合术语、编号、专有名词检索。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Hybrid Retrieval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把向量检索和关键词检索结合起来，兼顾语义与精确词命中。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Reranker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对第一轮召回结果做二次排序，追求“更准”。</w:t>
            </w:r>
          </w:p>
        </w:tc>
      </w:tr>
      <w:tr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Results Fusion</w:t>
            </w:r>
          </w:p>
        </w:tc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把多个检索通道的结果融合，降低单一路径的偏差。</w:t>
            </w:r>
          </w:p>
        </w:tc>
      </w:tr>
    </w:tbl>
    <w:p>
      <w:pPr>
        <w:spacing w:before="16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这里有一个特别重要的分享点：召回追求“别漏”，重排追求“更准”，生成追求“说清楚”。很多 RAG 问题并不是模型生成错了，而是前面召回进来的证据就不对。</w:t>
      </w:r>
    </w:p>
    <w:p>
      <w:pPr>
        <w:pStyle w:val="Heading2"/>
        <w:spacing w:before="24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6. 一个最小可用 RAG Demo：价值在于验证链路闭环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当前 Demo 采用“本地 JSON 索引 + Gemini Embedding + Gemini Generate”的轻量方案。它的价值不在于性能最优，而在于快速验证：从文档入库、到问题检索、到答案生成、到引用返回，这条链路是否能跑通。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sz w:val="22"/>
        </w:rPr>
        <w:t>建议用“两条链”来讲这个 Demo：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离线链路：原始文档 → 清洗/切片 → 向量化 → 写入索引。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在线链路：用户问题 → 问题向量化/检索 → 上下文拼装 → 模型生成结构化答案。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5D9F1"/>
          <w:left w:val="single" w:sz="6" w:color="C5D9F1"/>
          <w:bottom w:val="single" w:sz="6" w:color="C5D9F1"/>
          <w:right w:val="single" w:sz="6" w:color="C5D9F1"/>
          <w:insideH w:val="single" w:sz="6" w:color="C5D9F1"/>
          <w:insideV w:val="single" w:sz="6" w:color="C5D9F1"/>
        </w:tblBorders>
      </w:tblPr>
      <w:tblGrid>
        <w:gridCol w:w="2381"/>
        <w:gridCol w:w="2438"/>
        <w:gridCol w:w="4025"/>
      </w:tblGrid>
      <w:tr>
        <w:tc>
          <w:tcPr>
            <w:tcW w:type="dxa" w:w="324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24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当前实现</w:t>
            </w:r>
          </w:p>
        </w:tc>
        <w:tc>
          <w:tcPr>
            <w:tcW w:type="dxa" w:w="324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建议你在分享时强调的点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文档源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docs/ 下 FAQ、SOP 文本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这是知识供给端，决定了系统能回答什么。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入库脚本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src/ingest.py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负责把“不能检索的原始文档”变成“可检索知识”。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索引文件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data/chroma/kb.json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当前只是轻量索引载体，还不是真正的向量数据库。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问答入口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src/ask.py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负责接收问题、调度核心流程。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核心引擎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src/rag_core.py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负责召回、拼 Prompt、生成与引用返回。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评测模块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src/evaluate.py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说明系统已具备“可评估”意识，这是走向工程化的起点。</w:t>
            </w:r>
          </w:p>
        </w:tc>
      </w:tr>
    </w:tbl>
    <w:p>
      <w:pPr>
        <w:spacing w:before="160" w:after="120" w:line="324" w:lineRule="auto"/>
      </w:pPr>
      <w:r>
        <w:rPr>
          <w:rFonts w:ascii="Microsoft YaHei" w:hAnsi="Microsoft YaHei" w:eastAsia="Microsoft YaHei"/>
          <w:b/>
          <w:sz w:val="22"/>
        </w:rPr>
        <w:t>当前 Demo 的真实边界也建议讲清楚：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索引仍是 JSON 文件，尚未进入真正的向量库或高性能 ANN 检索体系。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检索方式以 dense retrieval 为主，还没有 BM25、hybrid retrieval、rerank 等增强。</w:t>
      </w:r>
    </w:p>
    <w:p>
      <w:pPr>
        <w:pStyle w:val="ListBullet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系统已经体现出工程意识：支持结构化输出、citation，以及 need_handoff 等兜底信号。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这样讲的好处是：既体现“我们已经做到了什么”，也坦诚“当前还不是什么”，听众会更容易建立正确预期。</w:t>
      </w:r>
    </w:p>
    <w:p>
      <w:pPr>
        <w:pStyle w:val="Heading2"/>
        <w:spacing w:before="24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7. 从 Demo 到生产：真正的难点在哪里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1"/>
        <w:gridCol w:w="2608"/>
        <w:gridCol w:w="3118"/>
        <w:gridCol w:w="1361"/>
      </w:tblGrid>
      <w:tr>
        <w:tc>
          <w:tcPr>
            <w:tcW w:type="dxa" w:w="2436"/>
            <w:shd w:fill="E2EFD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建设层</w:t>
            </w:r>
          </w:p>
        </w:tc>
        <w:tc>
          <w:tcPr>
            <w:tcW w:type="dxa" w:w="2436"/>
            <w:shd w:fill="E2EFD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当前关注点</w:t>
            </w:r>
          </w:p>
        </w:tc>
        <w:tc>
          <w:tcPr>
            <w:tcW w:type="dxa" w:w="2436"/>
            <w:shd w:fill="E2EFD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生产化要补齐的能力</w:t>
            </w:r>
          </w:p>
        </w:tc>
        <w:tc>
          <w:tcPr>
            <w:tcW w:type="dxa" w:w="2436"/>
            <w:shd w:fill="E2EFD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建议优先级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数据层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文档入库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知识分层、清洗去重、增量入库、metadata、版本/更新时间管理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检索层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基础 dense retrieval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向量库、ANN、BM25、hybrid retrieval、rerank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生成层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基础问答生成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更强 Prompt 约束、JSON schema、输出校验、答案拒答/兜底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P1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评测层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已有 evaluate 入口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Recall@K、MRR、nDCG、Faithfulness、Citation Precision、人工标注集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平台层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单体能力验证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权限控制、多知识库、模型路由、缓存、监控告警、成本统计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P1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治理层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初步 handoff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权限隔离、审计日志、灰度发布、线上回归、故障回滚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P1</w:t>
            </w:r>
          </w:p>
        </w:tc>
      </w:tr>
    </w:tbl>
    <w:p>
      <w:pPr>
        <w:spacing w:before="16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一个很适合分享时强调的观点是：企业级 RAG 的核心竞争力，不只是“模型选得好”，而是“知识供给能力 + 检索质量 + 策略治理 + 评测闭环”是否成熟。</w:t>
      </w:r>
    </w:p>
    <w:p>
      <w:pPr>
        <w:pStyle w:val="Heading2"/>
        <w:spacing w:before="24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8. 常见误区：很多问题并不出在模型本身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C55A11"/>
          <w:sz w:val="22"/>
        </w:rPr>
        <w:t>误区 1：只要接了向量库就是 RAG</w:t>
      </w:r>
      <w:r>
        <w:rPr>
          <w:rFonts w:ascii="Microsoft YaHei" w:hAnsi="Microsoft YaHei" w:eastAsia="Microsoft YaHei"/>
          <w:b w:val="0"/>
          <w:sz w:val="22"/>
        </w:rPr>
        <w:t>：没有高质量切片、metadata 和评测，再好的向量库也只是在“存数据”。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C55A11"/>
          <w:sz w:val="22"/>
        </w:rPr>
        <w:t>误区 2：召回到了内容，答案就一定靠谱</w:t>
      </w:r>
      <w:r>
        <w:rPr>
          <w:rFonts w:ascii="Microsoft YaHei" w:hAnsi="Microsoft YaHei" w:eastAsia="Microsoft YaHei"/>
          <w:b w:val="0"/>
          <w:sz w:val="22"/>
        </w:rPr>
        <w:t>：召回只是候选，是否真正相关、是否被正确使用，还要看 rerank、Prompt 和校验。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C55A11"/>
          <w:sz w:val="22"/>
        </w:rPr>
        <w:t>误区 3：模型回答错就是模型不行</w:t>
      </w:r>
      <w:r>
        <w:rPr>
          <w:rFonts w:ascii="Microsoft YaHei" w:hAnsi="Microsoft YaHei" w:eastAsia="Microsoft YaHei"/>
          <w:b w:val="0"/>
          <w:sz w:val="22"/>
        </w:rPr>
        <w:t>：很多时候是前置证据不完整、切片不合理、召回错位或上下文拼装有问题。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C55A11"/>
          <w:sz w:val="22"/>
        </w:rPr>
        <w:t>误区 4：上线后只看用户满意度</w:t>
      </w:r>
      <w:r>
        <w:rPr>
          <w:rFonts w:ascii="Microsoft YaHei" w:hAnsi="Microsoft YaHei" w:eastAsia="Microsoft YaHei"/>
          <w:b w:val="0"/>
          <w:sz w:val="22"/>
        </w:rPr>
        <w:t>：还要持续跟踪检索质量、引用准确率、拒答率、命中率、时延和成本。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C55A11"/>
          <w:sz w:val="22"/>
        </w:rPr>
        <w:t>误区 5：Demo 通过就能直接上业务</w:t>
      </w:r>
      <w:r>
        <w:rPr>
          <w:rFonts w:ascii="Microsoft YaHei" w:hAnsi="Microsoft YaHei" w:eastAsia="Microsoft YaHei"/>
          <w:b w:val="0"/>
          <w:sz w:val="22"/>
        </w:rPr>
        <w:t>：生产系统一定要补权限、审计、兜底、灰度和故障处理。</w:t>
      </w:r>
    </w:p>
    <w:p>
      <w:pPr>
        <w:pStyle w:val="Heading2"/>
        <w:spacing w:before="24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9. 结尾：RAG 的真正意义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RAG 的意义不只是给大模型外挂一个知识库，而是把“企业知识”以一种可检索、可更新、可治理、可追溯的方式接入模型能力。对企业来说，这比单纯追求更大的模型更有现实价值。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一个比较完整的结尾可以这样说：我们现在做的，不是让模型背更多东西，而是让它在正确的业务边界内、基于正确的证据、用可控的方式去回答问题。</w:t>
      </w:r>
    </w:p>
    <w:p>
      <w:pPr>
        <w:sectPr>
          <w:pgSz w:w="12240" w:h="15840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  <w:spacing w:before="0" w:after="120" w:line="324" w:lineRule="auto"/>
      </w:pPr>
      <w:r>
        <w:rPr>
          <w:rFonts w:ascii="Microsoft YaHei" w:hAnsi="Microsoft YaHei" w:eastAsia="Microsoft YaHei"/>
          <w:b/>
          <w:color w:val="1F4E78"/>
          <w:sz w:val="32"/>
        </w:rPr>
        <w:t>三、你在分享时可以直接使用的话术（精选）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E6B8B7"/>
          <w:left w:val="single" w:sz="6" w:color="E6B8B7"/>
          <w:bottom w:val="single" w:sz="6" w:color="E6B8B7"/>
          <w:right w:val="single" w:sz="6" w:color="E6B8B7"/>
          <w:insideH w:val="single" w:sz="6" w:color="E6B8B7"/>
          <w:insideV w:val="single" w:sz="6" w:color="E6B8B7"/>
        </w:tblBorders>
      </w:tblPr>
      <w:tblGrid>
        <w:gridCol w:w="8957"/>
      </w:tblGrid>
      <w:tr>
        <w:tc>
          <w:tcPr>
            <w:tcW w:type="dxa" w:w="9746"/>
            <w:shd w:fill="FBE5D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讲概念时：RAG 并不是替代大模型，而是让大模型在回答时不只依赖参数记忆，而是依赖外部证据。</w:t>
            </w:r>
          </w:p>
        </w:tc>
      </w:tr>
    </w:tbl>
    <w:p>
      <w:pPr>
        <w:spacing w:before="0" w:after="40" w:line="32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E6B8B7"/>
          <w:left w:val="single" w:sz="6" w:color="E6B8B7"/>
          <w:bottom w:val="single" w:sz="6" w:color="E6B8B7"/>
          <w:right w:val="single" w:sz="6" w:color="E6B8B7"/>
          <w:insideH w:val="single" w:sz="6" w:color="E6B8B7"/>
          <w:insideV w:val="single" w:sz="6" w:color="E6B8B7"/>
        </w:tblBorders>
      </w:tblPr>
      <w:tblGrid>
        <w:gridCol w:w="8957"/>
      </w:tblGrid>
      <w:tr>
        <w:tc>
          <w:tcPr>
            <w:tcW w:type="dxa" w:w="9746"/>
            <w:shd w:fill="FBE5D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讲价值时：企业场景真正痛的不是模型不会聊天，而是它不知道企业内部知识、不能实时更新、也不能给出依据。</w:t>
            </w:r>
          </w:p>
        </w:tc>
      </w:tr>
    </w:tbl>
    <w:p>
      <w:pPr>
        <w:spacing w:before="0" w:after="40" w:line="32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E6B8B7"/>
          <w:left w:val="single" w:sz="6" w:color="E6B8B7"/>
          <w:bottom w:val="single" w:sz="6" w:color="E6B8B7"/>
          <w:right w:val="single" w:sz="6" w:color="E6B8B7"/>
          <w:insideH w:val="single" w:sz="6" w:color="E6B8B7"/>
          <w:insideV w:val="single" w:sz="6" w:color="E6B8B7"/>
        </w:tblBorders>
      </w:tblPr>
      <w:tblGrid>
        <w:gridCol w:w="8957"/>
      </w:tblGrid>
      <w:tr>
        <w:tc>
          <w:tcPr>
            <w:tcW w:type="dxa" w:w="9746"/>
            <w:shd w:fill="FBE5D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讲 Demo 时：这个 Demo 的价值在于快速验证整条链路是否闭环，而不是一开始就追求最强性能。</w:t>
            </w:r>
          </w:p>
        </w:tc>
      </w:tr>
    </w:tbl>
    <w:p>
      <w:pPr>
        <w:spacing w:before="0" w:after="40" w:line="32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E6B8B7"/>
          <w:left w:val="single" w:sz="6" w:color="E6B8B7"/>
          <w:bottom w:val="single" w:sz="6" w:color="E6B8B7"/>
          <w:right w:val="single" w:sz="6" w:color="E6B8B7"/>
          <w:insideH w:val="single" w:sz="6" w:color="E6B8B7"/>
          <w:insideV w:val="single" w:sz="6" w:color="E6B8B7"/>
        </w:tblBorders>
      </w:tblPr>
      <w:tblGrid>
        <w:gridCol w:w="8957"/>
      </w:tblGrid>
      <w:tr>
        <w:tc>
          <w:tcPr>
            <w:tcW w:type="dxa" w:w="9746"/>
            <w:shd w:fill="FBE5D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讲工程化时：从能跑到能上生产，中间至少还隔着数据治理、检索优化、评测体系和权限治理。</w:t>
            </w:r>
          </w:p>
        </w:tc>
      </w:tr>
    </w:tbl>
    <w:p>
      <w:pPr>
        <w:spacing w:before="0" w:after="40" w:line="32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E6B8B7"/>
          <w:left w:val="single" w:sz="6" w:color="E6B8B7"/>
          <w:bottom w:val="single" w:sz="6" w:color="E6B8B7"/>
          <w:right w:val="single" w:sz="6" w:color="E6B8B7"/>
          <w:insideH w:val="single" w:sz="6" w:color="E6B8B7"/>
          <w:insideV w:val="single" w:sz="6" w:color="E6B8B7"/>
        </w:tblBorders>
      </w:tblPr>
      <w:tblGrid>
        <w:gridCol w:w="8957"/>
      </w:tblGrid>
      <w:tr>
        <w:tc>
          <w:tcPr>
            <w:tcW w:type="dxa" w:w="9746"/>
            <w:shd w:fill="FBE5D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讲结尾时：企业级 RAG 拼的不是一个点上的模型能力，而是一整条知识服务链路是否可靠。</w:t>
            </w:r>
          </w:p>
        </w:tc>
      </w:tr>
    </w:tbl>
    <w:p>
      <w:pPr>
        <w:spacing w:before="0" w:after="40" w:line="324" w:lineRule="auto"/>
      </w:pPr>
    </w:p>
    <w:p>
      <w:pPr>
        <w:pStyle w:val="Heading2"/>
        <w:spacing w:before="120" w:after="120" w:line="324" w:lineRule="auto"/>
      </w:pPr>
      <w:r>
        <w:rPr>
          <w:rFonts w:ascii="Microsoft YaHei" w:hAnsi="Microsoft YaHei" w:eastAsia="Microsoft YaHei"/>
          <w:b/>
          <w:color w:val="2F5597"/>
          <w:sz w:val="27"/>
        </w:rPr>
        <w:t>附：建议的分享顺序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先讲企业为什么不能只靠纯大模型，再引出 RAG。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再讲 RAG 的经典链路，让听众知道它不是一个“接口”，而是一条系统链路。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然后讲当前 Demo 做到了什么、还没做到什么。</w:t>
      </w:r>
    </w:p>
    <w:p>
      <w:pPr>
        <w:pStyle w:val="ListNumber"/>
        <w:spacing w:after="60" w:line="300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最后讲从 Demo 到生产需要补哪些能力，并以“知识服务链路”作为结尾收束。</w:t>
      </w:r>
    </w:p>
    <w:p>
      <w:pPr>
        <w:spacing w:before="320" w:after="120" w:line="324" w:lineRule="auto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本增强版以“可分享、可讲清、可体现工程思考”为目标整理，适合继续加工为 PPT 或演讲讲稿。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