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PROJECT REPORT – FIRST PHASE</w:t>
      </w:r>
    </w:p>
    <w:p/>
    <w:p>
      <w:pPr>
        <w:jc w:val="center"/>
      </w:pPr>
      <w:r>
        <w:rPr>
          <w:rFonts w:ascii="Times New Roman" w:hAnsi="Times New Roman"/>
          <w:b/>
          <w:sz w:val="60"/>
        </w:rPr>
        <w:t>KAMI</w:t>
      </w:r>
    </w:p>
    <w:p>
      <w:pPr>
        <w:jc w:val="center"/>
      </w:pPr>
      <w:r>
        <w:rPr>
          <w:rFonts w:ascii="Times New Roman" w:hAnsi="Times New Roman"/>
          <w:sz w:val="22"/>
        </w:rPr>
        <w:t>AI-Based Water Monitoring and Anomaly Detection System</w:t>
      </w:r>
    </w:p>
    <w:p/>
    <w:p>
      <w:pPr>
        <w:jc w:val="center"/>
      </w:pPr>
      <w:r>
        <w:rPr>
          <w:rFonts w:ascii="Times New Roman" w:hAnsi="Times New Roman"/>
          <w:sz w:val="22"/>
        </w:rPr>
      </w:r>
    </w:p>
    <w:p>
      <w:r>
        <w:rPr>
          <w:rFonts w:ascii="Times New Roman" w:hAnsi="Times New Roman"/>
          <w:sz w:val="22"/>
        </w:rPr>
        <w:br/>
      </w:r>
    </w:p>
    <w:p>
      <w:pPr>
        <w:jc w:val="center"/>
      </w:pPr>
      <w:r>
        <w:rPr>
          <w:rFonts w:ascii="Times New Roman" w:hAnsi="Times New Roman"/>
          <w:sz w:val="22"/>
        </w:rPr>
        <w:t>Project Members</w:t>
        <w:br/>
        <w:br/>
        <w:t>Vinay Ananda – 24BCB0131</w:t>
        <w:br/>
        <w:t>Kandi Jeevitesh – 24BCE0350</w:t>
      </w:r>
    </w:p>
    <w:p>
      <w:r>
        <w:rPr>
          <w:rFonts w:ascii="Times New Roman" w:hAnsi="Times New Roman"/>
          <w:sz w:val="22"/>
        </w:rPr>
        <w:br w:type="page"/>
      </w:r>
    </w:p>
    <w:p>
      <w:pPr>
        <w:pStyle w:val="Heading1"/>
        <w:spacing w:before="160" w:after="80"/>
      </w:pPr>
      <w:r>
        <w:rPr>
          <w:rFonts w:ascii="Times New Roman" w:hAnsi="Times New Roman"/>
          <w:sz w:val="22"/>
        </w:rPr>
        <w:t>1. INTRODUCTION</w:t>
      </w:r>
    </w:p>
    <w:p>
      <w:pPr>
        <w:pStyle w:val="Heading2"/>
        <w:spacing w:before="160" w:after="80"/>
      </w:pPr>
      <w:r>
        <w:rPr>
          <w:rFonts w:ascii="Times New Roman" w:hAnsi="Times New Roman"/>
          <w:sz w:val="22"/>
        </w:rPr>
        <w:t>1.1 Background and Motivation</w:t>
      </w:r>
    </w:p>
    <w:p>
      <w:pPr>
        <w:spacing w:line="276" w:lineRule="auto" w:after="80"/>
      </w:pPr>
      <w:r>
        <w:rPr>
          <w:rFonts w:ascii="Times New Roman" w:hAnsi="Times New Roman"/>
          <w:sz w:val="22"/>
        </w:rPr>
        <w:t>The original KAMI abstract proposed a broad knowledge-driven artificial intelligence platform for predictive water governance, infrastructure intelligence, and smart resource management. It combined RAG, LLMs, multimodal AI, computer vision, geospatial intelligence, IoT sensor networks, predictive analytics, digital twins, reinforcement learning, and optimization. Although this created an ambitious vision, the methodology feedback correctly identified that implementing all of these AI subfields within one project would make the design difficult to execute and evaluate.</w:t>
      </w:r>
    </w:p>
    <w:p>
      <w:pPr>
        <w:spacing w:line="276" w:lineRule="auto" w:after="80"/>
      </w:pPr>
      <w:r>
        <w:rPr>
          <w:rFonts w:ascii="Times New Roman" w:hAnsi="Times New Roman"/>
          <w:sz w:val="22"/>
        </w:rPr>
        <w:t>The revised project therefore focuses on one specific problem: interpreting abnormal behaviour in water-system data. Water distribution systems generate measurements that are naturally multivariate and time-dependent. A change in flow or pressure may be normal in one operational context and suspicious in another. Similarly, a change in monitored water-quality indicators may require greater attention when it occurs together with unusual infrastructure behaviour. The project investigates how these different sources of evidence can be organized and interpreted in a focused AI pipeline.</w:t>
      </w:r>
    </w:p>
    <w:p>
      <w:pPr>
        <w:pStyle w:val="Heading2"/>
        <w:spacing w:before="160" w:after="80"/>
      </w:pPr>
      <w:r>
        <w:rPr>
          <w:rFonts w:ascii="Times New Roman" w:hAnsi="Times New Roman"/>
          <w:sz w:val="22"/>
        </w:rPr>
        <w:t>1.2 Problem Statement</w:t>
      </w:r>
    </w:p>
    <w:p>
      <w:pPr>
        <w:spacing w:line="276" w:lineRule="auto" w:after="80"/>
      </w:pPr>
      <w:r>
        <w:rPr>
          <w:rFonts w:ascii="Times New Roman" w:hAnsi="Times New Roman"/>
          <w:sz w:val="22"/>
        </w:rPr>
        <w:t>Conventional monitoring commonly uses independent thresholds for individual measurements. Such monitoring is easy to implement, but it does not necessarily capture relationships among multiple variables or the temporal context in which they occur. Machine-learning research in smart water systems has demonstrated the value of multivariate anomaly analysis, while recent work on water-quality management highlights challenges related to integrated models, interpretability, real-time response, and limited datasets.</w:t>
      </w:r>
    </w:p>
    <w:p>
      <w:pPr>
        <w:spacing w:line="276" w:lineRule="auto" w:after="80"/>
      </w:pPr>
      <w:r>
        <w:rPr>
          <w:rFonts w:ascii="Times New Roman" w:hAnsi="Times New Roman"/>
          <w:sz w:val="22"/>
        </w:rPr>
        <w:t>The problem addressed by KAMI is therefore: how can infrastructure behaviour, monitored water-quality behaviour, and temporal context be analysed in a structured manner to produce a more interpretable anomaly assessment than isolated sensor-threshold alerts?</w:t>
      </w:r>
    </w:p>
    <w:p>
      <w:pPr>
        <w:pStyle w:val="Heading2"/>
        <w:spacing w:before="160" w:after="80"/>
      </w:pPr>
      <w:r>
        <w:rPr>
          <w:rFonts w:ascii="Times New Roman" w:hAnsi="Times New Roman"/>
          <w:sz w:val="22"/>
        </w:rPr>
        <w:t>1.3 Modifications Made Based on Abstract and Methodology Feedback</w:t>
      </w:r>
    </w:p>
    <w:p>
      <w:pPr>
        <w:spacing w:line="276" w:lineRule="auto" w:after="80"/>
      </w:pPr>
      <w:r>
        <w:rPr>
          <w:rFonts w:ascii="Times New Roman" w:hAnsi="Times New Roman"/>
          <w:sz w:val="22"/>
        </w:rPr>
        <w:t>The project has been deliberately narrowed in response to the feedback received. The final design does not attempt to cover vision, RAG, LLMs, multilingual voice, digital twins, reinforcement learning, routing, GIS intelligence, and public-service applications simultaneously.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Original Abstract Direction</w:t>
            </w:r>
          </w:p>
        </w:tc>
        <w:tc>
          <w:tcPr>
            <w:tcW w:type="dxa" w:w="4968"/>
            <w:vAlign w:val="center"/>
          </w:tcPr>
          <w:p>
            <w:r>
              <w:rPr>
                <w:b/>
              </w:rPr>
              <w:t>Final Refined Decision</w:t>
            </w:r>
          </w:p>
        </w:tc>
      </w:tr>
      <w:tr>
        <w:tc>
          <w:tcPr>
            <w:tcW w:type="dxa" w:w="4968"/>
            <w:vAlign w:val="center"/>
          </w:tcPr>
          <w:p>
            <w:r>
              <w:t>Multi-agent AI platform covering many AI subfields</w:t>
            </w:r>
          </w:p>
        </w:tc>
        <w:tc>
          <w:tcPr>
            <w:tcW w:type="dxa" w:w="4968"/>
            <w:vAlign w:val="center"/>
          </w:tcPr>
          <w:p>
            <w:r>
              <w:t>One focused AI problem: contextual anomaly intelligence</w:t>
            </w:r>
          </w:p>
        </w:tc>
      </w:tr>
      <w:tr>
        <w:tc>
          <w:tcPr>
            <w:tcW w:type="dxa" w:w="4968"/>
            <w:vAlign w:val="center"/>
          </w:tcPr>
          <w:p>
            <w:r>
              <w:t>RAG and multilingual citizen interaction</w:t>
            </w:r>
          </w:p>
        </w:tc>
        <w:tc>
          <w:tcPr>
            <w:tcW w:type="dxa" w:w="4968"/>
            <w:vAlign w:val="center"/>
          </w:tcPr>
          <w:p>
            <w:r>
              <w:t>Removed from core scope</w:t>
            </w:r>
          </w:p>
        </w:tc>
      </w:tr>
      <w:tr>
        <w:tc>
          <w:tcPr>
            <w:tcW w:type="dxa" w:w="4968"/>
            <w:vAlign w:val="center"/>
          </w:tcPr>
          <w:p>
            <w:r>
              <w:t>Computer vision and satellite/GIS analysis</w:t>
            </w:r>
          </w:p>
        </w:tc>
        <w:tc>
          <w:tcPr>
            <w:tcW w:type="dxa" w:w="4968"/>
            <w:vAlign w:val="center"/>
          </w:tcPr>
          <w:p>
            <w:r>
              <w:t>Removed from core scope</w:t>
            </w:r>
          </w:p>
        </w:tc>
      </w:tr>
      <w:tr>
        <w:tc>
          <w:tcPr>
            <w:tcW w:type="dxa" w:w="4968"/>
            <w:vAlign w:val="center"/>
          </w:tcPr>
          <w:p>
            <w:r>
              <w:t>Predictive governance and resource optimization</w:t>
            </w:r>
          </w:p>
        </w:tc>
        <w:tc>
          <w:tcPr>
            <w:tcW w:type="dxa" w:w="4968"/>
            <w:vAlign w:val="center"/>
          </w:tcPr>
          <w:p>
            <w:r>
              <w:t>Removed from core scope</w:t>
            </w:r>
          </w:p>
        </w:tc>
      </w:tr>
      <w:tr>
        <w:tc>
          <w:tcPr>
            <w:tcW w:type="dxa" w:w="4968"/>
            <w:vAlign w:val="center"/>
          </w:tcPr>
          <w:p>
            <w:r>
              <w:t>Digital twin and reinforcement learning</w:t>
            </w:r>
          </w:p>
        </w:tc>
        <w:tc>
          <w:tcPr>
            <w:tcW w:type="dxa" w:w="4968"/>
            <w:vAlign w:val="center"/>
          </w:tcPr>
          <w:p>
            <w:r>
              <w:t>Removed from core scope</w:t>
            </w:r>
          </w:p>
        </w:tc>
      </w:tr>
      <w:tr>
        <w:tc>
          <w:tcPr>
            <w:tcW w:type="dxa" w:w="4968"/>
            <w:vAlign w:val="center"/>
          </w:tcPr>
          <w:p>
            <w:r>
              <w:t>IoT as one of many major subsystems</w:t>
            </w:r>
          </w:p>
        </w:tc>
        <w:tc>
          <w:tcPr>
            <w:tcW w:type="dxa" w:w="4968"/>
            <w:vAlign w:val="center"/>
          </w:tcPr>
          <w:p>
            <w:r>
              <w:t>Retained only as the real-time input layer</w:t>
            </w:r>
          </w:p>
        </w:tc>
      </w:tr>
      <w:tr>
        <w:tc>
          <w:tcPr>
            <w:tcW w:type="dxa" w:w="4968"/>
            <w:vAlign w:val="center"/>
          </w:tcPr>
          <w:p>
            <w:r>
              <w:t>Existing algorithms as separate technologies</w:t>
            </w:r>
          </w:p>
        </w:tc>
        <w:tc>
          <w:tcPr>
            <w:tcW w:type="dxa" w:w="4968"/>
            <w:vAlign w:val="center"/>
          </w:tcPr>
          <w:p>
            <w:r>
              <w:t>Used as baselines/supporting methods</w:t>
            </w:r>
          </w:p>
        </w:tc>
      </w:tr>
      <w:tr>
        <w:tc>
          <w:tcPr>
            <w:tcW w:type="dxa" w:w="4968"/>
            <w:vAlign w:val="center"/>
          </w:tcPr>
          <w:p>
            <w:r>
              <w:t>Broad water-governance platform</w:t>
            </w:r>
          </w:p>
        </w:tc>
        <w:tc>
          <w:tcPr>
            <w:tcW w:type="dxa" w:w="4968"/>
            <w:vAlign w:val="center"/>
          </w:tcPr>
          <w:p>
            <w:r>
              <w:t>Focused on water infrastructure and quality anomaly assessment</w:t>
            </w:r>
          </w:p>
        </w:tc>
      </w:tr>
    </w:tbl>
    <w:p/>
    <w:p>
      <w:pPr>
        <w:spacing w:line="276" w:lineRule="auto" w:after="80"/>
      </w:pPr>
      <w:r>
        <w:rPr>
          <w:rFonts w:ascii="Times New Roman" w:hAnsi="Times New Roman"/>
          <w:sz w:val="22"/>
        </w:rPr>
        <w:t>This focused scope addresses the feedback on feasibility and originality.</w:t>
      </w:r>
    </w:p>
    <w:p>
      <w:pPr>
        <w:pStyle w:val="Heading2"/>
        <w:spacing w:before="160" w:after="80"/>
      </w:pPr>
      <w:r>
        <w:rPr>
          <w:rFonts w:ascii="Times New Roman" w:hAnsi="Times New Roman"/>
          <w:sz w:val="22"/>
        </w:rPr>
        <w:t>1.4 Final Project Idea</w:t>
      </w:r>
    </w:p>
    <w:p>
      <w:pPr>
        <w:spacing w:line="276" w:lineRule="auto" w:after="80"/>
      </w:pPr>
      <w:r>
        <w:rPr>
          <w:rFonts w:ascii="Times New Roman" w:hAnsi="Times New Roman"/>
          <w:sz w:val="22"/>
        </w:rPr>
        <w:t>The final KAMI design is an AI-based anomaly detection system that analyses water infrastructure, water-quality, and time-based patterns to identify abnormal events.</w:t>
      </w:r>
    </w:p>
    <w:p>
      <w:pPr>
        <w:spacing w:line="276" w:lineRule="auto" w:after="80"/>
      </w:pPr>
      <w:r>
        <w:rPr>
          <w:rFonts w:ascii="Times New Roman" w:hAnsi="Times New Roman"/>
          <w:sz w:val="22"/>
        </w:rPr>
        <w:t>The core contribution is therefore the KAMI contextual methodology and system organization, not a claim that Isolation Forest, One-Class SVM, or any other existing algorithm is itself novel.</w:t>
      </w:r>
    </w:p>
    <w:p>
      <w:pPr>
        <w:pStyle w:val="Heading2"/>
        <w:spacing w:before="160" w:after="80"/>
      </w:pPr>
      <w:r>
        <w:rPr>
          <w:rFonts w:ascii="Times New Roman" w:hAnsi="Times New Roman"/>
          <w:sz w:val="22"/>
        </w:rPr>
        <w:t>1.5 Aim and Objectives</w:t>
      </w:r>
    </w:p>
    <w:p>
      <w:pPr>
        <w:spacing w:line="276" w:lineRule="auto" w:after="80"/>
      </w:pPr>
      <w:r>
        <w:rPr>
          <w:rFonts w:ascii="Times New Roman" w:hAnsi="Times New Roman"/>
          <w:sz w:val="22"/>
        </w:rPr>
        <w:t>Aim: To design and evaluate a context-aware, multi-stage AI framework for interpreting anomalies in water infrastructure and monitored water-quality data, with a lightweight IoT prototype for real-time integration.</w:t>
      </w:r>
    </w:p>
    <w:p>
      <w:pPr>
        <w:pStyle w:val="ListNumber"/>
        <w:spacing w:line="264" w:lineRule="auto"/>
      </w:pPr>
      <w:r>
        <w:rPr>
          <w:rFonts w:ascii="Times New Roman" w:hAnsi="Times New Roman"/>
          <w:sz w:val="22"/>
        </w:rPr>
        <w:t>Develop a preprocessing and feature-engineering pipeline for water-system time-series data.</w:t>
      </w:r>
    </w:p>
    <w:p>
      <w:pPr>
        <w:pStyle w:val="ListNumber"/>
        <w:spacing w:line="264" w:lineRule="auto"/>
      </w:pPr>
      <w:r>
        <w:rPr>
          <w:rFonts w:ascii="Times New Roman" w:hAnsi="Times New Roman"/>
          <w:sz w:val="22"/>
        </w:rPr>
        <w:t>Establish simple and machine-learning baseline approaches for anomaly detection.</w:t>
      </w:r>
    </w:p>
    <w:p>
      <w:pPr>
        <w:pStyle w:val="ListNumber"/>
        <w:spacing w:line="264" w:lineRule="auto"/>
      </w:pPr>
      <w:r>
        <w:rPr>
          <w:rFonts w:ascii="Times New Roman" w:hAnsi="Times New Roman"/>
          <w:sz w:val="22"/>
        </w:rPr>
        <w:t>Analyse infrastructure behaviour and water-quality behaviour as separate evidence domains.</w:t>
      </w:r>
    </w:p>
    <w:p>
      <w:pPr>
        <w:pStyle w:val="ListNumber"/>
        <w:spacing w:line="264" w:lineRule="auto"/>
      </w:pPr>
      <w:r>
        <w:rPr>
          <w:rFonts w:ascii="Times New Roman" w:hAnsi="Times New Roman"/>
          <w:sz w:val="22"/>
        </w:rPr>
        <w:t>Incorporate temporal characteristics such as suddenness, persistence, and recurrence.</w:t>
      </w:r>
    </w:p>
    <w:p>
      <w:pPr>
        <w:pStyle w:val="ListNumber"/>
        <w:spacing w:line="264" w:lineRule="auto"/>
      </w:pPr>
      <w:r>
        <w:rPr>
          <w:rFonts w:ascii="Times New Roman" w:hAnsi="Times New Roman"/>
          <w:sz w:val="22"/>
        </w:rPr>
        <w:t>Develop the KAMI contextual fusion stage to produce interpretable incident categories and priorities.</w:t>
      </w:r>
    </w:p>
    <w:p>
      <w:pPr>
        <w:pStyle w:val="ListNumber"/>
        <w:spacing w:line="264" w:lineRule="auto"/>
      </w:pPr>
      <w:r>
        <w:rPr>
          <w:rFonts w:ascii="Times New Roman" w:hAnsi="Times New Roman"/>
          <w:sz w:val="22"/>
        </w:rPr>
        <w:t>Evaluate the proposed design against baseline approaches and controlled scenarios.</w:t>
      </w:r>
    </w:p>
    <w:p>
      <w:pPr>
        <w:pStyle w:val="ListNumber"/>
        <w:spacing w:line="264" w:lineRule="auto"/>
      </w:pPr>
      <w:r>
        <w:rPr>
          <w:rFonts w:ascii="Times New Roman" w:hAnsi="Times New Roman"/>
          <w:sz w:val="22"/>
        </w:rPr>
        <w:t>Integrate the validated pipeline with a lightweight ESP32-based IoT prototype.</w:t>
      </w:r>
    </w:p>
    <w:p>
      <w:pPr>
        <w:pStyle w:val="Heading2"/>
        <w:spacing w:before="160" w:after="80"/>
      </w:pPr>
      <w:r>
        <w:rPr>
          <w:rFonts w:ascii="Times New Roman" w:hAnsi="Times New Roman"/>
          <w:sz w:val="22"/>
        </w:rPr>
        <w:t>1.6 Significance of the Work</w:t>
      </w:r>
    </w:p>
    <w:p>
      <w:pPr>
        <w:spacing w:line="276" w:lineRule="auto" w:after="80"/>
      </w:pPr>
      <w:r>
        <w:rPr>
          <w:rFonts w:ascii="Times New Roman" w:hAnsi="Times New Roman"/>
          <w:sz w:val="22"/>
        </w:rPr>
        <w:t>The project is significant because it aims to improve the interpretability of anomaly monitoring without making the system unnecessarily complex. Rather than building a large smart-city platform, KAMI focuses on a single practical question: what does the combination of multiple abnormal signals mean in context?</w:t>
      </w:r>
    </w:p>
    <w:p>
      <w:pPr>
        <w:spacing w:line="276" w:lineRule="auto" w:after="80"/>
      </w:pPr>
      <w:r>
        <w:rPr>
          <w:rFonts w:ascii="Times New Roman" w:hAnsi="Times New Roman"/>
          <w:sz w:val="22"/>
        </w:rPr>
        <w:t>The AI pipeline is developed first, followed by lightweight IoT integration, keeping the project feasible and easy to evaluate.</w:t>
      </w:r>
    </w:p>
    <w:p>
      <w:pPr>
        <w:pStyle w:val="Heading1"/>
        <w:spacing w:before="160" w:after="80"/>
      </w:pPr>
      <w:r>
        <w:rPr>
          <w:rFonts w:ascii="Times New Roman" w:hAnsi="Times New Roman"/>
          <w:sz w:val="22"/>
        </w:rPr>
        <w:t>2. LITERATURE REVIEW</w:t>
      </w:r>
    </w:p>
    <w:p>
      <w:pPr>
        <w:pStyle w:val="Heading2"/>
        <w:spacing w:before="160" w:after="80"/>
      </w:pPr>
      <w:r>
        <w:rPr>
          <w:rFonts w:ascii="Times New Roman" w:hAnsi="Times New Roman"/>
          <w:sz w:val="22"/>
        </w:rPr>
        <w:t>2.1 Machine Learning for Water-System Anomaly Detection</w:t>
      </w:r>
    </w:p>
    <w:p>
      <w:pPr>
        <w:spacing w:line="276" w:lineRule="auto" w:after="80"/>
      </w:pPr>
      <w:r>
        <w:rPr>
          <w:rFonts w:ascii="Times New Roman" w:hAnsi="Times New Roman"/>
          <w:sz w:val="22"/>
        </w:rPr>
        <w:t>A systematic review of machine-learning applications for anomaly detection in smart water metering networks reports the use of techniques such as k-nearest neighbours, autoencoders, DBSCAN, Random Forest, Decision Trees, and Support Vector Machines. The review also identifies data availability and robust evaluation as important concerns. This indicates that using an existing model alone is not sufficient to establish originality; the research contribution must also lie in how the problem is formulated and evaluated [1].</w:t>
      </w:r>
    </w:p>
    <w:p>
      <w:pPr>
        <w:pStyle w:val="Heading2"/>
        <w:spacing w:before="160" w:after="80"/>
      </w:pPr>
      <w:r>
        <w:rPr>
          <w:rFonts w:ascii="Times New Roman" w:hAnsi="Times New Roman"/>
          <w:sz w:val="22"/>
        </w:rPr>
        <w:t>2.2 Water Infrastructure and Multivariate Behaviour</w:t>
      </w:r>
    </w:p>
    <w:p>
      <w:pPr>
        <w:spacing w:line="276" w:lineRule="auto" w:after="80"/>
      </w:pPr>
      <w:r>
        <w:rPr>
          <w:rFonts w:ascii="Times New Roman" w:hAnsi="Times New Roman"/>
          <w:sz w:val="22"/>
        </w:rPr>
        <w:t>Water-distribution anomalies are inherently multivariate because flow, pressure, energy consumption, environmental conditions, and operational variables can change together. A recent publicly available multisource dataset for urban water-distribution research combines one year of operational flow and pressure data with additional variables and confirmed leak information, demonstrating the practical value of multivariate datasets for anomaly detection and early-warning research [2].</w:t>
      </w:r>
    </w:p>
    <w:p>
      <w:pPr>
        <w:spacing w:line="276" w:lineRule="auto" w:after="80"/>
      </w:pPr>
      <w:r>
        <w:rPr>
          <w:rFonts w:ascii="Times New Roman" w:hAnsi="Times New Roman"/>
          <w:sz w:val="22"/>
        </w:rPr>
        <w:t>This supports the infrastructure component of KAMI, in which flow and pressure are analysed jointly rather than treated only as unrelated threshold signals.</w:t>
      </w:r>
    </w:p>
    <w:p>
      <w:pPr>
        <w:pStyle w:val="Heading2"/>
        <w:spacing w:before="160" w:after="80"/>
      </w:pPr>
      <w:r>
        <w:rPr>
          <w:rFonts w:ascii="Times New Roman" w:hAnsi="Times New Roman"/>
          <w:sz w:val="22"/>
        </w:rPr>
        <w:t>2.3 Machine Learning for Water-Quality Behaviour</w:t>
      </w:r>
    </w:p>
    <w:p>
      <w:pPr>
        <w:spacing w:line="276" w:lineRule="auto" w:after="80"/>
      </w:pPr>
      <w:r>
        <w:rPr>
          <w:rFonts w:ascii="Times New Roman" w:hAnsi="Times New Roman"/>
          <w:sz w:val="22"/>
        </w:rPr>
        <w:t>A critical review of machine learning for drinking-water quality management identifies anomaly detection as an important application area and notes that changes in one or more surrogate water-quality parameters measured by low-cost sensors can indicate anomalous events. The review also identifies dataset availability, interpretability, generalization, integrated models, and real-time response as major challenges [3].</w:t>
      </w:r>
    </w:p>
    <w:p>
      <w:pPr>
        <w:spacing w:line="276" w:lineRule="auto" w:after="80"/>
      </w:pPr>
      <w:r>
        <w:rPr>
          <w:rFonts w:ascii="Times New Roman" w:hAnsi="Times New Roman"/>
          <w:sz w:val="22"/>
        </w:rPr>
        <w:t>These findings justify the inclusion of monitored quality behaviour in KAMI. However, the project does not claim that turbidity and TDS alone certify drinking-water safety or identify a specific contaminant. They are treated as monitored indicators of deviation that may contribute evidence to an anomaly assessment.</w:t>
      </w:r>
    </w:p>
    <w:p>
      <w:pPr>
        <w:pStyle w:val="Heading2"/>
        <w:spacing w:before="160" w:after="80"/>
      </w:pPr>
      <w:r>
        <w:rPr>
          <w:rFonts w:ascii="Times New Roman" w:hAnsi="Times New Roman"/>
          <w:sz w:val="22"/>
        </w:rPr>
        <w:t>2.4 Gap Identified from the Literature</w:t>
      </w:r>
    </w:p>
    <w:p>
      <w:pPr>
        <w:spacing w:line="276" w:lineRule="auto" w:after="80"/>
      </w:pPr>
      <w:r>
        <w:rPr>
          <w:rFonts w:ascii="Times New Roman" w:hAnsi="Times New Roman"/>
          <w:sz w:val="22"/>
        </w:rPr>
        <w:t>The literature demonstrates that anomaly detection, hydraulic monitoring, water-quality analysis, and IoT-based sensing are individually well-studied. The practical challenge for a student project is therefore not to combine every available technology, but to create a focused methodology that is technically feasible and academically defensible.</w:t>
      </w:r>
    </w:p>
    <w:p>
      <w:pPr>
        <w:spacing w:line="276" w:lineRule="auto" w:after="80"/>
      </w:pPr>
      <w:r>
        <w:rPr>
          <w:rFonts w:ascii="Times New Roman" w:hAnsi="Times New Roman"/>
          <w:sz w:val="22"/>
        </w:rPr>
        <w:t>KAMI addresses this by proposing a multi-stage interpretation framework. Infrastructure and water-quality signals are first analysed separately so that the origin of the evidence remains visible. Temporal context is then considered before a final fusion stage produces an interpretable output.</w:t>
      </w:r>
    </w:p>
    <w:p>
      <w:pPr>
        <w:pStyle w:val="Heading2"/>
        <w:spacing w:before="160" w:after="80"/>
      </w:pPr>
      <w:r>
        <w:rPr>
          <w:rFonts w:ascii="Times New Roman" w:hAnsi="Times New Roman"/>
          <w:sz w:val="22"/>
        </w:rPr>
        <w:t>2.5 Relationship to the Water Access Navigator Project</w:t>
      </w:r>
    </w:p>
    <w:p>
      <w:pPr>
        <w:spacing w:line="276" w:lineRule="auto" w:after="80"/>
      </w:pPr>
      <w:r>
        <w:rPr>
          <w:rFonts w:ascii="Times New Roman" w:hAnsi="Times New Roman"/>
          <w:sz w:val="22"/>
        </w:rPr>
        <w:t>The incomplete Water Access Navigator project that inspired the broader idea addressed a different problem: improving access to water-related information through multilingual interaction, RAG, speech processing, complaint support, and analytics. KAMI does not replicate that project. Instead of information-access intelligence, KAMI focuses on physical water-system intelligence based on sensor and time-series data.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Water Access Navigator</w:t>
            </w:r>
          </w:p>
        </w:tc>
        <w:tc>
          <w:tcPr>
            <w:tcW w:type="dxa" w:w="4968"/>
            <w:vAlign w:val="center"/>
          </w:tcPr>
          <w:p>
            <w:r>
              <w:rPr>
                <w:b/>
              </w:rPr>
              <w:t>KAMI</w:t>
            </w:r>
          </w:p>
        </w:tc>
      </w:tr>
      <w:tr>
        <w:tc>
          <w:tcPr>
            <w:tcW w:type="dxa" w:w="4968"/>
            <w:vAlign w:val="center"/>
          </w:tcPr>
          <w:p>
            <w:r>
              <w:t>Primary focus: citizen information access</w:t>
            </w:r>
          </w:p>
        </w:tc>
        <w:tc>
          <w:tcPr>
            <w:tcW w:type="dxa" w:w="4968"/>
            <w:vAlign w:val="center"/>
          </w:tcPr>
          <w:p>
            <w:r>
              <w:t>Primary focus: water-system anomaly interpretation</w:t>
            </w:r>
          </w:p>
        </w:tc>
      </w:tr>
      <w:tr>
        <w:tc>
          <w:tcPr>
            <w:tcW w:type="dxa" w:w="4968"/>
            <w:vAlign w:val="center"/>
          </w:tcPr>
          <w:p>
            <w:r>
              <w:t>RAG and multilingual interaction</w:t>
            </w:r>
          </w:p>
        </w:tc>
        <w:tc>
          <w:tcPr>
            <w:tcW w:type="dxa" w:w="4968"/>
            <w:vAlign w:val="center"/>
          </w:tcPr>
          <w:p>
            <w:r>
              <w:t>Time-series and anomaly intelligence</w:t>
            </w:r>
          </w:p>
        </w:tc>
      </w:tr>
      <w:tr>
        <w:tc>
          <w:tcPr>
            <w:tcW w:type="dxa" w:w="4968"/>
            <w:vAlign w:val="center"/>
          </w:tcPr>
          <w:p>
            <w:r>
              <w:t>Queries, documents and complaints</w:t>
            </w:r>
          </w:p>
        </w:tc>
        <w:tc>
          <w:tcPr>
            <w:tcW w:type="dxa" w:w="4968"/>
            <w:vAlign w:val="center"/>
          </w:tcPr>
          <w:p>
            <w:r>
              <w:t>Flow, pressure and monitored quality data</w:t>
            </w:r>
          </w:p>
        </w:tc>
      </w:tr>
      <w:tr>
        <w:tc>
          <w:tcPr>
            <w:tcW w:type="dxa" w:w="4968"/>
            <w:vAlign w:val="center"/>
          </w:tcPr>
          <w:p>
            <w:r>
              <w:t>Citizen-facing service</w:t>
            </w:r>
          </w:p>
        </w:tc>
        <w:tc>
          <w:tcPr>
            <w:tcW w:type="dxa" w:w="4968"/>
            <w:vAlign w:val="center"/>
          </w:tcPr>
          <w:p>
            <w:r>
              <w:t>AI monitoring and incident assessment</w:t>
            </w:r>
          </w:p>
        </w:tc>
      </w:tr>
      <w:tr>
        <w:tc>
          <w:tcPr>
            <w:tcW w:type="dxa" w:w="4968"/>
            <w:vAlign w:val="center"/>
          </w:tcPr>
          <w:p>
            <w:r>
              <w:t>Information retrieval problem</w:t>
            </w:r>
          </w:p>
        </w:tc>
        <w:tc>
          <w:tcPr>
            <w:tcW w:type="dxa" w:w="4968"/>
            <w:vAlign w:val="center"/>
          </w:tcPr>
          <w:p>
            <w:r>
              <w:t>Multivariate contextual anomaly problem</w:t>
            </w:r>
          </w:p>
        </w:tc>
      </w:tr>
    </w:tbl>
    <w:p/>
    <w:p>
      <w:pPr>
        <w:pStyle w:val="Heading1"/>
        <w:spacing w:before="160" w:after="80"/>
      </w:pPr>
      <w:r>
        <w:rPr>
          <w:rFonts w:ascii="Times New Roman" w:hAnsi="Times New Roman"/>
          <w:sz w:val="22"/>
        </w:rPr>
        <w:t>3. DESIGN FIGURE</w:t>
      </w:r>
    </w:p>
    <w:p>
      <w:pPr>
        <w:jc w:val="center"/>
      </w:pPr>
      <w:r>
        <w:rPr>
          <w:rFonts w:ascii="Times New Roman" w:hAnsi="Times New Roman"/>
          <w:sz w:val="22"/>
        </w:rPr>
        <w:drawing>
          <wp:inline xmlns:a="http://schemas.openxmlformats.org/drawingml/2006/main" xmlns:pic="http://schemas.openxmlformats.org/drawingml/2006/picture">
            <wp:extent cx="6400800" cy="3869895"/>
            <wp:docPr id="1" name="Picture 1"/>
            <wp:cNvGraphicFramePr>
              <a:graphicFrameLocks noChangeAspect="1"/>
            </wp:cNvGraphicFramePr>
            <a:graphic>
              <a:graphicData uri="http://schemas.openxmlformats.org/drawingml/2006/picture">
                <pic:pic>
                  <pic:nvPicPr>
                    <pic:cNvPr id="0" name="kami_final_architecture.png"/>
                    <pic:cNvPicPr/>
                  </pic:nvPicPr>
                  <pic:blipFill>
                    <a:blip r:embed="rId9"/>
                    <a:stretch>
                      <a:fillRect/>
                    </a:stretch>
                  </pic:blipFill>
                  <pic:spPr>
                    <a:xfrm>
                      <a:off x="0" y="0"/>
                      <a:ext cx="6400800" cy="3869895"/>
                    </a:xfrm>
                    <a:prstGeom prst="rect"/>
                  </pic:spPr>
                </pic:pic>
              </a:graphicData>
            </a:graphic>
          </wp:inline>
        </w:drawing>
      </w:r>
    </w:p>
    <w:p>
      <w:pPr>
        <w:jc w:val="center"/>
      </w:pPr>
      <w:r>
        <w:rPr>
          <w:rFonts w:ascii="Times New Roman" w:hAnsi="Times New Roman"/>
          <w:i/>
          <w:sz w:val="22"/>
        </w:rPr>
        <w:t>Figure 1. Final refined architecture of the KAMI system.</w:t>
      </w:r>
    </w:p>
    <w:p>
      <w:pPr>
        <w:pStyle w:val="Heading2"/>
        <w:spacing w:before="160" w:after="80"/>
      </w:pPr>
      <w:r>
        <w:rPr>
          <w:rFonts w:ascii="Times New Roman" w:hAnsi="Times New Roman"/>
          <w:sz w:val="22"/>
        </w:rPr>
        <w:t>3.1 Detailed Explanation of the Design</w:t>
      </w:r>
    </w:p>
    <w:p>
      <w:pPr>
        <w:spacing w:line="276" w:lineRule="auto" w:after="80"/>
      </w:pPr>
      <w:r>
        <w:rPr>
          <w:rFonts w:ascii="Times New Roman" w:hAnsi="Times New Roman"/>
          <w:sz w:val="22"/>
        </w:rPr>
        <w:t>The system is divided into clear stages for easier implementation and understanding.</w:t>
      </w:r>
    </w:p>
    <w:p>
      <w:pPr>
        <w:spacing w:line="276" w:lineRule="auto" w:after="80"/>
      </w:pPr>
      <w:r>
        <w:rPr>
          <w:rFonts w:ascii="Times New Roman" w:hAnsi="Times New Roman"/>
          <w:sz w:val="22"/>
        </w:rPr>
        <w:t>Stage 1 prepares the data. Historical and public datasets are used to develop the individual analysis modules. A controlled IoT prototype later provides synchronized measurements for end-to-end testing. This distinction is important: separate public datasets can validate individual infrastructure and water-quality modules, but they should not be used to claim real cross-domain correlation unless the variables are synchronized in the same time-series environment.</w:t>
      </w:r>
    </w:p>
    <w:p>
      <w:pPr>
        <w:spacing w:line="276" w:lineRule="auto" w:after="80"/>
      </w:pPr>
      <w:r>
        <w:rPr>
          <w:rFonts w:ascii="Times New Roman" w:hAnsi="Times New Roman"/>
          <w:sz w:val="22"/>
        </w:rPr>
        <w:t>Stage 2 contains two domain analyses. The infrastructure branch analyses flow and pressure behaviour. The water-quality branch analyses turbidity and TDS behaviour. Each branch produces domain-specific anomaly evidence rather than immediately generating one final alarm.</w:t>
      </w:r>
    </w:p>
    <w:p>
      <w:pPr>
        <w:spacing w:line="276" w:lineRule="auto" w:after="80"/>
      </w:pPr>
      <w:r>
        <w:rPr>
          <w:rFonts w:ascii="Times New Roman" w:hAnsi="Times New Roman"/>
          <w:sz w:val="22"/>
        </w:rPr>
        <w:t>Stage 3 evaluates temporal context. The system examines whether evidence is sudden, persistent, recurring, or short-lived. This prevents the final output from treating every isolated spike as equally important.</w:t>
      </w:r>
    </w:p>
    <w:p>
      <w:pPr>
        <w:spacing w:line="276" w:lineRule="auto" w:after="80"/>
      </w:pPr>
      <w:r>
        <w:rPr>
          <w:rFonts w:ascii="Times New Roman" w:hAnsi="Times New Roman"/>
          <w:sz w:val="22"/>
        </w:rPr>
        <w:t>Stage 4 is the KAMI contextual fusion stage. It receives the domain-level evidence and temporal characteristics and generates a final interpretable assessment.</w:t>
      </w:r>
    </w:p>
    <w:p>
      <w:pPr>
        <w:spacing w:line="276" w:lineRule="auto" w:after="80"/>
      </w:pPr>
      <w:r>
        <w:rPr>
          <w:rFonts w:ascii="Times New Roman" w:hAnsi="Times New Roman"/>
          <w:sz w:val="22"/>
        </w:rPr>
        <w:t>Stage 5 presents the result as a category and priority level. The system can distinguish, for example, between infrastructure-only evidence, quality-only evidence, combined evidence, and persistent higher-priority events.</w:t>
      </w:r>
    </w:p>
    <w:p>
      <w:pPr>
        <w:pStyle w:val="Heading1"/>
        <w:spacing w:before="160" w:after="80"/>
      </w:pPr>
      <w:r>
        <w:rPr>
          <w:rFonts w:ascii="Times New Roman" w:hAnsi="Times New Roman"/>
          <w:sz w:val="22"/>
        </w:rPr>
        <w:t>4. MODULE DESCRIPTION</w:t>
      </w:r>
    </w:p>
    <w:p>
      <w:pPr>
        <w:pStyle w:val="Heading2"/>
        <w:spacing w:before="160" w:after="80"/>
      </w:pPr>
      <w:r>
        <w:rPr>
          <w:rFonts w:ascii="Times New Roman" w:hAnsi="Times New Roman"/>
          <w:sz w:val="22"/>
        </w:rPr>
        <w:t>Module 1: Data Acquisition and Ingestion</w:t>
      </w:r>
    </w:p>
    <w:p>
      <w:pPr>
        <w:spacing w:line="276" w:lineRule="auto" w:after="80"/>
      </w:pPr>
      <w:r>
        <w:rPr>
          <w:rFonts w:ascii="Times New Roman" w:hAnsi="Times New Roman"/>
          <w:sz w:val="22"/>
        </w:rPr>
        <w:t>Purpose: Collect historical/public data for model development and live synchronized measurements during prototype integration.</w:t>
      </w:r>
    </w:p>
    <w:p>
      <w:pPr>
        <w:spacing w:line="276" w:lineRule="auto" w:after="80"/>
      </w:pPr>
      <w:r>
        <w:rPr>
          <w:rFonts w:ascii="Times New Roman" w:hAnsi="Times New Roman"/>
          <w:sz w:val="22"/>
        </w:rPr>
        <w:t>Functions: Accept timestamped flow, pressure, turbidity, TDS and available metadata; convert inputs into a common structured format.</w:t>
      </w:r>
    </w:p>
    <w:p>
      <w:pPr>
        <w:spacing w:line="276" w:lineRule="auto" w:after="80"/>
      </w:pPr>
      <w:r>
        <w:rPr>
          <w:rFonts w:ascii="Times New Roman" w:hAnsi="Times New Roman"/>
          <w:sz w:val="22"/>
        </w:rPr>
        <w:t>Interaction: Sends standardized observations to preprocessing.</w:t>
      </w:r>
    </w:p>
    <w:p>
      <w:pPr>
        <w:pStyle w:val="Heading2"/>
        <w:spacing w:before="160" w:after="80"/>
      </w:pPr>
      <w:r>
        <w:rPr>
          <w:rFonts w:ascii="Times New Roman" w:hAnsi="Times New Roman"/>
          <w:sz w:val="22"/>
        </w:rPr>
        <w:t>Module 2: Data Preprocessing</w:t>
      </w:r>
    </w:p>
    <w:p>
      <w:pPr>
        <w:spacing w:line="276" w:lineRule="auto" w:after="80"/>
      </w:pPr>
      <w:r>
        <w:rPr>
          <w:rFonts w:ascii="Times New Roman" w:hAnsi="Times New Roman"/>
          <w:sz w:val="22"/>
        </w:rPr>
        <w:t>Purpose: Improve data consistency before analysis.</w:t>
      </w:r>
    </w:p>
    <w:p>
      <w:pPr>
        <w:spacing w:line="276" w:lineRule="auto" w:after="80"/>
      </w:pPr>
      <w:r>
        <w:rPr>
          <w:rFonts w:ascii="Times New Roman" w:hAnsi="Times New Roman"/>
          <w:sz w:val="22"/>
        </w:rPr>
        <w:t>Functions: Handle missing values, remove duplicates, flag invalid readings, align timestamps and normalize variables where required.</w:t>
      </w:r>
    </w:p>
    <w:p>
      <w:pPr>
        <w:spacing w:line="276" w:lineRule="auto" w:after="80"/>
      </w:pPr>
      <w:r>
        <w:rPr>
          <w:rFonts w:ascii="Times New Roman" w:hAnsi="Times New Roman"/>
          <w:sz w:val="22"/>
        </w:rPr>
        <w:t>Interaction: Sends cleaned data to feature engineering.</w:t>
      </w:r>
    </w:p>
    <w:p>
      <w:pPr>
        <w:pStyle w:val="Heading2"/>
        <w:spacing w:before="160" w:after="80"/>
      </w:pPr>
      <w:r>
        <w:rPr>
          <w:rFonts w:ascii="Times New Roman" w:hAnsi="Times New Roman"/>
          <w:sz w:val="22"/>
        </w:rPr>
        <w:t>Module 3: Contextual Feature Engineering</w:t>
      </w:r>
    </w:p>
    <w:p>
      <w:pPr>
        <w:spacing w:line="276" w:lineRule="auto" w:after="80"/>
      </w:pPr>
      <w:r>
        <w:rPr>
          <w:rFonts w:ascii="Times New Roman" w:hAnsi="Times New Roman"/>
          <w:sz w:val="22"/>
        </w:rPr>
        <w:t>Purpose: Represent changes and short-term behaviour in addition to raw sensor values.</w:t>
      </w:r>
    </w:p>
    <w:p>
      <w:pPr>
        <w:spacing w:line="276" w:lineRule="auto" w:after="80"/>
      </w:pPr>
      <w:r>
        <w:rPr>
          <w:rFonts w:ascii="Times New Roman" w:hAnsi="Times New Roman"/>
          <w:sz w:val="22"/>
        </w:rPr>
        <w:t>Functions: Generate rolling statistics, rates of change, slopes, deviations from recent behaviour and temporal-window features.</w:t>
      </w:r>
    </w:p>
    <w:p>
      <w:pPr>
        <w:spacing w:line="276" w:lineRule="auto" w:after="80"/>
      </w:pPr>
      <w:r>
        <w:rPr>
          <w:rFonts w:ascii="Times New Roman" w:hAnsi="Times New Roman"/>
          <w:sz w:val="22"/>
        </w:rPr>
        <w:t>Interaction: Supplies features to both domain analysis modules and temporal analysis.</w:t>
      </w:r>
    </w:p>
    <w:p>
      <w:pPr>
        <w:pStyle w:val="Heading2"/>
        <w:spacing w:before="160" w:after="80"/>
      </w:pPr>
      <w:r>
        <w:rPr>
          <w:rFonts w:ascii="Times New Roman" w:hAnsi="Times New Roman"/>
          <w:sz w:val="22"/>
        </w:rPr>
        <w:t>Module 4: Infrastructure Behaviour Analysis</w:t>
      </w:r>
    </w:p>
    <w:p>
      <w:pPr>
        <w:spacing w:line="276" w:lineRule="auto" w:after="80"/>
      </w:pPr>
      <w:r>
        <w:rPr>
          <w:rFonts w:ascii="Times New Roman" w:hAnsi="Times New Roman"/>
          <w:sz w:val="22"/>
        </w:rPr>
        <w:t>Purpose: Identify unusual joint behaviour in flow and pressure.</w:t>
      </w:r>
    </w:p>
    <w:p>
      <w:pPr>
        <w:spacing w:line="276" w:lineRule="auto" w:after="80"/>
      </w:pPr>
      <w:r>
        <w:rPr>
          <w:rFonts w:ascii="Times New Roman" w:hAnsi="Times New Roman"/>
          <w:sz w:val="22"/>
        </w:rPr>
        <w:t>Functions: Produce an infrastructure anomaly score/evidence signal using selected baseline and proposed analysis pipelines.</w:t>
      </w:r>
    </w:p>
    <w:p>
      <w:pPr>
        <w:spacing w:line="276" w:lineRule="auto" w:after="80"/>
      </w:pPr>
      <w:r>
        <w:rPr>
          <w:rFonts w:ascii="Times New Roman" w:hAnsi="Times New Roman"/>
          <w:sz w:val="22"/>
        </w:rPr>
        <w:t>Interaction: Sends infrastructure evidence to temporal analysis and KAMI fusion.</w:t>
      </w:r>
    </w:p>
    <w:p>
      <w:pPr>
        <w:pStyle w:val="Heading2"/>
        <w:spacing w:before="160" w:after="80"/>
      </w:pPr>
      <w:r>
        <w:rPr>
          <w:rFonts w:ascii="Times New Roman" w:hAnsi="Times New Roman"/>
          <w:sz w:val="22"/>
        </w:rPr>
        <w:t>Module 5: Water-Quality Behaviour Analysis</w:t>
      </w:r>
    </w:p>
    <w:p>
      <w:pPr>
        <w:spacing w:line="276" w:lineRule="auto" w:after="80"/>
      </w:pPr>
      <w:r>
        <w:rPr>
          <w:rFonts w:ascii="Times New Roman" w:hAnsi="Times New Roman"/>
          <w:sz w:val="22"/>
        </w:rPr>
        <w:t>Purpose: Identify unusual behaviour in monitored turbidity and TDS measurements.</w:t>
      </w:r>
    </w:p>
    <w:p>
      <w:pPr>
        <w:spacing w:line="276" w:lineRule="auto" w:after="80"/>
      </w:pPr>
      <w:r>
        <w:rPr>
          <w:rFonts w:ascii="Times New Roman" w:hAnsi="Times New Roman"/>
          <w:sz w:val="22"/>
        </w:rPr>
        <w:t>Functions: Produce a quality-deviation score/evidence signal; does not independently certify water safety.</w:t>
      </w:r>
    </w:p>
    <w:p>
      <w:pPr>
        <w:spacing w:line="276" w:lineRule="auto" w:after="80"/>
      </w:pPr>
      <w:r>
        <w:rPr>
          <w:rFonts w:ascii="Times New Roman" w:hAnsi="Times New Roman"/>
          <w:sz w:val="22"/>
        </w:rPr>
        <w:t>Interaction: Sends quality evidence to temporal analysis and KAMI fusion.</w:t>
      </w:r>
    </w:p>
    <w:p>
      <w:pPr>
        <w:pStyle w:val="Heading2"/>
        <w:spacing w:before="160" w:after="80"/>
      </w:pPr>
      <w:r>
        <w:rPr>
          <w:rFonts w:ascii="Times New Roman" w:hAnsi="Times New Roman"/>
          <w:sz w:val="22"/>
        </w:rPr>
        <w:t>Module 6: Temporal Context Analysis</w:t>
      </w:r>
    </w:p>
    <w:p>
      <w:pPr>
        <w:spacing w:line="276" w:lineRule="auto" w:after="80"/>
      </w:pPr>
      <w:r>
        <w:rPr>
          <w:rFonts w:ascii="Times New Roman" w:hAnsi="Times New Roman"/>
          <w:sz w:val="22"/>
        </w:rPr>
        <w:t>Purpose: Determine whether anomaly evidence is sudden, persistent, recurring or transient.</w:t>
      </w:r>
    </w:p>
    <w:p>
      <w:pPr>
        <w:spacing w:line="276" w:lineRule="auto" w:after="80"/>
      </w:pPr>
      <w:r>
        <w:rPr>
          <w:rFonts w:ascii="Times New Roman" w:hAnsi="Times New Roman"/>
          <w:sz w:val="22"/>
        </w:rPr>
        <w:t>Functions: Evaluate duration, rolling behaviour and change patterns.</w:t>
      </w:r>
    </w:p>
    <w:p>
      <w:pPr>
        <w:spacing w:line="276" w:lineRule="auto" w:after="80"/>
      </w:pPr>
      <w:r>
        <w:rPr>
          <w:rFonts w:ascii="Times New Roman" w:hAnsi="Times New Roman"/>
          <w:sz w:val="22"/>
        </w:rPr>
        <w:t>Interaction: Supplies temporal context to KAMI fusion.</w:t>
      </w:r>
    </w:p>
    <w:p>
      <w:pPr>
        <w:pStyle w:val="Heading2"/>
        <w:spacing w:before="160" w:after="80"/>
      </w:pPr>
      <w:r>
        <w:rPr>
          <w:rFonts w:ascii="Times New Roman" w:hAnsi="Times New Roman"/>
          <w:sz w:val="22"/>
        </w:rPr>
        <w:t>Module 7: KAMI Contextual Fusion</w:t>
      </w:r>
    </w:p>
    <w:p>
      <w:pPr>
        <w:spacing w:line="276" w:lineRule="auto" w:after="80"/>
      </w:pPr>
      <w:r>
        <w:rPr>
          <w:rFonts w:ascii="Times New Roman" w:hAnsi="Times New Roman"/>
          <w:sz w:val="22"/>
        </w:rPr>
        <w:t>Purpose: Combine infrastructure evidence, quality evidence and temporal context.</w:t>
      </w:r>
    </w:p>
    <w:p>
      <w:pPr>
        <w:spacing w:line="276" w:lineRule="auto" w:after="80"/>
      </w:pPr>
      <w:r>
        <w:rPr>
          <w:rFonts w:ascii="Times New Roman" w:hAnsi="Times New Roman"/>
          <w:sz w:val="22"/>
        </w:rPr>
        <w:t>Functions: Produce an interpretable incident category and priority level using a transparent, testable fusion strategy.</w:t>
      </w:r>
    </w:p>
    <w:p>
      <w:pPr>
        <w:spacing w:line="276" w:lineRule="auto" w:after="80"/>
      </w:pPr>
      <w:r>
        <w:rPr>
          <w:rFonts w:ascii="Times New Roman" w:hAnsi="Times New Roman"/>
          <w:sz w:val="22"/>
        </w:rPr>
        <w:t>Interaction: Receives outputs from Modules 4–6 and sends the final assessment to visualization.</w:t>
      </w:r>
    </w:p>
    <w:p>
      <w:pPr>
        <w:pStyle w:val="Heading2"/>
        <w:spacing w:before="160" w:after="80"/>
      </w:pPr>
      <w:r>
        <w:rPr>
          <w:rFonts w:ascii="Times New Roman" w:hAnsi="Times New Roman"/>
          <w:sz w:val="22"/>
        </w:rPr>
        <w:t>Module 8: IoT Integration and Visualization</w:t>
      </w:r>
    </w:p>
    <w:p>
      <w:pPr>
        <w:spacing w:line="276" w:lineRule="auto" w:after="80"/>
      </w:pPr>
      <w:r>
        <w:rPr>
          <w:rFonts w:ascii="Times New Roman" w:hAnsi="Times New Roman"/>
          <w:sz w:val="22"/>
        </w:rPr>
        <w:t>Purpose: Demonstrate real-time input and presentation of KAMI outputs.</w:t>
      </w:r>
    </w:p>
    <w:p>
      <w:pPr>
        <w:spacing w:line="276" w:lineRule="auto" w:after="80"/>
      </w:pPr>
      <w:r>
        <w:rPr>
          <w:rFonts w:ascii="Times New Roman" w:hAnsi="Times New Roman"/>
          <w:sz w:val="22"/>
        </w:rPr>
        <w:t>Functions: ESP32 collects prototype sensor data and transmits it to the backend; dashboard displays measurements, evidence and final assessment.</w:t>
      </w:r>
    </w:p>
    <w:p>
      <w:pPr>
        <w:spacing w:line="276" w:lineRule="auto" w:after="80"/>
      </w:pPr>
      <w:r>
        <w:rPr>
          <w:rFonts w:ascii="Times New Roman" w:hAnsi="Times New Roman"/>
          <w:sz w:val="22"/>
        </w:rPr>
        <w:t>Interaction: Supplies live input to Module 1 and receives final outputs from Module 7.</w:t>
      </w:r>
    </w:p>
    <w:p>
      <w:pPr>
        <w:pStyle w:val="Heading1"/>
        <w:spacing w:before="160" w:after="80"/>
      </w:pPr>
      <w:r>
        <w:rPr>
          <w:rFonts w:ascii="Times New Roman" w:hAnsi="Times New Roman"/>
          <w:sz w:val="22"/>
        </w:rPr>
        <w:t>5. DATASET AND METHOD DESCRIPTION</w:t>
      </w:r>
    </w:p>
    <w:p>
      <w:pPr>
        <w:pStyle w:val="Heading2"/>
        <w:spacing w:before="160" w:after="80"/>
      </w:pPr>
      <w:r>
        <w:rPr>
          <w:rFonts w:ascii="Times New Roman" w:hAnsi="Times New Roman"/>
          <w:sz w:val="22"/>
        </w:rPr>
        <w:t>5.1 Dataset Strategy</w:t>
      </w:r>
    </w:p>
    <w:p>
      <w:pPr>
        <w:spacing w:line="276" w:lineRule="auto" w:after="80"/>
      </w:pPr>
      <w:r>
        <w:rPr>
          <w:rFonts w:ascii="Times New Roman" w:hAnsi="Times New Roman"/>
          <w:sz w:val="22"/>
        </w:rPr>
        <w:t>The final dataset strategy has been refined to avoid a methodological weakness in the earlier design. It is unlikely that one public dataset will contain synchronized flow, pressure, turbidity, TDS, and reliable labels for every anomaly type. Therefore, KAMI uses a three-level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Level</w:t>
            </w:r>
          </w:p>
        </w:tc>
        <w:tc>
          <w:tcPr>
            <w:tcW w:type="dxa" w:w="3312"/>
            <w:vAlign w:val="center"/>
          </w:tcPr>
          <w:p>
            <w:r>
              <w:rPr>
                <w:b/>
              </w:rPr>
              <w:t>Data Use</w:t>
            </w:r>
          </w:p>
        </w:tc>
        <w:tc>
          <w:tcPr>
            <w:tcW w:type="dxa" w:w="3312"/>
            <w:vAlign w:val="center"/>
          </w:tcPr>
          <w:p>
            <w:r>
              <w:rPr>
                <w:b/>
              </w:rPr>
              <w:t>Purpose</w:t>
            </w:r>
          </w:p>
        </w:tc>
      </w:tr>
      <w:tr>
        <w:tc>
          <w:tcPr>
            <w:tcW w:type="dxa" w:w="3312"/>
            <w:vAlign w:val="center"/>
          </w:tcPr>
          <w:p>
            <w:r>
              <w:t>Level A</w:t>
            </w:r>
          </w:p>
        </w:tc>
        <w:tc>
          <w:tcPr>
            <w:tcW w:type="dxa" w:w="3312"/>
            <w:vAlign w:val="center"/>
          </w:tcPr>
          <w:p>
            <w:r>
              <w:t>Public/historical infrastructure data</w:t>
            </w:r>
          </w:p>
        </w:tc>
        <w:tc>
          <w:tcPr>
            <w:tcW w:type="dxa" w:w="3312"/>
            <w:vAlign w:val="center"/>
          </w:tcPr>
          <w:p>
            <w:r>
              <w:t>Develop and evaluate the infrastructure-analysis module</w:t>
            </w:r>
          </w:p>
        </w:tc>
      </w:tr>
      <w:tr>
        <w:tc>
          <w:tcPr>
            <w:tcW w:type="dxa" w:w="3312"/>
            <w:vAlign w:val="center"/>
          </w:tcPr>
          <w:p>
            <w:r>
              <w:t>Level B</w:t>
            </w:r>
          </w:p>
        </w:tc>
        <w:tc>
          <w:tcPr>
            <w:tcW w:type="dxa" w:w="3312"/>
            <w:vAlign w:val="center"/>
          </w:tcPr>
          <w:p>
            <w:r>
              <w:t>Public/historical water-quality data</w:t>
            </w:r>
          </w:p>
        </w:tc>
        <w:tc>
          <w:tcPr>
            <w:tcW w:type="dxa" w:w="3312"/>
            <w:vAlign w:val="center"/>
          </w:tcPr>
          <w:p>
            <w:r>
              <w:t>Develop and evaluate the water-quality-analysis module</w:t>
            </w:r>
          </w:p>
        </w:tc>
      </w:tr>
      <w:tr>
        <w:tc>
          <w:tcPr>
            <w:tcW w:type="dxa" w:w="3312"/>
            <w:vAlign w:val="center"/>
          </w:tcPr>
          <w:p>
            <w:r>
              <w:t>Level C</w:t>
            </w:r>
          </w:p>
        </w:tc>
        <w:tc>
          <w:tcPr>
            <w:tcW w:type="dxa" w:w="3312"/>
            <w:vAlign w:val="center"/>
          </w:tcPr>
          <w:p>
            <w:r>
              <w:t>Controlled synchronized IoT prototype data</w:t>
            </w:r>
          </w:p>
        </w:tc>
        <w:tc>
          <w:tcPr>
            <w:tcW w:type="dxa" w:w="3312"/>
            <w:vAlign w:val="center"/>
          </w:tcPr>
          <w:p>
            <w:r>
              <w:t>Evaluate end-to-end contextual fusion with all selected variables</w:t>
            </w:r>
          </w:p>
        </w:tc>
      </w:tr>
    </w:tbl>
    <w:p/>
    <w:p>
      <w:pPr>
        <w:spacing w:line="276" w:lineRule="auto" w:after="80"/>
      </w:pPr>
      <w:r>
        <w:rPr>
          <w:rFonts w:ascii="Times New Roman" w:hAnsi="Times New Roman"/>
          <w:sz w:val="22"/>
        </w:rPr>
        <w:t>This is academically more defensible than artificially merging unrelated datasets and claiming that their variables represent one real physical event.</w:t>
      </w:r>
    </w:p>
    <w:p>
      <w:pPr>
        <w:pStyle w:val="Heading2"/>
        <w:spacing w:before="160" w:after="80"/>
      </w:pPr>
      <w:r>
        <w:rPr>
          <w:rFonts w:ascii="Times New Roman" w:hAnsi="Times New Roman"/>
          <w:sz w:val="22"/>
        </w:rPr>
        <w:t>5.2 Candidate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Domain</w:t>
            </w:r>
          </w:p>
        </w:tc>
        <w:tc>
          <w:tcPr>
            <w:tcW w:type="dxa" w:w="3312"/>
            <w:vAlign w:val="center"/>
          </w:tcPr>
          <w:p>
            <w:r>
              <w:rPr>
                <w:b/>
              </w:rPr>
              <w:t>Core Features</w:t>
            </w:r>
          </w:p>
        </w:tc>
        <w:tc>
          <w:tcPr>
            <w:tcW w:type="dxa" w:w="3312"/>
            <w:vAlign w:val="center"/>
          </w:tcPr>
          <w:p>
            <w:r>
              <w:rPr>
                <w:b/>
              </w:rPr>
              <w:t>Derived Context</w:t>
            </w:r>
          </w:p>
        </w:tc>
      </w:tr>
      <w:tr>
        <w:tc>
          <w:tcPr>
            <w:tcW w:type="dxa" w:w="3312"/>
            <w:vAlign w:val="center"/>
          </w:tcPr>
          <w:p>
            <w:r>
              <w:t>Infrastructure</w:t>
            </w:r>
          </w:p>
        </w:tc>
        <w:tc>
          <w:tcPr>
            <w:tcW w:type="dxa" w:w="3312"/>
            <w:vAlign w:val="center"/>
          </w:tcPr>
          <w:p>
            <w:r>
              <w:t>Flow, pressure, timestamp</w:t>
            </w:r>
          </w:p>
        </w:tc>
        <w:tc>
          <w:tcPr>
            <w:tcW w:type="dxa" w:w="3312"/>
            <w:vAlign w:val="center"/>
          </w:tcPr>
          <w:p>
            <w:r>
              <w:t>Rate of change, rolling mean, slope, deviation</w:t>
            </w:r>
          </w:p>
        </w:tc>
      </w:tr>
      <w:tr>
        <w:tc>
          <w:tcPr>
            <w:tcW w:type="dxa" w:w="3312"/>
            <w:vAlign w:val="center"/>
          </w:tcPr>
          <w:p>
            <w:r>
              <w:t>Water quality</w:t>
            </w:r>
          </w:p>
        </w:tc>
        <w:tc>
          <w:tcPr>
            <w:tcW w:type="dxa" w:w="3312"/>
            <w:vAlign w:val="center"/>
          </w:tcPr>
          <w:p>
            <w:r>
              <w:t>Turbidity, TDS, timestamp</w:t>
            </w:r>
          </w:p>
        </w:tc>
        <w:tc>
          <w:tcPr>
            <w:tcW w:type="dxa" w:w="3312"/>
            <w:vAlign w:val="center"/>
          </w:tcPr>
          <w:p>
            <w:r>
              <w:t>Trend, short-term change, rolling deviation</w:t>
            </w:r>
          </w:p>
        </w:tc>
      </w:tr>
      <w:tr>
        <w:tc>
          <w:tcPr>
            <w:tcW w:type="dxa" w:w="3312"/>
            <w:vAlign w:val="center"/>
          </w:tcPr>
          <w:p>
            <w:r>
              <w:t>Temporal</w:t>
            </w:r>
          </w:p>
        </w:tc>
        <w:tc>
          <w:tcPr>
            <w:tcW w:type="dxa" w:w="3312"/>
            <w:vAlign w:val="center"/>
          </w:tcPr>
          <w:p>
            <w:r>
              <w:t>Timestamp and anomaly history</w:t>
            </w:r>
          </w:p>
        </w:tc>
        <w:tc>
          <w:tcPr>
            <w:tcW w:type="dxa" w:w="3312"/>
            <w:vAlign w:val="center"/>
          </w:tcPr>
          <w:p>
            <w:r>
              <w:t>Persistence, duration, recurrence</w:t>
            </w:r>
          </w:p>
        </w:tc>
      </w:tr>
    </w:tbl>
    <w:p/>
    <w:p>
      <w:pPr>
        <w:pStyle w:val="Heading2"/>
        <w:spacing w:before="160" w:after="80"/>
      </w:pPr>
      <w:r>
        <w:rPr>
          <w:rFonts w:ascii="Times New Roman" w:hAnsi="Times New Roman"/>
          <w:sz w:val="22"/>
        </w:rPr>
        <w:t>5.3 Preprocessing Method</w:t>
      </w:r>
    </w:p>
    <w:p>
      <w:pPr>
        <w:pStyle w:val="ListNumber"/>
        <w:spacing w:line="264" w:lineRule="auto"/>
      </w:pPr>
      <w:r>
        <w:rPr>
          <w:rFonts w:ascii="Times New Roman" w:hAnsi="Times New Roman"/>
          <w:sz w:val="22"/>
        </w:rPr>
        <w:t>Inspect the source, sampling interval, available variables and limitations of each dataset.</w:t>
      </w:r>
    </w:p>
    <w:p>
      <w:pPr>
        <w:pStyle w:val="ListNumber"/>
        <w:spacing w:line="264" w:lineRule="auto"/>
      </w:pPr>
      <w:r>
        <w:rPr>
          <w:rFonts w:ascii="Times New Roman" w:hAnsi="Times New Roman"/>
          <w:sz w:val="22"/>
        </w:rPr>
        <w:t>Remove duplicate records and identify missing or invalid observations.</w:t>
      </w:r>
    </w:p>
    <w:p>
      <w:pPr>
        <w:pStyle w:val="ListNumber"/>
        <w:spacing w:line="264" w:lineRule="auto"/>
      </w:pPr>
      <w:r>
        <w:rPr>
          <w:rFonts w:ascii="Times New Roman" w:hAnsi="Times New Roman"/>
          <w:sz w:val="22"/>
        </w:rPr>
        <w:t>Align synchronized prototype measurements using timestamps.</w:t>
      </w:r>
    </w:p>
    <w:p>
      <w:pPr>
        <w:pStyle w:val="ListNumber"/>
        <w:spacing w:line="264" w:lineRule="auto"/>
      </w:pPr>
      <w:r>
        <w:rPr>
          <w:rFonts w:ascii="Times New Roman" w:hAnsi="Times New Roman"/>
          <w:sz w:val="22"/>
        </w:rPr>
        <w:t>Apply normalization or standardization where required by the selected model.</w:t>
      </w:r>
    </w:p>
    <w:p>
      <w:pPr>
        <w:pStyle w:val="ListNumber"/>
        <w:spacing w:line="264" w:lineRule="auto"/>
      </w:pPr>
      <w:r>
        <w:rPr>
          <w:rFonts w:ascii="Times New Roman" w:hAnsi="Times New Roman"/>
          <w:sz w:val="22"/>
        </w:rPr>
        <w:t>Generate rolling and rate-of-change features without using future observations during evaluation.</w:t>
      </w:r>
    </w:p>
    <w:p>
      <w:pPr>
        <w:pStyle w:val="ListNumber"/>
        <w:spacing w:line="264" w:lineRule="auto"/>
      </w:pPr>
      <w:r>
        <w:rPr>
          <w:rFonts w:ascii="Times New Roman" w:hAnsi="Times New Roman"/>
          <w:sz w:val="22"/>
        </w:rPr>
        <w:t>Use time-aware train/test separation where possible to reduce data leakage.</w:t>
      </w:r>
    </w:p>
    <w:p>
      <w:pPr>
        <w:pStyle w:val="Heading2"/>
        <w:spacing w:before="160" w:after="80"/>
      </w:pPr>
      <w:r>
        <w:rPr>
          <w:rFonts w:ascii="Times New Roman" w:hAnsi="Times New Roman"/>
          <w:sz w:val="22"/>
        </w:rPr>
        <w:t>5.4 Baseline Methods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Role</w:t>
            </w:r>
          </w:p>
        </w:tc>
        <w:tc>
          <w:tcPr>
            <w:tcW w:type="dxa" w:w="3312"/>
            <w:vAlign w:val="center"/>
          </w:tcPr>
          <w:p>
            <w:r>
              <w:rPr>
                <w:b/>
              </w:rPr>
              <w:t>Reason</w:t>
            </w:r>
          </w:p>
        </w:tc>
      </w:tr>
      <w:tr>
        <w:tc>
          <w:tcPr>
            <w:tcW w:type="dxa" w:w="3312"/>
            <w:vAlign w:val="center"/>
          </w:tcPr>
          <w:p>
            <w:r>
              <w:t>Fixed thresholds</w:t>
            </w:r>
          </w:p>
        </w:tc>
        <w:tc>
          <w:tcPr>
            <w:tcW w:type="dxa" w:w="3312"/>
            <w:vAlign w:val="center"/>
          </w:tcPr>
          <w:p>
            <w:r>
              <w:t>Conventional baseline</w:t>
            </w:r>
          </w:p>
        </w:tc>
        <w:tc>
          <w:tcPr>
            <w:tcW w:type="dxa" w:w="3312"/>
            <w:vAlign w:val="center"/>
          </w:tcPr>
          <w:p>
            <w:r>
              <w:t>Represents independent sensor monitoring</w:t>
            </w:r>
          </w:p>
        </w:tc>
      </w:tr>
      <w:tr>
        <w:tc>
          <w:tcPr>
            <w:tcW w:type="dxa" w:w="3312"/>
            <w:vAlign w:val="center"/>
          </w:tcPr>
          <w:p>
            <w:r>
              <w:t>Isolation Forest</w:t>
            </w:r>
          </w:p>
        </w:tc>
        <w:tc>
          <w:tcPr>
            <w:tcW w:type="dxa" w:w="3312"/>
            <w:vAlign w:val="center"/>
          </w:tcPr>
          <w:p>
            <w:r>
              <w:t>Primary ML baseline</w:t>
            </w:r>
          </w:p>
        </w:tc>
        <w:tc>
          <w:tcPr>
            <w:tcW w:type="dxa" w:w="3312"/>
            <w:vAlign w:val="center"/>
          </w:tcPr>
          <w:p>
            <w:r>
              <w:t>Suitable for multivariate anomaly detection with limited labels</w:t>
            </w:r>
          </w:p>
        </w:tc>
      </w:tr>
      <w:tr>
        <w:tc>
          <w:tcPr>
            <w:tcW w:type="dxa" w:w="3312"/>
            <w:vAlign w:val="center"/>
          </w:tcPr>
          <w:p>
            <w:r>
              <w:t>One-Class SVM</w:t>
            </w:r>
          </w:p>
        </w:tc>
        <w:tc>
          <w:tcPr>
            <w:tcW w:type="dxa" w:w="3312"/>
            <w:vAlign w:val="center"/>
          </w:tcPr>
          <w:p>
            <w:r>
              <w:t>Optional secondary benchmark</w:t>
            </w:r>
          </w:p>
        </w:tc>
        <w:tc>
          <w:tcPr>
            <w:tcW w:type="dxa" w:w="3312"/>
            <w:vAlign w:val="center"/>
          </w:tcPr>
          <w:p>
            <w:r>
              <w:t>Provides an additional one-class comparison if feasible</w:t>
            </w:r>
          </w:p>
        </w:tc>
      </w:tr>
    </w:tbl>
    <w:p/>
    <w:p>
      <w:pPr>
        <w:spacing w:line="276" w:lineRule="auto" w:after="80"/>
      </w:pPr>
      <w:r>
        <w:rPr>
          <w:rFonts w:ascii="Times New Roman" w:hAnsi="Times New Roman"/>
          <w:sz w:val="22"/>
        </w:rPr>
        <w:t>The baseline methods are included for comparison and evaluation. They are not the claimed novelty of KAMI.</w:t>
      </w:r>
    </w:p>
    <w:p>
      <w:pPr>
        <w:pStyle w:val="Heading2"/>
        <w:spacing w:before="160" w:after="80"/>
      </w:pPr>
      <w:r>
        <w:rPr>
          <w:rFonts w:ascii="Times New Roman" w:hAnsi="Times New Roman"/>
          <w:sz w:val="22"/>
        </w:rPr>
        <w:t>5.5 Proposed KAMI Methodology</w:t>
      </w:r>
    </w:p>
    <w:p>
      <w:pPr>
        <w:spacing w:line="276" w:lineRule="auto" w:after="80"/>
      </w:pPr>
      <w:r>
        <w:rPr>
          <w:rFonts w:ascii="Times New Roman" w:hAnsi="Times New Roman"/>
          <w:sz w:val="22"/>
        </w:rPr>
        <w:t>The proposed method is a context-aware multi-stage workflow rather than a claim of a completely new underlying machine-learning algorithm.</w:t>
      </w:r>
    </w:p>
    <w:p>
      <w:pPr>
        <w:pStyle w:val="ListNumber"/>
        <w:spacing w:line="264" w:lineRule="auto"/>
      </w:pPr>
      <w:r>
        <w:rPr>
          <w:rFonts w:ascii="Times New Roman" w:hAnsi="Times New Roman"/>
          <w:sz w:val="22"/>
        </w:rPr>
        <w:t>Generate domain-specific anomaly evidence from infrastructure data.</w:t>
      </w:r>
    </w:p>
    <w:p>
      <w:pPr>
        <w:pStyle w:val="ListNumber"/>
        <w:spacing w:line="264" w:lineRule="auto"/>
      </w:pPr>
      <w:r>
        <w:rPr>
          <w:rFonts w:ascii="Times New Roman" w:hAnsi="Times New Roman"/>
          <w:sz w:val="22"/>
        </w:rPr>
        <w:t>Generate domain-specific anomaly evidence from monitored water-quality data.</w:t>
      </w:r>
    </w:p>
    <w:p>
      <w:pPr>
        <w:pStyle w:val="ListNumber"/>
        <w:spacing w:line="264" w:lineRule="auto"/>
      </w:pPr>
      <w:r>
        <w:rPr>
          <w:rFonts w:ascii="Times New Roman" w:hAnsi="Times New Roman"/>
          <w:sz w:val="22"/>
        </w:rPr>
        <w:t>Characterize temporal behaviour of the evidence, including persistence and suddenness.</w:t>
      </w:r>
    </w:p>
    <w:p>
      <w:pPr>
        <w:pStyle w:val="ListNumber"/>
        <w:spacing w:line="264" w:lineRule="auto"/>
      </w:pPr>
      <w:r>
        <w:rPr>
          <w:rFonts w:ascii="Times New Roman" w:hAnsi="Times New Roman"/>
          <w:sz w:val="22"/>
        </w:rPr>
        <w:t>Combine the evidence through the KAMI contextual fusion stage.</w:t>
      </w:r>
    </w:p>
    <w:p>
      <w:pPr>
        <w:pStyle w:val="ListNumber"/>
        <w:spacing w:line="264" w:lineRule="auto"/>
      </w:pPr>
      <w:r>
        <w:rPr>
          <w:rFonts w:ascii="Times New Roman" w:hAnsi="Times New Roman"/>
          <w:sz w:val="22"/>
        </w:rPr>
        <w:t>Produce an interpretable incident category and priority level.</w:t>
      </w:r>
    </w:p>
    <w:p>
      <w:pPr>
        <w:pStyle w:val="ListNumber"/>
        <w:spacing w:line="264" w:lineRule="auto"/>
      </w:pPr>
      <w:r>
        <w:rPr>
          <w:rFonts w:ascii="Times New Roman" w:hAnsi="Times New Roman"/>
          <w:sz w:val="22"/>
        </w:rPr>
        <w:t>Compare the final behaviour against simple threshold-based alerts and selected ML baselines.</w:t>
      </w:r>
    </w:p>
    <w:p>
      <w:pPr>
        <w:pStyle w:val="Heading2"/>
        <w:spacing w:before="160" w:after="80"/>
      </w:pPr>
      <w:r>
        <w:rPr>
          <w:rFonts w:ascii="Times New Roman" w:hAnsi="Times New Roman"/>
          <w:sz w:val="22"/>
        </w:rPr>
        <w:t>5.6 Contextual Fusion Logic</w:t>
      </w:r>
    </w:p>
    <w:p>
      <w:pPr>
        <w:spacing w:line="276" w:lineRule="auto" w:after="80"/>
      </w:pPr>
      <w:r>
        <w:rPr>
          <w:rFonts w:ascii="Times New Roman" w:hAnsi="Times New Roman"/>
          <w:sz w:val="22"/>
        </w:rPr>
        <w:t>The fusion mechanism will initially be implemented transparently so that its behaviour can be tested and justified during review. The final priority is based on the strength of infrastructure evidence, quality evidence and temporal persistence. The project will avoid claiming a learned causal diagnosis unless sufficient labelled data is available.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Observed Evidence</w:t>
            </w:r>
          </w:p>
        </w:tc>
        <w:tc>
          <w:tcPr>
            <w:tcW w:type="dxa" w:w="4968"/>
            <w:vAlign w:val="center"/>
          </w:tcPr>
          <w:p>
            <w:r>
              <w:rPr>
                <w:b/>
              </w:rPr>
              <w:t>Illustrative KAMI Output</w:t>
            </w:r>
          </w:p>
        </w:tc>
      </w:tr>
      <w:tr>
        <w:tc>
          <w:tcPr>
            <w:tcW w:type="dxa" w:w="4968"/>
            <w:vAlign w:val="center"/>
          </w:tcPr>
          <w:p>
            <w:r>
              <w:t>No significant evidence</w:t>
            </w:r>
          </w:p>
        </w:tc>
        <w:tc>
          <w:tcPr>
            <w:tcW w:type="dxa" w:w="4968"/>
            <w:vAlign w:val="center"/>
          </w:tcPr>
          <w:p>
            <w:r>
              <w:t>Normal</w:t>
            </w:r>
          </w:p>
        </w:tc>
      </w:tr>
      <w:tr>
        <w:tc>
          <w:tcPr>
            <w:tcW w:type="dxa" w:w="4968"/>
            <w:vAlign w:val="center"/>
          </w:tcPr>
          <w:p>
            <w:r>
              <w:t>Infrastructure evidence only</w:t>
            </w:r>
          </w:p>
        </w:tc>
        <w:tc>
          <w:tcPr>
            <w:tcW w:type="dxa" w:w="4968"/>
            <w:vAlign w:val="center"/>
          </w:tcPr>
          <w:p>
            <w:r>
              <w:t>Infrastructure anomaly</w:t>
            </w:r>
          </w:p>
        </w:tc>
      </w:tr>
      <w:tr>
        <w:tc>
          <w:tcPr>
            <w:tcW w:type="dxa" w:w="4968"/>
            <w:vAlign w:val="center"/>
          </w:tcPr>
          <w:p>
            <w:r>
              <w:t>Quality evidence only</w:t>
            </w:r>
          </w:p>
        </w:tc>
        <w:tc>
          <w:tcPr>
            <w:tcW w:type="dxa" w:w="4968"/>
            <w:vAlign w:val="center"/>
          </w:tcPr>
          <w:p>
            <w:r>
              <w:t>Water-quality deviation</w:t>
            </w:r>
          </w:p>
        </w:tc>
      </w:tr>
      <w:tr>
        <w:tc>
          <w:tcPr>
            <w:tcW w:type="dxa" w:w="4968"/>
            <w:vAlign w:val="center"/>
          </w:tcPr>
          <w:p>
            <w:r>
              <w:t>Both domains abnormal in synchronized data</w:t>
            </w:r>
          </w:p>
        </w:tc>
        <w:tc>
          <w:tcPr>
            <w:tcW w:type="dxa" w:w="4968"/>
            <w:vAlign w:val="center"/>
          </w:tcPr>
          <w:p>
            <w:r>
              <w:t>Combined anomaly</w:t>
            </w:r>
          </w:p>
        </w:tc>
      </w:tr>
      <w:tr>
        <w:tc>
          <w:tcPr>
            <w:tcW w:type="dxa" w:w="4968"/>
            <w:vAlign w:val="center"/>
          </w:tcPr>
          <w:p>
            <w:r>
              <w:t>Evidence persists or intensifies</w:t>
            </w:r>
          </w:p>
        </w:tc>
        <w:tc>
          <w:tcPr>
            <w:tcW w:type="dxa" w:w="4968"/>
            <w:vAlign w:val="center"/>
          </w:tcPr>
          <w:p>
            <w:r>
              <w:t>Higher-priority event</w:t>
            </w:r>
          </w:p>
        </w:tc>
      </w:tr>
    </w:tbl>
    <w:p/>
    <w:p>
      <w:pPr>
        <w:pStyle w:val="Heading2"/>
        <w:spacing w:before="160" w:after="80"/>
      </w:pPr>
      <w:r>
        <w:rPr>
          <w:rFonts w:ascii="Times New Roman" w:hAnsi="Times New Roman"/>
          <w:sz w:val="22"/>
        </w:rPr>
        <w:t>5.7 Evaluation Method</w:t>
      </w:r>
    </w:p>
    <w:p>
      <w:pPr>
        <w:spacing w:line="276" w:lineRule="auto" w:after="80"/>
      </w:pPr>
      <w:r>
        <w:rPr>
          <w:rFonts w:ascii="Times New Roman" w:hAnsi="Times New Roman"/>
          <w:sz w:val="22"/>
        </w:rPr>
        <w:t>Evaluation will be adapted to the available labels. Public datasets with confirmed events can support quantitative detection metrics. The synchronized prototype can support controlled scenario testing.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Evaluation Measure</w:t>
            </w:r>
          </w:p>
        </w:tc>
        <w:tc>
          <w:tcPr>
            <w:tcW w:type="dxa" w:w="4968"/>
            <w:vAlign w:val="center"/>
          </w:tcPr>
          <w:p>
            <w:r>
              <w:rPr>
                <w:b/>
              </w:rPr>
              <w:t>Use</w:t>
            </w:r>
          </w:p>
        </w:tc>
      </w:tr>
      <w:tr>
        <w:tc>
          <w:tcPr>
            <w:tcW w:type="dxa" w:w="4968"/>
            <w:vAlign w:val="center"/>
          </w:tcPr>
          <w:p>
            <w:r>
              <w:t>Precision / Recall / F1</w:t>
            </w:r>
          </w:p>
        </w:tc>
        <w:tc>
          <w:tcPr>
            <w:tcW w:type="dxa" w:w="4968"/>
            <w:vAlign w:val="center"/>
          </w:tcPr>
          <w:p>
            <w:r>
              <w:t>Evaluate labelled anomaly detection</w:t>
            </w:r>
          </w:p>
        </w:tc>
      </w:tr>
      <w:tr>
        <w:tc>
          <w:tcPr>
            <w:tcW w:type="dxa" w:w="4968"/>
            <w:vAlign w:val="center"/>
          </w:tcPr>
          <w:p>
            <w:r>
              <w:t>False-positive rate</w:t>
            </w:r>
          </w:p>
        </w:tc>
        <w:tc>
          <w:tcPr>
            <w:tcW w:type="dxa" w:w="4968"/>
            <w:vAlign w:val="center"/>
          </w:tcPr>
          <w:p>
            <w:r>
              <w:t>Measure unnecessary alerts</w:t>
            </w:r>
          </w:p>
        </w:tc>
      </w:tr>
      <w:tr>
        <w:tc>
          <w:tcPr>
            <w:tcW w:type="dxa" w:w="4968"/>
            <w:vAlign w:val="center"/>
          </w:tcPr>
          <w:p>
            <w:r>
              <w:t>Detection latency</w:t>
            </w:r>
          </w:p>
        </w:tc>
        <w:tc>
          <w:tcPr>
            <w:tcW w:type="dxa" w:w="4968"/>
            <w:vAlign w:val="center"/>
          </w:tcPr>
          <w:p>
            <w:r>
              <w:t>Measure time required to identify controlled events</w:t>
            </w:r>
          </w:p>
        </w:tc>
      </w:tr>
      <w:tr>
        <w:tc>
          <w:tcPr>
            <w:tcW w:type="dxa" w:w="4968"/>
            <w:vAlign w:val="center"/>
          </w:tcPr>
          <w:p>
            <w:r>
              <w:t>Module-level comparison</w:t>
            </w:r>
          </w:p>
        </w:tc>
        <w:tc>
          <w:tcPr>
            <w:tcW w:type="dxa" w:w="4968"/>
            <w:vAlign w:val="center"/>
          </w:tcPr>
          <w:p>
            <w:r>
              <w:t>Compare individual domain modules with baselines</w:t>
            </w:r>
          </w:p>
        </w:tc>
      </w:tr>
      <w:tr>
        <w:tc>
          <w:tcPr>
            <w:tcW w:type="dxa" w:w="4968"/>
            <w:vAlign w:val="center"/>
          </w:tcPr>
          <w:p>
            <w:r>
              <w:t>End-to-end controlled scenarios</w:t>
            </w:r>
          </w:p>
        </w:tc>
        <w:tc>
          <w:tcPr>
            <w:tcW w:type="dxa" w:w="4968"/>
            <w:vAlign w:val="center"/>
          </w:tcPr>
          <w:p>
            <w:r>
              <w:t>Test contextual fusion on synchronized prototype data</w:t>
            </w:r>
          </w:p>
        </w:tc>
      </w:tr>
      <w:tr>
        <w:tc>
          <w:tcPr>
            <w:tcW w:type="dxa" w:w="4968"/>
            <w:vAlign w:val="center"/>
          </w:tcPr>
          <w:p>
            <w:r>
              <w:t>Interpretability review</w:t>
            </w:r>
          </w:p>
        </w:tc>
        <w:tc>
          <w:tcPr>
            <w:tcW w:type="dxa" w:w="4968"/>
            <w:vAlign w:val="center"/>
          </w:tcPr>
          <w:p>
            <w:r>
              <w:t>Verify that the output identifies the contributing evidence</w:t>
            </w:r>
          </w:p>
        </w:tc>
      </w:tr>
    </w:tbl>
    <w:p/>
    <w:p>
      <w:pPr>
        <w:pStyle w:val="Heading2"/>
        <w:spacing w:before="160" w:after="80"/>
      </w:pPr>
      <w:r>
        <w:rPr>
          <w:rFonts w:ascii="Times New Roman" w:hAnsi="Times New Roman"/>
          <w:sz w:val="22"/>
        </w:rPr>
        <w:t>5.8 IoT Implementation Scope</w:t>
      </w:r>
    </w:p>
    <w:p>
      <w:pPr>
        <w:spacing w:line="276" w:lineRule="auto" w:after="80"/>
      </w:pPr>
      <w:r>
        <w:rPr>
          <w:rFonts w:ascii="Times New Roman" w:hAnsi="Times New Roman"/>
          <w:sz w:val="22"/>
        </w:rPr>
        <w:t>The IoT implementation is intentionally lightweight. The prototype will use an ESP32 as the edge controller and selected flow, pressure, turbidity and TDS sensors. The purpose is not to build a production-grade municipal IoT network. The purpose is to generate live synchronized measurements and demonstrate that the AI pipeline can operate on real-time input.</w:t>
      </w:r>
    </w:p>
    <w:p>
      <w:pPr>
        <w:spacing w:line="276" w:lineRule="auto" w:after="80"/>
      </w:pPr>
      <w:r>
        <w:rPr>
          <w:rFonts w:ascii="Times New Roman" w:hAnsi="Times New Roman"/>
          <w:sz w:val="22"/>
        </w:rPr>
        <w:t>The proposed real-time flow is: Sensors → ESP32 → MQTT or HTTP/API → Backend/Data Receiver → KAMI Pipeline → Dashboard/Alert.</w:t>
      </w:r>
    </w:p>
    <w:p>
      <w:pPr>
        <w:pStyle w:val="Heading2"/>
        <w:spacing w:before="160" w:after="80"/>
      </w:pPr>
      <w:r>
        <w:rPr>
          <w:rFonts w:ascii="Times New Roman" w:hAnsi="Times New Roman"/>
          <w:sz w:val="22"/>
        </w:rPr>
        <w:t>5.9 Feasibility and Risk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Risk</w:t>
            </w:r>
          </w:p>
        </w:tc>
        <w:tc>
          <w:tcPr>
            <w:tcW w:type="dxa" w:w="4968"/>
            <w:vAlign w:val="center"/>
          </w:tcPr>
          <w:p>
            <w:r>
              <w:rPr>
                <w:b/>
              </w:rPr>
              <w:t>Final Refinement / Control</w:t>
            </w:r>
          </w:p>
        </w:tc>
      </w:tr>
      <w:tr>
        <w:tc>
          <w:tcPr>
            <w:tcW w:type="dxa" w:w="4968"/>
            <w:vAlign w:val="center"/>
          </w:tcPr>
          <w:p>
            <w:r>
              <w:t>Project becomes too broad</w:t>
            </w:r>
          </w:p>
        </w:tc>
        <w:tc>
          <w:tcPr>
            <w:tcW w:type="dxa" w:w="4968"/>
            <w:vAlign w:val="center"/>
          </w:tcPr>
          <w:p>
            <w:r>
              <w:t>Core scope limited to contextual anomaly intelligence</w:t>
            </w:r>
          </w:p>
        </w:tc>
      </w:tr>
      <w:tr>
        <w:tc>
          <w:tcPr>
            <w:tcW w:type="dxa" w:w="4968"/>
            <w:vAlign w:val="center"/>
          </w:tcPr>
          <w:p>
            <w:r>
              <w:t>No single complete public dataset</w:t>
            </w:r>
          </w:p>
        </w:tc>
        <w:tc>
          <w:tcPr>
            <w:tcW w:type="dxa" w:w="4968"/>
            <w:vAlign w:val="center"/>
          </w:tcPr>
          <w:p>
            <w:r>
              <w:t>Separate module validation plus synchronized prototype data</w:t>
            </w:r>
          </w:p>
        </w:tc>
      </w:tr>
      <w:tr>
        <w:tc>
          <w:tcPr>
            <w:tcW w:type="dxa" w:w="4968"/>
            <w:vAlign w:val="center"/>
          </w:tcPr>
          <w:p>
            <w:r>
              <w:t>Weak novelty claim</w:t>
            </w:r>
          </w:p>
        </w:tc>
        <w:tc>
          <w:tcPr>
            <w:tcW w:type="dxa" w:w="4968"/>
            <w:vAlign w:val="center"/>
          </w:tcPr>
          <w:p>
            <w:r>
              <w:t>Existing algorithms are baselines; contribution is the staged contextual methodology</w:t>
            </w:r>
          </w:p>
        </w:tc>
      </w:tr>
      <w:tr>
        <w:tc>
          <w:tcPr>
            <w:tcW w:type="dxa" w:w="4968"/>
            <w:vAlign w:val="center"/>
          </w:tcPr>
          <w:p>
            <w:r>
              <w:t>Hardware delays AI development</w:t>
            </w:r>
          </w:p>
        </w:tc>
        <w:tc>
          <w:tcPr>
            <w:tcW w:type="dxa" w:w="4968"/>
            <w:vAlign w:val="center"/>
          </w:tcPr>
          <w:p>
            <w:r>
              <w:t>AI pipeline developed offline before IoT integration</w:t>
            </w:r>
          </w:p>
        </w:tc>
      </w:tr>
      <w:tr>
        <w:tc>
          <w:tcPr>
            <w:tcW w:type="dxa" w:w="4968"/>
            <w:vAlign w:val="center"/>
          </w:tcPr>
          <w:p>
            <w:r>
              <w:t>Low-cost quality sensors are noisy</w:t>
            </w:r>
          </w:p>
        </w:tc>
        <w:tc>
          <w:tcPr>
            <w:tcW w:type="dxa" w:w="4968"/>
            <w:vAlign w:val="center"/>
          </w:tcPr>
          <w:p>
            <w:r>
              <w:t>Prototype used for anomaly indication, not regulatory certification</w:t>
            </w:r>
          </w:p>
        </w:tc>
      </w:tr>
      <w:tr>
        <w:tc>
          <w:tcPr>
            <w:tcW w:type="dxa" w:w="4968"/>
            <w:vAlign w:val="center"/>
          </w:tcPr>
          <w:p>
            <w:r>
              <w:t>Fusion becomes arbitrary</w:t>
            </w:r>
          </w:p>
        </w:tc>
        <w:tc>
          <w:tcPr>
            <w:tcW w:type="dxa" w:w="4968"/>
            <w:vAlign w:val="center"/>
          </w:tcPr>
          <w:p>
            <w:r>
              <w:t>Use transparent rules first and justify/test every fusion decision</w:t>
            </w:r>
          </w:p>
        </w:tc>
      </w:tr>
    </w:tbl>
    <w:p/>
    <w:p>
      <w:pPr>
        <w:pStyle w:val="Heading1"/>
        <w:spacing w:before="160" w:after="80"/>
      </w:pPr>
      <w:r>
        <w:rPr>
          <w:rFonts w:ascii="Times New Roman" w:hAnsi="Times New Roman"/>
          <w:sz w:val="22"/>
        </w:rPr>
        <w:t>CONCLUSION</w:t>
      </w:r>
    </w:p>
    <w:p>
      <w:pPr>
        <w:spacing w:line="276" w:lineRule="auto" w:after="80"/>
      </w:pPr>
      <w:r>
        <w:rPr>
          <w:rFonts w:ascii="Times New Roman" w:hAnsi="Times New Roman"/>
          <w:sz w:val="22"/>
        </w:rPr>
        <w:t>After reviewing the original KAMI abstract, the Water Access Navigator source project, the professor's methodology feedback, and the First Phase report requirements, the strongest final direction is a focused AI-first project rather than another broad smart-water platform.</w:t>
      </w:r>
    </w:p>
    <w:p>
      <w:pPr>
        <w:spacing w:line="276" w:lineRule="auto" w:after="80"/>
      </w:pPr>
      <w:r>
        <w:rPr>
          <w:rFonts w:ascii="Times New Roman" w:hAnsi="Times New Roman"/>
          <w:sz w:val="22"/>
        </w:rPr>
        <w:t>The most important refinement in this final version is the dataset and evaluation design. Infrastructure and water-quality modules may be developed on suitable separate public datasets, but true combined contextual fusion should be evaluated only on synchronized data. The controlled IoT prototype provides a feasible way to create that synchronized end-to-end test environment.</w:t>
      </w:r>
    </w:p>
    <w:p>
      <w:pPr>
        <w:spacing w:line="276" w:lineRule="auto" w:after="80"/>
      </w:pPr>
      <w:r>
        <w:rPr>
          <w:rFonts w:ascii="Times New Roman" w:hAnsi="Times New Roman"/>
          <w:sz w:val="22"/>
        </w:rPr>
        <w:t>This makes KAMI more technically honest, easier to implement, and easier to defend. The project remains sufficiently AI-oriented while the IoT layer provides a realistic path to live deployment.</w:t>
      </w:r>
    </w:p>
    <w:p>
      <w:pPr>
        <w:pStyle w:val="Heading1"/>
        <w:spacing w:before="160" w:after="80"/>
      </w:pPr>
      <w:r>
        <w:rPr>
          <w:rFonts w:ascii="Times New Roman" w:hAnsi="Times New Roman"/>
          <w:sz w:val="22"/>
        </w:rPr>
        <w:t>REFERENCES</w:t>
      </w:r>
    </w:p>
    <w:p>
      <w:pPr>
        <w:spacing w:line="276" w:lineRule="auto" w:after="80"/>
      </w:pPr>
      <w:r>
        <w:rPr>
          <w:rFonts w:ascii="Times New Roman" w:hAnsi="Times New Roman"/>
          <w:sz w:val="22"/>
        </w:rPr>
        <w:t>[1] M. N. Kanyama, F. Bhunu Shava, A. M. Gamundani, and A. Hartmann, “Machine learning applications for anomaly detection in Smart Water Metering Networks: A systematic review,” Physics and Chemistry of the Earth, vol. 134, 2024, Art. no. 103558. doi: 10.1016/j.pce.2024.103558.</w:t>
      </w:r>
    </w:p>
    <w:p>
      <w:pPr>
        <w:spacing w:line="276" w:lineRule="auto" w:after="80"/>
      </w:pPr>
      <w:r>
        <w:rPr>
          <w:rFonts w:ascii="Times New Roman" w:hAnsi="Times New Roman"/>
          <w:sz w:val="22"/>
        </w:rPr>
        <w:t>[2] J. Babela, M. Munk, and D. Munkova, “A multisource dataset for anomaly detection and fault prediction in urban water distribution networks,” Scientific Data, vol. 13, Art. 901, 2026. doi: 10.1038/s41597-026-07203-5.</w:t>
      </w:r>
    </w:p>
    <w:p>
      <w:pPr>
        <w:spacing w:line="276" w:lineRule="auto" w:after="80"/>
      </w:pPr>
      <w:r>
        <w:rPr>
          <w:rFonts w:ascii="Times New Roman" w:hAnsi="Times New Roman"/>
          <w:sz w:val="22"/>
        </w:rPr>
        <w:t>[3] Z. Li, W. Ma, D. Zhong, J. Ma, Q. Zhang, Y. Yuan, X. Liu, X. Wang, and K. Zou, “Applications of machine learning in drinking water quality management: A critical review on water distribution system,” Journal of Cleaner Production, vol. 481, Art. 144171, 2024. doi: 10.1016/j.jclepro.2024.144171.</w:t>
      </w:r>
    </w:p>
    <w:p>
      <w:pPr>
        <w:spacing w:line="276" w:lineRule="auto" w:after="80"/>
      </w:pPr>
      <w:r>
        <w:rPr>
          <w:rFonts w:ascii="Times New Roman" w:hAnsi="Times New Roman"/>
          <w:sz w:val="22"/>
        </w:rPr>
        <w:t>[4] Project Report First Phase Submission Instructions, provided course document.</w:t>
      </w:r>
    </w:p>
    <w:p>
      <w:pPr>
        <w:spacing w:line="276" w:lineRule="auto" w:after="80"/>
      </w:pPr>
      <w:r>
        <w:rPr>
          <w:rFonts w:ascii="Times New Roman" w:hAnsi="Times New Roman"/>
          <w:sz w:val="22"/>
        </w:rPr>
        <w:t>[5] “Water Access Navigator: An AI-Driven Multilingual Chatbot for Accessible Water Information Dissemination in India,” source project document reviewed as conceptual background.</w:t>
      </w:r>
    </w:p>
    <w:p>
      <w:pPr>
        <w:spacing w:line="276" w:lineRule="auto" w:after="80"/>
      </w:pPr>
      <w:r>
        <w:rPr>
          <w:rFonts w:ascii="Times New Roman" w:hAnsi="Times New Roman"/>
          <w:sz w:val="22"/>
        </w:rPr>
        <w:t>[6] “KAMI: A Knowledge-driven Artificial Intelligence Platform for Predictive Water Governance, Infrastructure Intelligence, and Smart Resource Management,” original project abstract.</w:t>
      </w:r>
    </w:p>
    <w:p>
      <w:pPr>
        <w:pStyle w:val="Heading1"/>
        <w:spacing w:before="160" w:after="80"/>
      </w:pPr>
      <w:r>
        <w:rPr>
          <w:rFonts w:ascii="Times New Roman" w:hAnsi="Times New Roman"/>
          <w:sz w:val="22"/>
        </w:rPr>
        <w:t>FINAL PROJECT POSITIONING</w:t>
      </w:r>
    </w:p>
    <w:p>
      <w:pPr>
        <w:jc w:val="center"/>
      </w:pPr>
      <w:r>
        <w:rPr>
          <w:rFonts w:ascii="Times New Roman" w:hAnsi="Times New Roman"/>
          <w:sz w:val="22"/>
        </w:rPr>
        <w:t>KAMI is an AI-based water monitoring system that analyses infrastructure and water-quality data to detect and prioritize abnormal events. Existing AI methods are used as baselines, while IoT provides real-time data.</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