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83CCE" w14:textId="77777777" w:rsidR="00FD3237" w:rsidRDefault="00FD3237" w:rsidP="00FD3237">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traditional education system of India was quite different from the contemporary one. In traditional Indian society, the number of educational institutions was too small and the content of education was esoteric and essentially related with religion, philosophy, metaphysics and scriptural subjects.</w:t>
      </w:r>
    </w:p>
    <w:p w14:paraId="7F41A8C9" w14:textId="77777777" w:rsidR="00FD3237" w:rsidRDefault="00FD3237" w:rsidP="00FD3237">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education was confined to the ‘twice-born’ castes and the upper classes. The organizational structure was ascriptive and hereditary. The lower castes, particularly the scheduled castes, were denied education. Even today, the Madrassah education among Muslims is largely based on religion, philosophy and scriptural messages. </w:t>
      </w:r>
      <w:proofErr w:type="spellStart"/>
      <w:r>
        <w:rPr>
          <w:rFonts w:ascii="Georgia" w:hAnsi="Georgia"/>
          <w:color w:val="424142"/>
          <w:sz w:val="30"/>
          <w:szCs w:val="30"/>
        </w:rPr>
        <w:t>Shishu</w:t>
      </w:r>
      <w:proofErr w:type="spellEnd"/>
      <w:r>
        <w:rPr>
          <w:rFonts w:ascii="Georgia" w:hAnsi="Georgia"/>
          <w:color w:val="424142"/>
          <w:sz w:val="30"/>
          <w:szCs w:val="30"/>
        </w:rPr>
        <w:t xml:space="preserve"> Mandirs also have religion and tradition as parts of curriculum.</w:t>
      </w:r>
    </w:p>
    <w:p w14:paraId="64277D88" w14:textId="77777777" w:rsidR="004475A7" w:rsidRDefault="004475A7"/>
    <w:sectPr w:rsidR="0044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37"/>
    <w:rsid w:val="004475A7"/>
    <w:rsid w:val="00FD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D797"/>
  <w15:chartTrackingRefBased/>
  <w15:docId w15:val="{A7A7DC81-B473-487A-9375-8934E05C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2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2020-06-19T07:15:00Z</dcterms:created>
  <dcterms:modified xsi:type="dcterms:W3CDTF">2020-06-19T07:16:00Z</dcterms:modified>
</cp:coreProperties>
</file>