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Collective — Expense Reimbursement Policy</w:t>
      </w:r>
    </w:p>
    <w:p>
      <w:r>
        <w:t>Effective 2026. Policy owner: Fatima Al-Rashid, Finance Operations Manager (fatima.alrashid@northwind-tech.example).</w:t>
      </w:r>
    </w:p>
    <w:p>
      <w:pPr>
        <w:pStyle w:val="Heading2"/>
      </w:pPr>
      <w:r>
        <w:t>Submission Deadline</w:t>
      </w:r>
    </w:p>
    <w:p>
      <w:r>
        <w:t>Expense reports must be submitted within twenty-one days of the purchase date. Reports submitted after this window are approved only with written justification from the employee's manager and are subject to additional review by Finance.</w:t>
      </w:r>
    </w:p>
    <w:p>
      <w:pPr>
        <w:pStyle w:val="Heading2"/>
      </w:pPr>
      <w:r>
        <w:t>Receipt Requirements</w:t>
      </w:r>
    </w:p>
    <w:p>
      <w:r>
        <w:t>A receipt is required for any single expense over fifteen dollars. Expenses under this threshold may be submitted with a brief written description instead. Meal expenses always require a receipt regardless of amount.</w:t>
      </w:r>
    </w:p>
    <w:p>
      <w:pPr>
        <w:pStyle w:val="Heading2"/>
      </w:pPr>
      <w:r>
        <w:t>Approval Thresholds</w:t>
      </w:r>
    </w:p>
    <w:p>
      <w:r>
        <w:t>Expense reports under two hundred dollars are approved by the employee's direct manager alone. Reports between two hundred and one thousand dollars require a second approval from the department head. Reports over one thousand dollars require sign-off from the Finance Operations Manager directly.</w:t>
      </w:r>
    </w:p>
    <w:p>
      <w:pPr>
        <w:pStyle w:val="Heading2"/>
      </w:pPr>
      <w:r>
        <w:t>Reimbursement Timeline</w:t>
      </w:r>
    </w:p>
    <w:p>
      <w:r>
        <w:t>Approved expense reports are reimbursed within seven business days via direct deposit. Reports flagged for additional review by Finance may take up to fourteen business days.</w:t>
      </w:r>
    </w:p>
    <w:p>
      <w:pPr>
        <w:pStyle w:val="Heading2"/>
      </w:pPr>
      <w:r>
        <w:t>Non-Reimbursable Expenses</w:t>
      </w:r>
    </w:p>
    <w:p>
      <w:r>
        <w:t>Alcohol, personal entertainment, and traffic or parking fines are never reimbursable under this policy, even when incurred during approved business travel. Gym memberships and personal wellness subscriptions are also excluded.</w:t>
      </w:r>
    </w:p>
    <w:p>
      <w:pPr>
        <w:pStyle w:val="Heading2"/>
      </w:pPr>
      <w:r>
        <w:t>Corporate Card Misuse</w:t>
      </w:r>
    </w:p>
    <w:p>
      <w:r>
        <w:t>Any personal charge on a corporate card must be repaid within five business days of the statement date. A second instance of personal use within a rolling twelve-month period results in the corporate card being revoked.</w:t>
      </w:r>
    </w:p>
    <w:p>
      <w:pPr>
        <w:pStyle w:val="Heading2"/>
      </w:pPr>
      <w:r>
        <w:t>Questions About This Policy</w:t>
      </w:r>
    </w:p>
    <w:p>
      <w:r>
        <w:t>Questions can be directed to the Finance team at finance-help@northwind-tech.example.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