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7C34BC"/>
          <w:spacing w:val="80"/>
          <w:sz w:val="24"/>
          <w:szCs w:val="24"/>
        </w:rPr>
        <w:t xml:space="preserve">SMARK CONNECT</w:t>
      </w:r>
    </w:p>
    <w:p>
      <w:pPr>
        <w:spacing w:after="120" w:before="80"/>
      </w:pPr>
      <w:r>
        <w:rPr>
          <w:rFonts w:ascii="Arial" w:cs="Arial" w:eastAsia="Arial" w:hAnsi="Arial"/>
          <w:b/>
          <w:bCs/>
          <w:color w:val="581C87"/>
          <w:sz w:val="52"/>
          <w:szCs w:val="52"/>
        </w:rPr>
        <w:t xml:space="preserve">System Architecture &amp; Technical Manual</w:t>
      </w:r>
    </w:p>
    <w:p>
      <w:pPr>
        <w:pBdr>
          <w:bottom w:val="single" w:color="7C34BC" w:sz="24"/>
        </w:pBdr>
        <w:spacing w:after="300"/>
      </w:pPr>
      <w:r>
        <w:rPr>
          <w:rFonts w:ascii="Arial" w:cs="Arial" w:eastAsia="Arial" w:hAnsi="Arial"/>
          <w:i/>
          <w:iCs/>
          <w:color w:val="64748B"/>
          <w:sz w:val="24"/>
          <w:szCs w:val="24"/>
        </w:rPr>
        <w:t xml:space="preserve">Comprehensive Developer &amp; Engineering Documentation for Smark Connect</w:t>
      </w:r>
    </w:p>
    <w:p>
      <w:pPr>
        <w:pStyle w:val="Heading1"/>
        <w:keepNext/>
        <w:spacing w:after="140" w:before="360"/>
      </w:pPr>
      <w:r>
        <w:rPr>
          <w:rFonts w:ascii="Arial" w:cs="Arial" w:eastAsia="Arial" w:hAnsi="Arial"/>
          <w:b/>
          <w:bCs/>
          <w:color w:val="581C87"/>
          <w:sz w:val="32"/>
          <w:szCs w:val="32"/>
        </w:rPr>
        <w:t xml:space="preserve">1. System Overview &amp; Architectural Tenets</w:t>
      </w:r>
    </w:p>
    <w:p>
      <w:pPr>
        <w:spacing w:after="120" w:line="280"/>
      </w:pPr>
      <w:r>
        <w:rPr>
          <w:rFonts w:ascii="Arial" w:cs="Arial" w:eastAsia="Arial" w:hAnsi="Arial"/>
          <w:b w:val="false"/>
          <w:bCs w:val="false"/>
          <w:i w:val="false"/>
          <w:iCs w:val="false"/>
          <w:color w:val="1E293B"/>
          <w:sz w:val="20"/>
          <w:szCs w:val="20"/>
        </w:rPr>
        <w:t xml:space="preserve">Smark Connect is an enterprise-grade AI CMO and autonomous marketing operating system designed by The Smarketers. It transforms public digital evidence and proprietary customer knowledge assets into 6 parallel foundation strategy documents, 12+ channel specialist agents, real-time social opportunity mining (Reddit, X, Instagram), and multi-format client deliverables (PDF, DOCX, XLSX, PPTX).</w:t>
      </w:r>
    </w:p>
    <w:p>
      <w:pPr>
        <w:pBdr>
          <w:left w:val="single" w:color="7C34BC" w:sz="24"/>
        </w:pBdr>
        <w:shd w:fill="F5F3FF" w:val="clear"/>
        <w:spacing w:after="160" w:before="140" w:line="270"/>
        <w:ind w:left="240" w:right="180"/>
      </w:pPr>
      <w:r>
        <w:rPr>
          <w:rFonts w:ascii="Arial" w:cs="Arial" w:eastAsia="Arial" w:hAnsi="Arial"/>
          <w:b/>
          <w:bCs/>
          <w:color w:val="581C87"/>
          <w:sz w:val="20"/>
          <w:szCs w:val="20"/>
        </w:rPr>
        <w:t xml:space="preserve">Core Architecture Tenet: </w:t>
      </w:r>
      <w:r>
        <w:rPr>
          <w:rFonts w:ascii="Arial" w:cs="Arial" w:eastAsia="Arial" w:hAnsi="Arial"/>
          <w:color w:val="1E293B"/>
          <w:sz w:val="20"/>
          <w:szCs w:val="20"/>
        </w:rPr>
        <w:t xml:space="preserve">Evidence-Led Synthesis Over Hallucination: The platform strictly anchors all strategy in verified crawl pages, speed heuristics, and user-provided ground-truth documents. Zero hallucinated competitors, fake analytics, or ungrounded claims are tolerated.</w:t>
      </w:r>
    </w:p>
    <w:p>
      <w:pPr>
        <w:pStyle w:val="ListParagraph"/>
        <w:numPr>
          <w:ilvl w:val="0"/>
          <w:numId w:val="1"/>
        </w:numPr>
        <w:spacing w:after="80" w:line="260"/>
        <w:ind w:left="360" w:hanging="240"/>
      </w:pPr>
      <w:r>
        <w:rPr>
          <w:rFonts w:ascii="Arial" w:cs="Arial" w:eastAsia="Arial" w:hAnsi="Arial"/>
          <w:b/>
          <w:bCs/>
          <w:color w:val="1E293B"/>
          <w:sz w:val="20"/>
          <w:szCs w:val="20"/>
        </w:rPr>
        <w:t xml:space="preserve">Zero-Retention Privacy: </w:t>
      </w:r>
      <w:r>
        <w:rPr>
          <w:rFonts w:ascii="Arial" w:cs="Arial" w:eastAsia="Arial" w:hAnsi="Arial"/>
          <w:color w:val="1E293B"/>
          <w:sz w:val="20"/>
          <w:szCs w:val="20"/>
        </w:rPr>
        <w:t xml:space="preserve">Full BYOK (Bring Your Own Key) zero-trust architecture ensuring proprietary API keys and workspace documents are never shared or stored in plaintext.</w:t>
      </w:r>
    </w:p>
    <w:p>
      <w:pPr>
        <w:pStyle w:val="ListParagraph"/>
        <w:numPr>
          <w:ilvl w:val="0"/>
          <w:numId w:val="1"/>
        </w:numPr>
        <w:spacing w:after="80" w:line="260"/>
        <w:ind w:left="360" w:hanging="240"/>
      </w:pPr>
      <w:r>
        <w:rPr>
          <w:rFonts w:ascii="Arial" w:cs="Arial" w:eastAsia="Arial" w:hAnsi="Arial"/>
          <w:b/>
          <w:bCs/>
          <w:color w:val="1E293B"/>
          <w:sz w:val="20"/>
          <w:szCs w:val="20"/>
        </w:rPr>
        <w:t xml:space="preserve">Multi-Engine Evidence Ingestion: </w:t>
      </w:r>
      <w:r>
        <w:rPr>
          <w:rFonts w:ascii="Arial" w:cs="Arial" w:eastAsia="Arial" w:hAnsi="Arial"/>
          <w:color w:val="1E293B"/>
          <w:sz w:val="20"/>
          <w:szCs w:val="20"/>
        </w:rPr>
        <w:t xml:space="preserve">Combines Cheerio web crawling, Python URL timing heuristics, self-hosted Lighthouse audits, and multi-format document parsing into a unified 6-engine analysis.</w:t>
      </w:r>
    </w:p>
    <w:p>
      <w:pPr>
        <w:pStyle w:val="ListParagraph"/>
        <w:numPr>
          <w:ilvl w:val="0"/>
          <w:numId w:val="1"/>
        </w:numPr>
        <w:spacing w:after="80" w:line="260"/>
        <w:ind w:left="360" w:hanging="240"/>
      </w:pPr>
      <w:r>
        <w:rPr>
          <w:rFonts w:ascii="Arial" w:cs="Arial" w:eastAsia="Arial" w:hAnsi="Arial"/>
          <w:b/>
          <w:bCs/>
          <w:color w:val="1E293B"/>
          <w:sz w:val="20"/>
          <w:szCs w:val="20"/>
        </w:rPr>
        <w:t xml:space="preserve">Intelligence Node Architecture: </w:t>
      </w:r>
      <w:r>
        <w:rPr>
          <w:rFonts w:ascii="Arial" w:cs="Arial" w:eastAsia="Arial" w:hAnsi="Arial"/>
          <w:color w:val="1E293B"/>
          <w:sz w:val="20"/>
          <w:szCs w:val="20"/>
        </w:rPr>
        <w:t xml:space="preserve">A modular, type-safe execution system utilizing 25 distinct document types, 21 specialist agent definitions, and structured JSON output validation.</w:t>
      </w:r>
    </w:p>
    <w:p>
      <w:pPr>
        <w:pStyle w:val="Heading1"/>
        <w:keepNext/>
        <w:spacing w:after="140" w:before="360"/>
      </w:pPr>
      <w:r>
        <w:rPr>
          <w:rFonts w:ascii="Arial" w:cs="Arial" w:eastAsia="Arial" w:hAnsi="Arial"/>
          <w:b/>
          <w:bCs/>
          <w:color w:val="581C87"/>
          <w:sz w:val="32"/>
          <w:szCs w:val="32"/>
        </w:rPr>
        <w:t xml:space="preserve">2. Technology Stack &amp; Framework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7C34BC" w:val="clear"/>
            <w:tcMar>
              <w:top w:type="dxa" w:w="120"/>
              <w:left w:type="dxa" w:w="140"/>
              <w:bottom w:type="dxa" w:w="120"/>
              <w:right w:type="dxa" w:w="140"/>
            </w:tcMar>
          </w:tcPr>
          <w:p>
            <w:r>
              <w:rPr>
                <w:rFonts w:ascii="Arial" w:cs="Arial" w:eastAsia="Arial" w:hAnsi="Arial"/>
                <w:b/>
                <w:bCs/>
                <w:color w:val="FFFFFF"/>
                <w:sz w:val="18"/>
                <w:szCs w:val="18"/>
              </w:rPr>
              <w:t xml:space="preserve">Subsystem Layer</w:t>
            </w:r>
          </w:p>
        </w:tc>
        <w:tc>
          <w:tcPr>
            <w:shd w:fill="7C34BC" w:val="clear"/>
            <w:tcMar>
              <w:top w:type="dxa" w:w="120"/>
              <w:left w:type="dxa" w:w="140"/>
              <w:bottom w:type="dxa" w:w="120"/>
              <w:right w:type="dxa" w:w="140"/>
            </w:tcMar>
          </w:tcPr>
          <w:p>
            <w:r>
              <w:rPr>
                <w:rFonts w:ascii="Arial" w:cs="Arial" w:eastAsia="Arial" w:hAnsi="Arial"/>
                <w:b/>
                <w:bCs/>
                <w:color w:val="FFFFFF"/>
                <w:sz w:val="18"/>
                <w:szCs w:val="18"/>
              </w:rPr>
              <w:t xml:space="preserve">Technologies Selected</w:t>
            </w:r>
          </w:p>
        </w:tc>
        <w:tc>
          <w:tcPr>
            <w:shd w:fill="7C34BC" w:val="clear"/>
            <w:tcMar>
              <w:top w:type="dxa" w:w="120"/>
              <w:left w:type="dxa" w:w="140"/>
              <w:bottom w:type="dxa" w:w="120"/>
              <w:right w:type="dxa" w:w="140"/>
            </w:tcMar>
          </w:tcPr>
          <w:p>
            <w:r>
              <w:rPr>
                <w:rFonts w:ascii="Arial" w:cs="Arial" w:eastAsia="Arial" w:hAnsi="Arial"/>
                <w:b/>
                <w:bCs/>
                <w:color w:val="FFFFFF"/>
                <w:sz w:val="18"/>
                <w:szCs w:val="18"/>
              </w:rPr>
              <w:t xml:space="preserve">Architectural Purpose</w:t>
            </w:r>
          </w:p>
        </w:tc>
      </w:tr>
      <w:tr>
        <w:tc>
          <w:tcPr>
            <w:shd w:fill="FFFFFF" w:val="clear"/>
            <w:tcMar>
              <w:top w:type="dxa" w:w="100"/>
              <w:left w:type="dxa" w:w="140"/>
              <w:bottom w:type="dxa" w:w="100"/>
              <w:right w:type="dxa" w:w="140"/>
            </w:tcMar>
          </w:tcPr>
          <w:p>
            <w:r>
              <w:rPr>
                <w:rFonts w:ascii="Arial" w:cs="Arial" w:eastAsia="Arial" w:hAnsi="Arial"/>
                <w:b/>
                <w:bCs/>
                <w:color w:val="581C87"/>
                <w:sz w:val="18"/>
                <w:szCs w:val="18"/>
              </w:rPr>
              <w:t xml:space="preserve">Frontend &amp; SSR</w:t>
            </w:r>
          </w:p>
        </w:tc>
        <w:tc>
          <w:tcPr>
            <w:shd w:fill="FFFFFF" w:val="clear"/>
            <w:tcMar>
              <w:top w:type="dxa" w:w="100"/>
              <w:left w:type="dxa" w:w="140"/>
              <w:bottom w:type="dxa" w:w="100"/>
              <w:right w:type="dxa" w:w="140"/>
            </w:tcMar>
          </w:tcPr>
          <w:p>
            <w:r>
              <w:rPr>
                <w:rFonts w:ascii="Arial" w:cs="Arial" w:eastAsia="Arial" w:hAnsi="Arial"/>
                <w:b w:val="false"/>
                <w:bCs w:val="false"/>
                <w:color w:val="1E293B"/>
                <w:sz w:val="18"/>
                <w:szCs w:val="18"/>
              </w:rPr>
              <w:t xml:space="preserve">Next.js 16 (App Router), React 19</w:t>
            </w:r>
          </w:p>
        </w:tc>
        <w:tc>
          <w:tcPr>
            <w:shd w:fill="FFFFFF" w:val="clear"/>
            <w:tcMar>
              <w:top w:type="dxa" w:w="100"/>
              <w:left w:type="dxa" w:w="140"/>
              <w:bottom w:type="dxa" w:w="100"/>
              <w:right w:type="dxa" w:w="140"/>
            </w:tcMar>
          </w:tcPr>
          <w:p>
            <w:r>
              <w:rPr>
                <w:rFonts w:ascii="Arial" w:cs="Arial" w:eastAsia="Arial" w:hAnsi="Arial"/>
                <w:b w:val="false"/>
                <w:bCs w:val="false"/>
                <w:color w:val="1E293B"/>
                <w:sz w:val="18"/>
                <w:szCs w:val="18"/>
              </w:rPr>
              <w:t xml:space="preserve">Server components, streaming, route handlers, high-velocity UX</w:t>
            </w:r>
          </w:p>
        </w:tc>
      </w:tr>
      <w:tr>
        <w:tc>
          <w:tcPr>
            <w:shd w:fill="F8FAFC" w:val="clear"/>
            <w:tcMar>
              <w:top w:type="dxa" w:w="100"/>
              <w:left w:type="dxa" w:w="140"/>
              <w:bottom w:type="dxa" w:w="100"/>
              <w:right w:type="dxa" w:w="140"/>
            </w:tcMar>
          </w:tcPr>
          <w:p>
            <w:r>
              <w:rPr>
                <w:rFonts w:ascii="Arial" w:cs="Arial" w:eastAsia="Arial" w:hAnsi="Arial"/>
                <w:b/>
                <w:bCs/>
                <w:color w:val="581C87"/>
                <w:sz w:val="18"/>
                <w:szCs w:val="18"/>
              </w:rPr>
              <w:t xml:space="preserve">Design &amp; UI</w:t>
            </w:r>
          </w:p>
        </w:tc>
        <w:tc>
          <w:tcPr>
            <w:shd w:fill="F8FAFC" w:val="clear"/>
            <w:tcMar>
              <w:top w:type="dxa" w:w="100"/>
              <w:left w:type="dxa" w:w="140"/>
              <w:bottom w:type="dxa" w:w="100"/>
              <w:right w:type="dxa" w:w="140"/>
            </w:tcMar>
          </w:tcPr>
          <w:p>
            <w:r>
              <w:rPr>
                <w:rFonts w:ascii="Arial" w:cs="Arial" w:eastAsia="Arial" w:hAnsi="Arial"/>
                <w:b w:val="false"/>
                <w:bCs w:val="false"/>
                <w:color w:val="1E293B"/>
                <w:sz w:val="18"/>
                <w:szCs w:val="18"/>
              </w:rPr>
              <w:t xml:space="preserve">Tailwind CSS, Framer Motion, BorderBeam, Lucide</w:t>
            </w:r>
          </w:p>
        </w:tc>
        <w:tc>
          <w:tcPr>
            <w:shd w:fill="F8FAFC" w:val="clear"/>
            <w:tcMar>
              <w:top w:type="dxa" w:w="100"/>
              <w:left w:type="dxa" w:w="140"/>
              <w:bottom w:type="dxa" w:w="100"/>
              <w:right w:type="dxa" w:w="140"/>
            </w:tcMar>
          </w:tcPr>
          <w:p>
            <w:r>
              <w:rPr>
                <w:rFonts w:ascii="Arial" w:cs="Arial" w:eastAsia="Arial" w:hAnsi="Arial"/>
                <w:b w:val="false"/>
                <w:bCs w:val="false"/>
                <w:color w:val="1E293B"/>
                <w:sz w:val="18"/>
                <w:szCs w:val="18"/>
              </w:rPr>
              <w:t xml:space="preserve">Hardware-accelerated dark UI, glassmorphic HUD, interactive feedback</w:t>
            </w:r>
          </w:p>
        </w:tc>
      </w:tr>
      <w:tr>
        <w:tc>
          <w:tcPr>
            <w:shd w:fill="FFFFFF" w:val="clear"/>
            <w:tcMar>
              <w:top w:type="dxa" w:w="100"/>
              <w:left w:type="dxa" w:w="140"/>
              <w:bottom w:type="dxa" w:w="100"/>
              <w:right w:type="dxa" w:w="140"/>
            </w:tcMar>
          </w:tcPr>
          <w:p>
            <w:r>
              <w:rPr>
                <w:rFonts w:ascii="Arial" w:cs="Arial" w:eastAsia="Arial" w:hAnsi="Arial"/>
                <w:b/>
                <w:bCs/>
                <w:color w:val="581C87"/>
                <w:sz w:val="18"/>
                <w:szCs w:val="18"/>
              </w:rPr>
              <w:t xml:space="preserve">Database &amp; ORM</w:t>
            </w:r>
          </w:p>
        </w:tc>
        <w:tc>
          <w:tcPr>
            <w:shd w:fill="FFFFFF" w:val="clear"/>
            <w:tcMar>
              <w:top w:type="dxa" w:w="100"/>
              <w:left w:type="dxa" w:w="140"/>
              <w:bottom w:type="dxa" w:w="100"/>
              <w:right w:type="dxa" w:w="140"/>
            </w:tcMar>
          </w:tcPr>
          <w:p>
            <w:r>
              <w:rPr>
                <w:rFonts w:ascii="Arial" w:cs="Arial" w:eastAsia="Arial" w:hAnsi="Arial"/>
                <w:b w:val="false"/>
                <w:bCs w:val="false"/>
                <w:color w:val="1E293B"/>
                <w:sz w:val="18"/>
                <w:szCs w:val="18"/>
              </w:rPr>
              <w:t xml:space="preserve">PostgreSQL, Prisma Client 6.x</w:t>
            </w:r>
          </w:p>
        </w:tc>
        <w:tc>
          <w:tcPr>
            <w:shd w:fill="FFFFFF" w:val="clear"/>
            <w:tcMar>
              <w:top w:type="dxa" w:w="100"/>
              <w:left w:type="dxa" w:w="140"/>
              <w:bottom w:type="dxa" w:w="100"/>
              <w:right w:type="dxa" w:w="140"/>
            </w:tcMar>
          </w:tcPr>
          <w:p>
            <w:r>
              <w:rPr>
                <w:rFonts w:ascii="Arial" w:cs="Arial" w:eastAsia="Arial" w:hAnsi="Arial"/>
                <w:b w:val="false"/>
                <w:bCs w:val="false"/>
                <w:color w:val="1E293B"/>
                <w:sz w:val="18"/>
                <w:szCs w:val="18"/>
              </w:rPr>
              <w:t xml:space="preserve">Relational ground truth, foreign keys, version tracking, atomic txns</w:t>
            </w:r>
          </w:p>
        </w:tc>
      </w:tr>
      <w:tr>
        <w:tc>
          <w:tcPr>
            <w:shd w:fill="F8FAFC" w:val="clear"/>
            <w:tcMar>
              <w:top w:type="dxa" w:w="100"/>
              <w:left w:type="dxa" w:w="140"/>
              <w:bottom w:type="dxa" w:w="100"/>
              <w:right w:type="dxa" w:w="140"/>
            </w:tcMar>
          </w:tcPr>
          <w:p>
            <w:r>
              <w:rPr>
                <w:rFonts w:ascii="Arial" w:cs="Arial" w:eastAsia="Arial" w:hAnsi="Arial"/>
                <w:b/>
                <w:bCs/>
                <w:color w:val="581C87"/>
                <w:sz w:val="18"/>
                <w:szCs w:val="18"/>
              </w:rPr>
              <w:t xml:space="preserve">Multi-LLM Gateway</w:t>
            </w:r>
          </w:p>
        </w:tc>
        <w:tc>
          <w:tcPr>
            <w:shd w:fill="F8FAFC" w:val="clear"/>
            <w:tcMar>
              <w:top w:type="dxa" w:w="100"/>
              <w:left w:type="dxa" w:w="140"/>
              <w:bottom w:type="dxa" w:w="100"/>
              <w:right w:type="dxa" w:w="140"/>
            </w:tcMar>
          </w:tcPr>
          <w:p>
            <w:r>
              <w:rPr>
                <w:rFonts w:ascii="Arial" w:cs="Arial" w:eastAsia="Arial" w:hAnsi="Arial"/>
                <w:b w:val="false"/>
                <w:bCs w:val="false"/>
                <w:color w:val="1E293B"/>
                <w:sz w:val="18"/>
                <w:szCs w:val="18"/>
              </w:rPr>
              <w:t xml:space="preserve">Anthropic, OpenAI, Google Gemini, OpenRouter</w:t>
            </w:r>
          </w:p>
        </w:tc>
        <w:tc>
          <w:tcPr>
            <w:shd w:fill="F8FAFC" w:val="clear"/>
            <w:tcMar>
              <w:top w:type="dxa" w:w="100"/>
              <w:left w:type="dxa" w:w="140"/>
              <w:bottom w:type="dxa" w:w="100"/>
              <w:right w:type="dxa" w:w="140"/>
            </w:tcMar>
          </w:tcPr>
          <w:p>
            <w:r>
              <w:rPr>
                <w:rFonts w:ascii="Arial" w:cs="Arial" w:eastAsia="Arial" w:hAnsi="Arial"/>
                <w:b w:val="false"/>
                <w:bCs w:val="false"/>
                <w:color w:val="1E293B"/>
                <w:sz w:val="18"/>
                <w:szCs w:val="18"/>
              </w:rPr>
              <w:t xml:space="preserve">Parallel execution, structured JSON, AES-256 encrypted keys at rest</w:t>
            </w:r>
          </w:p>
        </w:tc>
      </w:tr>
      <w:tr>
        <w:tc>
          <w:tcPr>
            <w:shd w:fill="FFFFFF" w:val="clear"/>
            <w:tcMar>
              <w:top w:type="dxa" w:w="100"/>
              <w:left w:type="dxa" w:w="140"/>
              <w:bottom w:type="dxa" w:w="100"/>
              <w:right w:type="dxa" w:w="140"/>
            </w:tcMar>
          </w:tcPr>
          <w:p>
            <w:r>
              <w:rPr>
                <w:rFonts w:ascii="Arial" w:cs="Arial" w:eastAsia="Arial" w:hAnsi="Arial"/>
                <w:b/>
                <w:bCs/>
                <w:color w:val="581C87"/>
                <w:sz w:val="18"/>
                <w:szCs w:val="18"/>
              </w:rPr>
              <w:t xml:space="preserve">Document Parsing</w:t>
            </w:r>
          </w:p>
        </w:tc>
        <w:tc>
          <w:tcPr>
            <w:shd w:fill="FFFFFF" w:val="clear"/>
            <w:tcMar>
              <w:top w:type="dxa" w:w="100"/>
              <w:left w:type="dxa" w:w="140"/>
              <w:bottom w:type="dxa" w:w="100"/>
              <w:right w:type="dxa" w:w="140"/>
            </w:tcMar>
          </w:tcPr>
          <w:p>
            <w:r>
              <w:rPr>
                <w:rFonts w:ascii="Arial" w:cs="Arial" w:eastAsia="Arial" w:hAnsi="Arial"/>
                <w:b w:val="false"/>
                <w:bCs w:val="false"/>
                <w:color w:val="1E293B"/>
                <w:sz w:val="18"/>
                <w:szCs w:val="18"/>
              </w:rPr>
              <w:t xml:space="preserve">OfficeParser, custom stream extractors</w:t>
            </w:r>
          </w:p>
        </w:tc>
        <w:tc>
          <w:tcPr>
            <w:shd w:fill="FFFFFF" w:val="clear"/>
            <w:tcMar>
              <w:top w:type="dxa" w:w="100"/>
              <w:left w:type="dxa" w:w="140"/>
              <w:bottom w:type="dxa" w:w="100"/>
              <w:right w:type="dxa" w:w="140"/>
            </w:tcMar>
          </w:tcPr>
          <w:p>
            <w:r>
              <w:rPr>
                <w:rFonts w:ascii="Arial" w:cs="Arial" w:eastAsia="Arial" w:hAnsi="Arial"/>
                <w:b w:val="false"/>
                <w:bCs w:val="false"/>
                <w:color w:val="1E293B"/>
                <w:sz w:val="18"/>
                <w:szCs w:val="18"/>
              </w:rPr>
              <w:t xml:space="preserve">Ingests PDF, DOCX, PPTX, XLSX, TXT, MD, CSV up to 15MB/file</w:t>
            </w:r>
          </w:p>
        </w:tc>
      </w:tr>
      <w:tr>
        <w:tc>
          <w:tcPr>
            <w:shd w:fill="F8FAFC" w:val="clear"/>
            <w:tcMar>
              <w:top w:type="dxa" w:w="100"/>
              <w:left w:type="dxa" w:w="140"/>
              <w:bottom w:type="dxa" w:w="100"/>
              <w:right w:type="dxa" w:w="140"/>
            </w:tcMar>
          </w:tcPr>
          <w:p>
            <w:r>
              <w:rPr>
                <w:rFonts w:ascii="Arial" w:cs="Arial" w:eastAsia="Arial" w:hAnsi="Arial"/>
                <w:b/>
                <w:bCs/>
                <w:color w:val="581C87"/>
                <w:sz w:val="18"/>
                <w:szCs w:val="18"/>
              </w:rPr>
              <w:t xml:space="preserve">Performance Auditing</w:t>
            </w:r>
          </w:p>
        </w:tc>
        <w:tc>
          <w:tcPr>
            <w:shd w:fill="F8FAFC" w:val="clear"/>
            <w:tcMar>
              <w:top w:type="dxa" w:w="100"/>
              <w:left w:type="dxa" w:w="140"/>
              <w:bottom w:type="dxa" w:w="100"/>
              <w:right w:type="dxa" w:w="140"/>
            </w:tcMar>
          </w:tcPr>
          <w:p>
            <w:r>
              <w:rPr>
                <w:rFonts w:ascii="Arial" w:cs="Arial" w:eastAsia="Arial" w:hAnsi="Arial"/>
                <w:b w:val="false"/>
                <w:bCs w:val="false"/>
                <w:color w:val="1E293B"/>
                <w:sz w:val="18"/>
                <w:szCs w:val="18"/>
              </w:rPr>
              <w:t xml:space="preserve">Lightweight Python timing heuristics, Lighthouse</w:t>
            </w:r>
          </w:p>
        </w:tc>
        <w:tc>
          <w:tcPr>
            <w:shd w:fill="F8FAFC" w:val="clear"/>
            <w:tcMar>
              <w:top w:type="dxa" w:w="100"/>
              <w:left w:type="dxa" w:w="140"/>
              <w:bottom w:type="dxa" w:w="100"/>
              <w:right w:type="dxa" w:w="140"/>
            </w:tcMar>
          </w:tcPr>
          <w:p>
            <w:r>
              <w:rPr>
                <w:rFonts w:ascii="Arial" w:cs="Arial" w:eastAsia="Arial" w:hAnsi="Arial"/>
                <w:b w:val="false"/>
                <w:bCs w:val="false"/>
                <w:color w:val="1E293B"/>
                <w:sz w:val="18"/>
                <w:szCs w:val="18"/>
              </w:rPr>
              <w:t xml:space="preserve">Deterministic HTTP/TTFB metrics + full lab rendering benchmarks</w:t>
            </w:r>
          </w:p>
        </w:tc>
      </w:tr>
      <w:tr>
        <w:tc>
          <w:tcPr>
            <w:shd w:fill="FFFFFF" w:val="clear"/>
            <w:tcMar>
              <w:top w:type="dxa" w:w="100"/>
              <w:left w:type="dxa" w:w="140"/>
              <w:bottom w:type="dxa" w:w="100"/>
              <w:right w:type="dxa" w:w="140"/>
            </w:tcMar>
          </w:tcPr>
          <w:p>
            <w:r>
              <w:rPr>
                <w:rFonts w:ascii="Arial" w:cs="Arial" w:eastAsia="Arial" w:hAnsi="Arial"/>
                <w:b/>
                <w:bCs/>
                <w:color w:val="581C87"/>
                <w:sz w:val="18"/>
                <w:szCs w:val="18"/>
              </w:rPr>
              <w:t xml:space="preserve">Reporting Pipeline</w:t>
            </w:r>
          </w:p>
        </w:tc>
        <w:tc>
          <w:tcPr>
            <w:shd w:fill="FFFFFF" w:val="clear"/>
            <w:tcMar>
              <w:top w:type="dxa" w:w="100"/>
              <w:left w:type="dxa" w:w="140"/>
              <w:bottom w:type="dxa" w:w="100"/>
              <w:right w:type="dxa" w:w="140"/>
            </w:tcMar>
          </w:tcPr>
          <w:p>
            <w:r>
              <w:rPr>
                <w:rFonts w:ascii="Arial" w:cs="Arial" w:eastAsia="Arial" w:hAnsi="Arial"/>
                <w:b w:val="false"/>
                <w:bCs w:val="false"/>
                <w:color w:val="1E293B"/>
                <w:sz w:val="18"/>
                <w:szCs w:val="18"/>
              </w:rPr>
              <w:t xml:space="preserve">docx, exceljs, html-to-image</w:t>
            </w:r>
          </w:p>
        </w:tc>
        <w:tc>
          <w:tcPr>
            <w:shd w:fill="FFFFFF" w:val="clear"/>
            <w:tcMar>
              <w:top w:type="dxa" w:w="100"/>
              <w:left w:type="dxa" w:w="140"/>
              <w:bottom w:type="dxa" w:w="100"/>
              <w:right w:type="dxa" w:w="140"/>
            </w:tcMar>
          </w:tcPr>
          <w:p>
            <w:r>
              <w:rPr>
                <w:rFonts w:ascii="Arial" w:cs="Arial" w:eastAsia="Arial" w:hAnsi="Arial"/>
                <w:b w:val="false"/>
                <w:bCs w:val="false"/>
                <w:color w:val="1E293B"/>
                <w:sz w:val="18"/>
                <w:szCs w:val="18"/>
              </w:rPr>
              <w:t xml:space="preserve">Programmatic generation of enterprise DOCX, XLSX, and presentation decks</w:t>
            </w:r>
          </w:p>
        </w:tc>
      </w:tr>
      <w:tr>
        <w:tc>
          <w:tcPr>
            <w:shd w:fill="F8FAFC" w:val="clear"/>
            <w:tcMar>
              <w:top w:type="dxa" w:w="100"/>
              <w:left w:type="dxa" w:w="140"/>
              <w:bottom w:type="dxa" w:w="100"/>
              <w:right w:type="dxa" w:w="140"/>
            </w:tcMar>
          </w:tcPr>
          <w:p>
            <w:r>
              <w:rPr>
                <w:rFonts w:ascii="Arial" w:cs="Arial" w:eastAsia="Arial" w:hAnsi="Arial"/>
                <w:b/>
                <w:bCs/>
                <w:color w:val="581C87"/>
                <w:sz w:val="18"/>
                <w:szCs w:val="18"/>
              </w:rPr>
              <w:t xml:space="preserve">Security &amp; Governance</w:t>
            </w:r>
          </w:p>
        </w:tc>
        <w:tc>
          <w:tcPr>
            <w:shd w:fill="F8FAFC" w:val="clear"/>
            <w:tcMar>
              <w:top w:type="dxa" w:w="100"/>
              <w:left w:type="dxa" w:w="140"/>
              <w:bottom w:type="dxa" w:w="100"/>
              <w:right w:type="dxa" w:w="140"/>
            </w:tcMar>
          </w:tcPr>
          <w:p>
            <w:r>
              <w:rPr>
                <w:rFonts w:ascii="Arial" w:cs="Arial" w:eastAsia="Arial" w:hAnsi="Arial"/>
                <w:b w:val="false"/>
                <w:bCs w:val="false"/>
                <w:color w:val="1E293B"/>
                <w:sz w:val="18"/>
                <w:szCs w:val="18"/>
              </w:rPr>
              <w:t xml:space="preserve">Git pre-push hook, AGENTS.md, SECURITY.md</w:t>
            </w:r>
          </w:p>
        </w:tc>
        <w:tc>
          <w:tcPr>
            <w:shd w:fill="F8FAFC" w:val="clear"/>
            <w:tcMar>
              <w:top w:type="dxa" w:w="100"/>
              <w:left w:type="dxa" w:w="140"/>
              <w:bottom w:type="dxa" w:w="100"/>
              <w:right w:type="dxa" w:w="140"/>
            </w:tcMar>
          </w:tcPr>
          <w:p>
            <w:r>
              <w:rPr>
                <w:rFonts w:ascii="Arial" w:cs="Arial" w:eastAsia="Arial" w:hAnsi="Arial"/>
                <w:b w:val="false"/>
                <w:bCs w:val="false"/>
                <w:color w:val="1E293B"/>
                <w:sz w:val="18"/>
                <w:szCs w:val="18"/>
              </w:rPr>
              <w:t xml:space="preserve">Strict enforcement blocking unauthorized autonomous agent commits/pushes</w:t>
            </w:r>
          </w:p>
        </w:tc>
      </w:tr>
    </w:tbl>
    <w:p>
      <w:pPr>
        <w:pStyle w:val="Heading1"/>
        <w:keepNext/>
        <w:spacing w:after="140" w:before="360"/>
      </w:pPr>
      <w:r>
        <w:rPr>
          <w:rFonts w:ascii="Arial" w:cs="Arial" w:eastAsia="Arial" w:hAnsi="Arial"/>
          <w:b/>
          <w:bCs/>
          <w:color w:val="581C87"/>
          <w:sz w:val="32"/>
          <w:szCs w:val="32"/>
        </w:rPr>
        <w:t xml:space="preserve">3. Database Schema &amp; Relational Architecture</w:t>
      </w:r>
    </w:p>
    <w:p>
      <w:pPr>
        <w:spacing w:after="120" w:line="280"/>
      </w:pPr>
      <w:r>
        <w:rPr>
          <w:rFonts w:ascii="Arial" w:cs="Arial" w:eastAsia="Arial" w:hAnsi="Arial"/>
          <w:b w:val="false"/>
          <w:bCs w:val="false"/>
          <w:i w:val="false"/>
          <w:iCs w:val="false"/>
          <w:color w:val="1E293B"/>
          <w:sz w:val="20"/>
          <w:szCs w:val="20"/>
        </w:rPr>
        <w:t xml:space="preserve">The relational model is maintained via Prisma ORM on PostgreSQL. Key models govern the end-to-end lifecycle from user account creation to continuous signal monitoring:</w:t>
      </w:r>
    </w:p>
    <w:p>
      <w:pPr>
        <w:spacing w:after="90" w:line="260"/>
        <w:ind w:left="400" w:hanging="280"/>
      </w:pPr>
      <w:r>
        <w:rPr>
          <w:rFonts w:ascii="Arial" w:cs="Arial" w:eastAsia="Arial" w:hAnsi="Arial"/>
          <w:b/>
          <w:bCs/>
          <w:color w:val="7C34BC"/>
          <w:sz w:val="20"/>
          <w:szCs w:val="20"/>
        </w:rPr>
        <w:t xml:space="preserve">1. </w:t>
      </w:r>
      <w:r>
        <w:rPr>
          <w:rFonts w:ascii="Arial" w:cs="Arial" w:eastAsia="Arial" w:hAnsi="Arial"/>
          <w:b/>
          <w:bCs/>
          <w:color w:val="1E293B"/>
          <w:sz w:val="20"/>
          <w:szCs w:val="20"/>
        </w:rPr>
        <w:t xml:space="preserve">User: </w:t>
      </w:r>
      <w:r>
        <w:rPr>
          <w:rFonts w:ascii="Arial" w:cs="Arial" w:eastAsia="Arial" w:hAnsi="Arial"/>
          <w:color w:val="1E293B"/>
          <w:sz w:val="20"/>
          <w:szCs w:val="20"/>
        </w:rPr>
        <w:t xml:space="preserve">Stores credentials, AES-256 encrypted provider keys (llmApiKeyEnc), key preview, selected model, and token usage budgets (default 2,000,000 tokens).</w:t>
      </w:r>
    </w:p>
    <w:p>
      <w:pPr>
        <w:spacing w:after="90" w:line="260"/>
        <w:ind w:left="400" w:hanging="280"/>
      </w:pPr>
      <w:r>
        <w:rPr>
          <w:rFonts w:ascii="Arial" w:cs="Arial" w:eastAsia="Arial" w:hAnsi="Arial"/>
          <w:b/>
          <w:bCs/>
          <w:color w:val="7C34BC"/>
          <w:sz w:val="20"/>
          <w:szCs w:val="20"/>
        </w:rPr>
        <w:t xml:space="preserve">2. </w:t>
      </w:r>
      <w:r>
        <w:rPr>
          <w:rFonts w:ascii="Arial" w:cs="Arial" w:eastAsia="Arial" w:hAnsi="Arial"/>
          <w:b/>
          <w:bCs/>
          <w:color w:val="1E293B"/>
          <w:sz w:val="20"/>
          <w:szCs w:val="20"/>
        </w:rPr>
        <w:t xml:space="preserve">Company: </w:t>
      </w:r>
      <w:r>
        <w:rPr>
          <w:rFonts w:ascii="Arial" w:cs="Arial" w:eastAsia="Arial" w:hAnsi="Arial"/>
          <w:color w:val="1E293B"/>
          <w:sz w:val="20"/>
          <w:szCs w:val="20"/>
        </w:rPr>
        <w:t xml:space="preserve">Represents a company workspace with unique domain normalization, status, crawl progress, and direct foreign key links to all generated documents.</w:t>
      </w:r>
    </w:p>
    <w:p>
      <w:pPr>
        <w:spacing w:after="90" w:line="260"/>
        <w:ind w:left="400" w:hanging="280"/>
      </w:pPr>
      <w:r>
        <w:rPr>
          <w:rFonts w:ascii="Arial" w:cs="Arial" w:eastAsia="Arial" w:hAnsi="Arial"/>
          <w:b/>
          <w:bCs/>
          <w:color w:val="7C34BC"/>
          <w:sz w:val="20"/>
          <w:szCs w:val="20"/>
        </w:rPr>
        <w:t xml:space="preserve">3. </w:t>
      </w:r>
      <w:r>
        <w:rPr>
          <w:rFonts w:ascii="Arial" w:cs="Arial" w:eastAsia="Arial" w:hAnsi="Arial"/>
          <w:b/>
          <w:bCs/>
          <w:color w:val="1E293B"/>
          <w:sz w:val="20"/>
          <w:szCs w:val="20"/>
        </w:rPr>
        <w:t xml:space="preserve">AuditJob: </w:t>
      </w:r>
      <w:r>
        <w:rPr>
          <w:rFonts w:ascii="Arial" w:cs="Arial" w:eastAsia="Arial" w:hAnsi="Arial"/>
          <w:color w:val="1E293B"/>
          <w:sz w:val="20"/>
          <w:szCs w:val="20"/>
        </w:rPr>
        <w:t xml:space="preserve">Tracks long-running asynchronous audit executions with attempts, percentage progress (0-100), and stage descriptions.</w:t>
      </w:r>
    </w:p>
    <w:p>
      <w:pPr>
        <w:spacing w:after="90" w:line="260"/>
        <w:ind w:left="400" w:hanging="280"/>
      </w:pPr>
      <w:r>
        <w:rPr>
          <w:rFonts w:ascii="Arial" w:cs="Arial" w:eastAsia="Arial" w:hAnsi="Arial"/>
          <w:b/>
          <w:bCs/>
          <w:color w:val="7C34BC"/>
          <w:sz w:val="20"/>
          <w:szCs w:val="20"/>
        </w:rPr>
        <w:t xml:space="preserve">4. </w:t>
      </w:r>
      <w:r>
        <w:rPr>
          <w:rFonts w:ascii="Arial" w:cs="Arial" w:eastAsia="Arial" w:hAnsi="Arial"/>
          <w:b/>
          <w:bCs/>
          <w:color w:val="1E293B"/>
          <w:sz w:val="20"/>
          <w:szCs w:val="20"/>
        </w:rPr>
        <w:t xml:space="preserve">CrawlPage: </w:t>
      </w:r>
      <w:r>
        <w:rPr>
          <w:rFonts w:ascii="Arial" w:cs="Arial" w:eastAsia="Arial" w:hAnsi="Arial"/>
          <w:color w:val="1E293B"/>
          <w:sz w:val="20"/>
          <w:szCs w:val="20"/>
        </w:rPr>
        <w:t xml:space="preserve">Persists raw public website pages extracted during crawl with URLs, HTTP status codes, word counts, and cleaned text.</w:t>
      </w:r>
    </w:p>
    <w:p>
      <w:pPr>
        <w:spacing w:after="90" w:line="260"/>
        <w:ind w:left="400" w:hanging="280"/>
      </w:pPr>
      <w:r>
        <w:rPr>
          <w:rFonts w:ascii="Arial" w:cs="Arial" w:eastAsia="Arial" w:hAnsi="Arial"/>
          <w:b/>
          <w:bCs/>
          <w:color w:val="7C34BC"/>
          <w:sz w:val="20"/>
          <w:szCs w:val="20"/>
        </w:rPr>
        <w:t xml:space="preserve">5. </w:t>
      </w:r>
      <w:r>
        <w:rPr>
          <w:rFonts w:ascii="Arial" w:cs="Arial" w:eastAsia="Arial" w:hAnsi="Arial"/>
          <w:b/>
          <w:bCs/>
          <w:color w:val="1E293B"/>
          <w:sz w:val="20"/>
          <w:szCs w:val="20"/>
        </w:rPr>
        <w:t xml:space="preserve">PageSpeedAudit: </w:t>
      </w:r>
      <w:r>
        <w:rPr>
          <w:rFonts w:ascii="Arial" w:cs="Arial" w:eastAsia="Arial" w:hAnsi="Arial"/>
          <w:color w:val="1E293B"/>
          <w:sz w:val="20"/>
          <w:szCs w:val="20"/>
        </w:rPr>
        <w:t xml:space="preserve">Stores response profiles (TTFB, total response time, payload size, HTTP status) for mobile and desktop viewports.</w:t>
      </w:r>
    </w:p>
    <w:p>
      <w:pPr>
        <w:spacing w:after="90" w:line="260"/>
        <w:ind w:left="400" w:hanging="280"/>
      </w:pPr>
      <w:r>
        <w:rPr>
          <w:rFonts w:ascii="Arial" w:cs="Arial" w:eastAsia="Arial" w:hAnsi="Arial"/>
          <w:b/>
          <w:bCs/>
          <w:color w:val="7C34BC"/>
          <w:sz w:val="20"/>
          <w:szCs w:val="20"/>
        </w:rPr>
        <w:t xml:space="preserve">6. </w:t>
      </w:r>
      <w:r>
        <w:rPr>
          <w:rFonts w:ascii="Arial" w:cs="Arial" w:eastAsia="Arial" w:hAnsi="Arial"/>
          <w:b/>
          <w:bCs/>
          <w:color w:val="1E293B"/>
          <w:sz w:val="20"/>
          <w:szCs w:val="20"/>
        </w:rPr>
        <w:t xml:space="preserve">Document &amp; DocumentVersion: </w:t>
      </w:r>
      <w:r>
        <w:rPr>
          <w:rFonts w:ascii="Arial" w:cs="Arial" w:eastAsia="Arial" w:hAnsi="Arial"/>
          <w:color w:val="1E293B"/>
          <w:sz w:val="20"/>
          <w:szCs w:val="20"/>
        </w:rPr>
        <w:t xml:space="preserve">Stores the 6 foundation intelligence reports and on-demand blueprints with Markdown content, JSON skill provenance, and version tracking.</w:t>
      </w:r>
    </w:p>
    <w:p>
      <w:pPr>
        <w:spacing w:after="90" w:line="260"/>
        <w:ind w:left="400" w:hanging="280"/>
      </w:pPr>
      <w:r>
        <w:rPr>
          <w:rFonts w:ascii="Arial" w:cs="Arial" w:eastAsia="Arial" w:hAnsi="Arial"/>
          <w:b/>
          <w:bCs/>
          <w:color w:val="7C34BC"/>
          <w:sz w:val="20"/>
          <w:szCs w:val="20"/>
        </w:rPr>
        <w:t xml:space="preserve">7. </w:t>
      </w:r>
      <w:r>
        <w:rPr>
          <w:rFonts w:ascii="Arial" w:cs="Arial" w:eastAsia="Arial" w:hAnsi="Arial"/>
          <w:b/>
          <w:bCs/>
          <w:color w:val="1E293B"/>
          <w:sz w:val="20"/>
          <w:szCs w:val="20"/>
        </w:rPr>
        <w:t xml:space="preserve">AgentRun &amp; AgentConfig: </w:t>
      </w:r>
      <w:r>
        <w:rPr>
          <w:rFonts w:ascii="Arial" w:cs="Arial" w:eastAsia="Arial" w:hAnsi="Arial"/>
          <w:color w:val="1E293B"/>
          <w:sz w:val="20"/>
          <w:szCs w:val="20"/>
        </w:rPr>
        <w:t xml:space="preserve">Logs specialist agent executions, tokens used, confidence scores, and structured finding outputs.</w:t>
      </w:r>
    </w:p>
    <w:p>
      <w:pPr>
        <w:spacing w:after="90" w:line="260"/>
        <w:ind w:left="400" w:hanging="280"/>
      </w:pPr>
      <w:r>
        <w:rPr>
          <w:rFonts w:ascii="Arial" w:cs="Arial" w:eastAsia="Arial" w:hAnsi="Arial"/>
          <w:b/>
          <w:bCs/>
          <w:color w:val="7C34BC"/>
          <w:sz w:val="20"/>
          <w:szCs w:val="20"/>
        </w:rPr>
        <w:t xml:space="preserve">8. </w:t>
      </w:r>
      <w:r>
        <w:rPr>
          <w:rFonts w:ascii="Arial" w:cs="Arial" w:eastAsia="Arial" w:hAnsi="Arial"/>
          <w:b/>
          <w:bCs/>
          <w:color w:val="1E293B"/>
          <w:sz w:val="20"/>
          <w:szCs w:val="20"/>
        </w:rPr>
        <w:t xml:space="preserve">ChatAttachment: </w:t>
      </w:r>
      <w:r>
        <w:rPr>
          <w:rFonts w:ascii="Arial" w:cs="Arial" w:eastAsia="Arial" w:hAnsi="Arial"/>
          <w:color w:val="1E293B"/>
          <w:sz w:val="20"/>
          <w:szCs w:val="20"/>
        </w:rPr>
        <w:t xml:space="preserve">Stores custom uploaded files (PDF, DOCX, etc.) and formatted onboarding marketing strategy briefs with remembered=true for workspace-wide ingestion.</w:t>
      </w:r>
    </w:p>
    <w:p>
      <w:pPr>
        <w:pStyle w:val="Heading1"/>
        <w:keepNext/>
        <w:spacing w:after="140" w:before="360"/>
      </w:pPr>
      <w:r>
        <w:rPr>
          <w:rFonts w:ascii="Arial" w:cs="Arial" w:eastAsia="Arial" w:hAnsi="Arial"/>
          <w:b/>
          <w:bCs/>
          <w:color w:val="581C87"/>
          <w:sz w:val="32"/>
          <w:szCs w:val="32"/>
        </w:rPr>
        <w:t xml:space="preserve">4. Ingestion Pipeline: Web Crawl, Documents &amp; Marketing Briefs</w:t>
      </w:r>
    </w:p>
    <w:p>
      <w:pPr>
        <w:pStyle w:val="Heading2"/>
        <w:keepNext/>
        <w:spacing w:after="100" w:before="260"/>
      </w:pPr>
      <w:r>
        <w:rPr>
          <w:rFonts w:ascii="Arial" w:cs="Arial" w:eastAsia="Arial" w:hAnsi="Arial"/>
          <w:b/>
          <w:bCs/>
          <w:color w:val="7C34BC"/>
          <w:sz w:val="26"/>
          <w:szCs w:val="26"/>
        </w:rPr>
        <w:t xml:space="preserve">4.1 Safe Public Web Crawler</w:t>
      </w:r>
    </w:p>
    <w:p>
      <w:pPr>
        <w:spacing w:after="120" w:line="280"/>
      </w:pPr>
      <w:r>
        <w:rPr>
          <w:rFonts w:ascii="Arial" w:cs="Arial" w:eastAsia="Arial" w:hAnsi="Arial"/>
          <w:b w:val="false"/>
          <w:bCs w:val="false"/>
          <w:i w:val="false"/>
          <w:iCs w:val="false"/>
          <w:color w:val="1E293B"/>
          <w:sz w:val="20"/>
          <w:szCs w:val="20"/>
        </w:rPr>
        <w:t xml:space="preserve">The crawler (src/lib/crawl/crawler.ts) performs safe recursion across up to 48 public website pages. It incorporates SSRF protection (assertPublicUrl) preventing access to localhost, private IP ranges (10.0.0.0/8, 172.16.0.0/12, 192.168.0.0/16, 169.254.0.0/16), and AWS/GCP metadata endpoints. Pages are sanitized using Cheerio to strip scripts, styles, navigations, and SVG noise.</w:t>
      </w:r>
    </w:p>
    <w:p>
      <w:pPr>
        <w:pStyle w:val="Heading2"/>
        <w:keepNext/>
        <w:spacing w:after="100" w:before="260"/>
      </w:pPr>
      <w:r>
        <w:rPr>
          <w:rFonts w:ascii="Arial" w:cs="Arial" w:eastAsia="Arial" w:hAnsi="Arial"/>
          <w:b/>
          <w:bCs/>
          <w:color w:val="7C34BC"/>
          <w:sz w:val="26"/>
          <w:szCs w:val="26"/>
        </w:rPr>
        <w:t xml:space="preserve">4.2 Multi-Format Custom Document Ingestion</w:t>
      </w:r>
    </w:p>
    <w:p>
      <w:pPr>
        <w:spacing w:after="120" w:line="280"/>
      </w:pPr>
      <w:r>
        <w:rPr>
          <w:rFonts w:ascii="Arial" w:cs="Arial" w:eastAsia="Arial" w:hAnsi="Arial"/>
          <w:b w:val="false"/>
          <w:bCs w:val="false"/>
          <w:i w:val="false"/>
          <w:iCs w:val="false"/>
          <w:color w:val="1E293B"/>
          <w:sz w:val="20"/>
          <w:szCs w:val="20"/>
        </w:rPr>
        <w:t xml:space="preserve">Users can upload up to 10 files (up to 15MB each) during onboarding or within the workspace. Supported formats include PDF, DOCX, PPTX, XLSX, TXT, MD, and CSV. The ingestion engine (src/lib/sources/content.ts) parses each file and saves it to ChatAttachment with remembered=true, making it available as ground truth across all AI nodes.</w:t>
      </w:r>
    </w:p>
    <w:p>
      <w:pPr>
        <w:pStyle w:val="Heading2"/>
        <w:keepNext/>
        <w:spacing w:after="100" w:before="260"/>
      </w:pPr>
      <w:r>
        <w:rPr>
          <w:rFonts w:ascii="Arial" w:cs="Arial" w:eastAsia="Arial" w:hAnsi="Arial"/>
          <w:b/>
          <w:bCs/>
          <w:color w:val="7C34BC"/>
          <w:sz w:val="26"/>
          <w:szCs w:val="26"/>
        </w:rPr>
        <w:t xml:space="preserve">4.3 Strategic Marketing Questionnaire Ingestion</w:t>
      </w:r>
    </w:p>
    <w:p>
      <w:pPr>
        <w:spacing w:after="120" w:line="280"/>
      </w:pPr>
      <w:r>
        <w:rPr>
          <w:rFonts w:ascii="Arial" w:cs="Arial" w:eastAsia="Arial" w:hAnsi="Arial"/>
          <w:b w:val="false"/>
          <w:bCs w:val="false"/>
          <w:i w:val="false"/>
          <w:iCs w:val="false"/>
          <w:color w:val="1E293B"/>
          <w:sz w:val="20"/>
          <w:szCs w:val="20"/>
        </w:rPr>
        <w:t xml:space="preserve">The onboarding flow captures structured strategic parameters: priority-ranked target geographies (Tier 1 Core, Tier 2 Secondary, priority notes), Ideal Customer Profile (segments, buyer personas, pain points), core differentiators, competitors, and marketing goals. This is serialized into a Markdown brief titled 'Strategic Marketing &amp; Geography Brief.md' and attached as persistent company memory.</w:t>
      </w:r>
    </w:p>
    <w:p>
      <w:pPr>
        <w:pStyle w:val="Heading1"/>
        <w:keepNext/>
        <w:spacing w:after="140" w:before="360"/>
      </w:pPr>
      <w:r>
        <w:rPr>
          <w:rFonts w:ascii="Arial" w:cs="Arial" w:eastAsia="Arial" w:hAnsi="Arial"/>
          <w:b/>
          <w:bCs/>
          <w:color w:val="581C87"/>
          <w:sz w:val="32"/>
          <w:szCs w:val="32"/>
        </w:rPr>
        <w:t xml:space="preserve">5. Intelligence Node &amp; Agent Execution Engine</w:t>
      </w:r>
    </w:p>
    <w:p>
      <w:pPr>
        <w:spacing w:after="120" w:line="280"/>
      </w:pPr>
      <w:r>
        <w:rPr>
          <w:rFonts w:ascii="Arial" w:cs="Arial" w:eastAsia="Arial" w:hAnsi="Arial"/>
          <w:b w:val="false"/>
          <w:bCs w:val="false"/>
          <w:i w:val="false"/>
          <w:iCs w:val="false"/>
          <w:color w:val="1E293B"/>
          <w:sz w:val="20"/>
          <w:szCs w:val="20"/>
        </w:rPr>
        <w:t xml:space="preserve">All AI generation flows through src/lib/nodes/runner.ts. The execution engine follows a strict sequence:</w:t>
      </w:r>
    </w:p>
    <w:p>
      <w:pPr>
        <w:pStyle w:val="ListParagraph"/>
        <w:numPr>
          <w:ilvl w:val="0"/>
          <w:numId w:val="1"/>
        </w:numPr>
        <w:spacing w:after="80" w:line="260"/>
        <w:ind w:left="360" w:hanging="240"/>
      </w:pPr>
      <w:r>
        <w:rPr>
          <w:rFonts w:ascii="Arial" w:cs="Arial" w:eastAsia="Arial" w:hAnsi="Arial"/>
          <w:b/>
          <w:bCs/>
          <w:color w:val="1E293B"/>
          <w:sz w:val="20"/>
          <w:szCs w:val="20"/>
        </w:rPr>
        <w:t xml:space="preserve">1. Evidence Pack Assembly: </w:t>
      </w:r>
      <w:r>
        <w:rPr>
          <w:rFonts w:ascii="Arial" w:cs="Arial" w:eastAsia="Arial" w:hAnsi="Arial"/>
          <w:color w:val="1E293B"/>
          <w:sz w:val="20"/>
          <w:szCs w:val="20"/>
        </w:rPr>
        <w:t xml:space="preserve">Gathers crawl pages, response timing, uploaded documents, and the marketing strategy brief into a bounded context string.</w:t>
      </w:r>
    </w:p>
    <w:p>
      <w:pPr>
        <w:pStyle w:val="ListParagraph"/>
        <w:numPr>
          <w:ilvl w:val="0"/>
          <w:numId w:val="1"/>
        </w:numPr>
        <w:spacing w:after="80" w:line="260"/>
        <w:ind w:left="360" w:hanging="240"/>
      </w:pPr>
      <w:r>
        <w:rPr>
          <w:rFonts w:ascii="Arial" w:cs="Arial" w:eastAsia="Arial" w:hAnsi="Arial"/>
          <w:b/>
          <w:bCs/>
          <w:color w:val="1E293B"/>
          <w:sz w:val="20"/>
          <w:szCs w:val="20"/>
        </w:rPr>
        <w:t xml:space="preserve">2. Token Budget Assertion: </w:t>
      </w:r>
      <w:r>
        <w:rPr>
          <w:rFonts w:ascii="Arial" w:cs="Arial" w:eastAsia="Arial" w:hAnsi="Arial"/>
          <w:color w:val="1E293B"/>
          <w:sz w:val="20"/>
          <w:szCs w:val="20"/>
        </w:rPr>
        <w:t xml:space="preserve">Ensures the user has sufficient balance before invoking models (assertTokenBudget).</w:t>
      </w:r>
    </w:p>
    <w:p>
      <w:pPr>
        <w:pStyle w:val="ListParagraph"/>
        <w:numPr>
          <w:ilvl w:val="0"/>
          <w:numId w:val="1"/>
        </w:numPr>
        <w:spacing w:after="80" w:line="260"/>
        <w:ind w:left="360" w:hanging="240"/>
      </w:pPr>
      <w:r>
        <w:rPr>
          <w:rFonts w:ascii="Arial" w:cs="Arial" w:eastAsia="Arial" w:hAnsi="Arial"/>
          <w:b/>
          <w:bCs/>
          <w:color w:val="1E293B"/>
          <w:sz w:val="20"/>
          <w:szCs w:val="20"/>
        </w:rPr>
        <w:t xml:space="preserve">3. Provider Dispatch: </w:t>
      </w:r>
      <w:r>
        <w:rPr>
          <w:rFonts w:ascii="Arial" w:cs="Arial" w:eastAsia="Arial" w:hAnsi="Arial"/>
          <w:color w:val="1E293B"/>
          <w:sz w:val="20"/>
          <w:szCs w:val="20"/>
        </w:rPr>
        <w:t xml:space="preserve">Fetches verified API credentials, decrypts the key via AES-256, and calls the chosen provider with system prompts and JSON schema constraints.</w:t>
      </w:r>
    </w:p>
    <w:p>
      <w:pPr>
        <w:pStyle w:val="ListParagraph"/>
        <w:numPr>
          <w:ilvl w:val="0"/>
          <w:numId w:val="1"/>
        </w:numPr>
        <w:spacing w:after="80" w:line="260"/>
        <w:ind w:left="360" w:hanging="240"/>
      </w:pPr>
      <w:r>
        <w:rPr>
          <w:rFonts w:ascii="Arial" w:cs="Arial" w:eastAsia="Arial" w:hAnsi="Arial"/>
          <w:b/>
          <w:bCs/>
          <w:color w:val="1E293B"/>
          <w:sz w:val="20"/>
          <w:szCs w:val="20"/>
        </w:rPr>
        <w:t xml:space="preserve">4. JSON Validation &amp; Quality Gate: </w:t>
      </w:r>
      <w:r>
        <w:rPr>
          <w:rFonts w:ascii="Arial" w:cs="Arial" w:eastAsia="Arial" w:hAnsi="Arial"/>
          <w:color w:val="1E293B"/>
          <w:sz w:val="20"/>
          <w:szCs w:val="20"/>
        </w:rPr>
        <w:t xml:space="preserve">Extracts contentMarkdown, executive summary, actionable findings, and source references. Normalizes typography, repairs malformed JSON, and asserts quality.</w:t>
      </w:r>
    </w:p>
    <w:p>
      <w:pPr>
        <w:pStyle w:val="ListParagraph"/>
        <w:numPr>
          <w:ilvl w:val="0"/>
          <w:numId w:val="1"/>
        </w:numPr>
        <w:spacing w:after="80" w:line="260"/>
        <w:ind w:left="360" w:hanging="240"/>
      </w:pPr>
      <w:r>
        <w:rPr>
          <w:rFonts w:ascii="Arial" w:cs="Arial" w:eastAsia="Arial" w:hAnsi="Arial"/>
          <w:b/>
          <w:bCs/>
          <w:color w:val="1E293B"/>
          <w:sz w:val="20"/>
          <w:szCs w:val="20"/>
        </w:rPr>
        <w:t xml:space="preserve">5. Atomic Persistence: </w:t>
      </w:r>
      <w:r>
        <w:rPr>
          <w:rFonts w:ascii="Arial" w:cs="Arial" w:eastAsia="Arial" w:hAnsi="Arial"/>
          <w:color w:val="1E293B"/>
          <w:sz w:val="20"/>
          <w:szCs w:val="20"/>
        </w:rPr>
        <w:t xml:space="preserve">Saves Document records, increments versions, logs AgentRun records, and triggers CMO synthesis.</w:t>
      </w:r>
    </w:p>
    <w:p>
      <w:pPr>
        <w:pStyle w:val="Heading1"/>
        <w:keepNext/>
        <w:spacing w:after="140" w:before="360"/>
      </w:pPr>
      <w:r>
        <w:rPr>
          <w:rFonts w:ascii="Arial" w:cs="Arial" w:eastAsia="Arial" w:hAnsi="Arial"/>
          <w:b/>
          <w:bCs/>
          <w:color w:val="581C87"/>
          <w:sz w:val="32"/>
          <w:szCs w:val="32"/>
        </w:rPr>
        <w:t xml:space="preserve">6. Security, Governance &amp; Agent Restrictions</w:t>
      </w:r>
    </w:p>
    <w:p>
      <w:pPr>
        <w:spacing w:after="120" w:line="280"/>
      </w:pPr>
      <w:r>
        <w:rPr>
          <w:rFonts w:ascii="Arial" w:cs="Arial" w:eastAsia="Arial" w:hAnsi="Arial"/>
          <w:b w:val="false"/>
          <w:bCs w:val="false"/>
          <w:i w:val="false"/>
          <w:iCs w:val="false"/>
          <w:color w:val="1E293B"/>
          <w:sz w:val="20"/>
          <w:szCs w:val="20"/>
        </w:rPr>
        <w:t xml:space="preserve">To prevent accidental or unauthorized code modifications, the repository implements strict governance rules:</w:t>
      </w:r>
    </w:p>
    <w:p>
      <w:pPr>
        <w:pBdr>
          <w:left w:val="single" w:color="7C34BC" w:sz="24"/>
        </w:pBdr>
        <w:shd w:fill="F5F3FF" w:val="clear"/>
        <w:spacing w:after="160" w:before="140" w:line="270"/>
        <w:ind w:left="240" w:right="180"/>
      </w:pPr>
      <w:r>
        <w:rPr>
          <w:rFonts w:ascii="Arial" w:cs="Arial" w:eastAsia="Arial" w:hAnsi="Arial"/>
          <w:b/>
          <w:bCs/>
          <w:color w:val="581C87"/>
          <w:sz w:val="20"/>
          <w:szCs w:val="20"/>
        </w:rPr>
        <w:t xml:space="preserve">Repository Protection Policy: </w:t>
      </w:r>
      <w:r>
        <w:rPr>
          <w:rFonts w:ascii="Arial" w:cs="Arial" w:eastAsia="Arial" w:hAnsi="Arial"/>
          <w:color w:val="1E293B"/>
          <w:sz w:val="20"/>
          <w:szCs w:val="20"/>
        </w:rPr>
        <w:t xml:space="preserve">Under SECURITY.md and AGENTS.md, AI coding agents are strictly forbidden from running autonomous git commit or git push commands. All remote repository updates must be performed manually by verified human developers.</w:t>
      </w:r>
    </w:p>
    <w:p>
      <w:pPr>
        <w:pStyle w:val="ListParagraph"/>
        <w:numPr>
          <w:ilvl w:val="0"/>
          <w:numId w:val="1"/>
        </w:numPr>
        <w:spacing w:after="80" w:line="260"/>
        <w:ind w:left="360" w:hanging="240"/>
      </w:pPr>
      <w:r>
        <w:rPr>
          <w:rFonts w:ascii="Arial" w:cs="Arial" w:eastAsia="Arial" w:hAnsi="Arial"/>
          <w:b/>
          <w:bCs/>
          <w:color w:val="1E293B"/>
          <w:sz w:val="20"/>
          <w:szCs w:val="20"/>
        </w:rPr>
        <w:t xml:space="preserve">Git Pre-Push Hook Guard: </w:t>
      </w:r>
      <w:r>
        <w:rPr>
          <w:rFonts w:ascii="Arial" w:cs="Arial" w:eastAsia="Arial" w:hAnsi="Arial"/>
          <w:color w:val="1E293B"/>
          <w:sz w:val="20"/>
          <w:szCs w:val="20"/>
        </w:rPr>
        <w:t xml:space="preserve">Installed at .git/hooks/pre-push, this script physically blocks non-interactive git push attempts unless confirmed with MANUAL_PUSH_CONFIRMED=1 or an interactive terminal prompt.</w:t>
      </w:r>
    </w:p>
    <w:p>
      <w:pPr>
        <w:pStyle w:val="ListParagraph"/>
        <w:numPr>
          <w:ilvl w:val="0"/>
          <w:numId w:val="1"/>
        </w:numPr>
        <w:spacing w:after="80" w:line="260"/>
        <w:ind w:left="360" w:hanging="240"/>
      </w:pPr>
      <w:r>
        <w:rPr>
          <w:rFonts w:ascii="Arial" w:cs="Arial" w:eastAsia="Arial" w:hAnsi="Arial"/>
          <w:b/>
          <w:bCs/>
          <w:color w:val="1E293B"/>
          <w:sz w:val="20"/>
          <w:szCs w:val="20"/>
        </w:rPr>
        <w:t xml:space="preserve">Secrets Management: </w:t>
      </w:r>
      <w:r>
        <w:rPr>
          <w:rFonts w:ascii="Arial" w:cs="Arial" w:eastAsia="Arial" w:hAnsi="Arial"/>
          <w:color w:val="1E293B"/>
          <w:sz w:val="20"/>
          <w:szCs w:val="20"/>
        </w:rPr>
        <w:t xml:space="preserve">Zero API keys, session tokens, or credentials are committed. Environment files (.env*) are strictly ignored in .gitignore.</w:t>
      </w:r>
    </w:p>
    <w:p>
      <w:pPr>
        <w:pStyle w:val="ListParagraph"/>
        <w:numPr>
          <w:ilvl w:val="0"/>
          <w:numId w:val="1"/>
        </w:numPr>
        <w:spacing w:after="80" w:line="260"/>
        <w:ind w:left="360" w:hanging="240"/>
      </w:pPr>
      <w:r>
        <w:rPr>
          <w:rFonts w:ascii="Arial" w:cs="Arial" w:eastAsia="Arial" w:hAnsi="Arial"/>
          <w:b/>
          <w:bCs/>
          <w:color w:val="1E293B"/>
          <w:sz w:val="20"/>
          <w:szCs w:val="20"/>
        </w:rPr>
        <w:t xml:space="preserve">Authentication &amp; Rate Throttling: </w:t>
      </w:r>
      <w:r>
        <w:rPr>
          <w:rFonts w:ascii="Arial" w:cs="Arial" w:eastAsia="Arial" w:hAnsi="Arial"/>
          <w:color w:val="1E293B"/>
          <w:sz w:val="20"/>
          <w:szCs w:val="20"/>
        </w:rPr>
        <w:t xml:space="preserve">Administrative routes and API endpoints require authenticated sessions backed by bcrypt password hashing and auth throttling.</w:t>
      </w:r>
    </w:p>
    <w:p>
      <w:pPr>
        <w:pStyle w:val="Heading1"/>
        <w:keepNext/>
        <w:spacing w:after="140" w:before="360"/>
      </w:pPr>
      <w:r>
        <w:rPr>
          <w:rFonts w:ascii="Arial" w:cs="Arial" w:eastAsia="Arial" w:hAnsi="Arial"/>
          <w:b/>
          <w:bCs/>
          <w:color w:val="581C87"/>
          <w:sz w:val="32"/>
          <w:szCs w:val="32"/>
        </w:rPr>
        <w:t xml:space="preserve">7. Deliverables Generation &amp; Reporting Pipeline</w:t>
      </w:r>
    </w:p>
    <w:p>
      <w:pPr>
        <w:spacing w:after="120" w:line="280"/>
      </w:pPr>
      <w:r>
        <w:rPr>
          <w:rFonts w:ascii="Arial" w:cs="Arial" w:eastAsia="Arial" w:hAnsi="Arial"/>
          <w:b w:val="false"/>
          <w:bCs w:val="false"/>
          <w:i w:val="false"/>
          <w:iCs w:val="false"/>
          <w:color w:val="1E293B"/>
          <w:sz w:val="20"/>
          <w:szCs w:val="20"/>
        </w:rPr>
        <w:t xml:space="preserve">Smark Connect includes dedicated generator engines for creating polished client-ready assets:</w:t>
      </w:r>
    </w:p>
    <w:p>
      <w:pPr>
        <w:pStyle w:val="ListParagraph"/>
        <w:numPr>
          <w:ilvl w:val="0"/>
          <w:numId w:val="1"/>
        </w:numPr>
        <w:spacing w:after="80" w:line="260"/>
        <w:ind w:left="360" w:hanging="240"/>
      </w:pPr>
      <w:r>
        <w:rPr>
          <w:rFonts w:ascii="Arial" w:cs="Arial" w:eastAsia="Arial" w:hAnsi="Arial"/>
          <w:b/>
          <w:bCs/>
          <w:color w:val="1E293B"/>
          <w:sz w:val="20"/>
          <w:szCs w:val="20"/>
        </w:rPr>
        <w:t xml:space="preserve">DOCX Reports: </w:t>
      </w:r>
      <w:r>
        <w:rPr>
          <w:rFonts w:ascii="Arial" w:cs="Arial" w:eastAsia="Arial" w:hAnsi="Arial"/>
          <w:color w:val="1E293B"/>
          <w:sz w:val="20"/>
          <w:szCs w:val="20"/>
        </w:rPr>
        <w:t xml:space="preserve">Uses the docx package to build executive Word reports complete with cover styling, tables, callouts, and page numbering.</w:t>
      </w:r>
    </w:p>
    <w:p>
      <w:pPr>
        <w:pStyle w:val="ListParagraph"/>
        <w:numPr>
          <w:ilvl w:val="0"/>
          <w:numId w:val="1"/>
        </w:numPr>
        <w:spacing w:after="80" w:line="260"/>
        <w:ind w:left="360" w:hanging="240"/>
      </w:pPr>
      <w:r>
        <w:rPr>
          <w:rFonts w:ascii="Arial" w:cs="Arial" w:eastAsia="Arial" w:hAnsi="Arial"/>
          <w:b/>
          <w:bCs/>
          <w:color w:val="1E293B"/>
          <w:sz w:val="20"/>
          <w:szCs w:val="20"/>
        </w:rPr>
        <w:t xml:space="preserve">XLSX Workbooks: </w:t>
      </w:r>
      <w:r>
        <w:rPr>
          <w:rFonts w:ascii="Arial" w:cs="Arial" w:eastAsia="Arial" w:hAnsi="Arial"/>
          <w:color w:val="1E293B"/>
          <w:sz w:val="20"/>
          <w:szCs w:val="20"/>
        </w:rPr>
        <w:t xml:space="preserve">Uses exceljs to create operational workbooks with dedicated sheets for keyword clusters, technical SEO audits, and content roadmaps.</w:t>
      </w:r>
    </w:p>
    <w:p>
      <w:pPr>
        <w:pStyle w:val="ListParagraph"/>
        <w:numPr>
          <w:ilvl w:val="0"/>
          <w:numId w:val="1"/>
        </w:numPr>
        <w:spacing w:after="80" w:line="260"/>
        <w:ind w:left="360" w:hanging="240"/>
      </w:pPr>
      <w:r>
        <w:rPr>
          <w:rFonts w:ascii="Arial" w:cs="Arial" w:eastAsia="Arial" w:hAnsi="Arial"/>
          <w:b/>
          <w:bCs/>
          <w:color w:val="1E293B"/>
          <w:sz w:val="20"/>
          <w:szCs w:val="20"/>
        </w:rPr>
        <w:t xml:space="preserve">PPTX &amp; PDF Decks: </w:t>
      </w:r>
      <w:r>
        <w:rPr>
          <w:rFonts w:ascii="Arial" w:cs="Arial" w:eastAsia="Arial" w:hAnsi="Arial"/>
          <w:color w:val="1E293B"/>
          <w:sz w:val="20"/>
          <w:szCs w:val="20"/>
        </w:rPr>
        <w:t xml:space="preserve">Provides structured slide layouts for executive presentations and board-level strategy decks.</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The Smarketers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C34BC"/>
        <w:sz w:val="16"/>
        <w:szCs w:val="16"/>
      </w:rPr>
      <w:t xml:space="preserve">Smark Connect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Smark Connect - Technical Documentation</dc:title>
  <dc:creator>The Smarketers</dc:creator>
  <dc:description>Engineering and Architecture Manual for Smark Connect</dc:description>
  <cp:lastModifiedBy>Un-named</cp:lastModifiedBy>
  <cp:revision>1</cp:revision>
  <dcterms:created xsi:type="dcterms:W3CDTF">2026-09-21T13:15:40.151Z</dcterms:created>
  <dcterms:modified xsi:type="dcterms:W3CDTF">2026-09-21T13:15:40.152Z</dcterms:modified>
</cp:coreProperties>
</file>

<file path=docProps/custom.xml><?xml version="1.0" encoding="utf-8"?>
<Properties xmlns="http://schemas.openxmlformats.org/officeDocument/2006/custom-properties" xmlns:vt="http://schemas.openxmlformats.org/officeDocument/2006/docPropsVTypes"/>
</file>