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rPr>
          <w:rFonts w:ascii="Arial" w:cs="Arial" w:eastAsia="Arial" w:hAnsi="Arial"/>
          <w:b/>
          <w:bCs/>
          <w:color w:val="7C34BC"/>
          <w:spacing w:val="80"/>
          <w:sz w:val="24"/>
          <w:szCs w:val="24"/>
        </w:rPr>
        <w:t xml:space="preserve">SMARK CONNECT</w:t>
      </w:r>
    </w:p>
    <w:p>
      <w:pPr>
        <w:spacing w:after="120" w:before="80"/>
      </w:pPr>
      <w:r>
        <w:rPr>
          <w:rFonts w:ascii="Arial" w:cs="Arial" w:eastAsia="Arial" w:hAnsi="Arial"/>
          <w:b/>
          <w:bCs/>
          <w:color w:val="581C87"/>
          <w:sz w:val="52"/>
          <w:szCs w:val="52"/>
        </w:rPr>
        <w:t xml:space="preserve">User Guide &amp; Operating Manual</w:t>
      </w:r>
    </w:p>
    <w:p>
      <w:pPr>
        <w:pBdr>
          <w:bottom w:val="single" w:color="7C34BC" w:sz="24"/>
        </w:pBdr>
        <w:spacing w:after="300"/>
      </w:pPr>
      <w:r>
        <w:rPr>
          <w:rFonts w:ascii="Arial" w:cs="Arial" w:eastAsia="Arial" w:hAnsi="Arial"/>
          <w:i/>
          <w:iCs/>
          <w:color w:val="64748B"/>
          <w:sz w:val="24"/>
          <w:szCs w:val="24"/>
        </w:rPr>
        <w:t xml:space="preserve">Complete Guide to Navigating, Auditing, and Growing with Smark Connect</w:t>
      </w:r>
    </w:p>
    <w:p>
      <w:pPr>
        <w:pStyle w:val="Heading1"/>
        <w:keepNext/>
        <w:spacing w:after="140" w:before="360"/>
      </w:pPr>
      <w:r>
        <w:rPr>
          <w:rFonts w:ascii="Arial" w:cs="Arial" w:eastAsia="Arial" w:hAnsi="Arial"/>
          <w:b/>
          <w:bCs/>
          <w:color w:val="581C87"/>
          <w:sz w:val="32"/>
          <w:szCs w:val="32"/>
        </w:rPr>
        <w:t xml:space="preserve">1. Welcome to Smark Connect</w:t>
      </w:r>
    </w:p>
    <w:p>
      <w:pPr>
        <w:spacing w:after="120" w:line="280"/>
      </w:pPr>
      <w:r>
        <w:rPr>
          <w:rFonts w:ascii="Arial" w:cs="Arial" w:eastAsia="Arial" w:hAnsi="Arial"/>
          <w:b w:val="false"/>
          <w:bCs w:val="false"/>
          <w:i w:val="false"/>
          <w:iCs w:val="false"/>
          <w:color w:val="1E293B"/>
          <w:sz w:val="20"/>
          <w:szCs w:val="20"/>
        </w:rPr>
        <w:t xml:space="preserve">Smark Connect is your 24/7 AI Chief Marketing Officer (CMO) and autonomous marketing intelligence operating system. Built by The Smarketers, it replaces subjective guesswork with verifiable digital evidence—crawling your public web assets, ingesting your proprietary strategy documents, and giving your team an unfair competitive advantage.</w:t>
      </w:r>
    </w:p>
    <w:p>
      <w:pPr>
        <w:pBdr>
          <w:left w:val="single" w:color="7C34BC" w:sz="24"/>
        </w:pBdr>
        <w:shd w:fill="F5F3FF" w:val="clear"/>
        <w:spacing w:after="160" w:before="140" w:line="270"/>
        <w:ind w:left="240" w:right="180"/>
      </w:pPr>
      <w:r>
        <w:rPr>
          <w:rFonts w:ascii="Arial" w:cs="Arial" w:eastAsia="Arial" w:hAnsi="Arial"/>
          <w:b/>
          <w:bCs/>
          <w:color w:val="581C87"/>
          <w:sz w:val="20"/>
          <w:szCs w:val="20"/>
        </w:rPr>
        <w:t xml:space="preserve">Why Smark Connect is Different: </w:t>
      </w:r>
      <w:r>
        <w:rPr>
          <w:rFonts w:ascii="Arial" w:cs="Arial" w:eastAsia="Arial" w:hAnsi="Arial"/>
          <w:color w:val="1E293B"/>
          <w:sz w:val="20"/>
          <w:szCs w:val="20"/>
        </w:rPr>
        <w:t xml:space="preserve">Traditional AI tools hallucinate generic advice based on internet averages. Smark Connect grounds every single analysis in real digital proof: your live website content, response-timing benchmarks, customer research documents, and priority target geographies.</w:t>
      </w:r>
    </w:p>
    <w:p>
      <w:pPr>
        <w:pStyle w:val="Heading1"/>
        <w:keepNext/>
        <w:spacing w:after="140" w:before="360"/>
      </w:pPr>
      <w:r>
        <w:rPr>
          <w:rFonts w:ascii="Arial" w:cs="Arial" w:eastAsia="Arial" w:hAnsi="Arial"/>
          <w:b/>
          <w:bCs/>
          <w:color w:val="581C87"/>
          <w:sz w:val="32"/>
          <w:szCs w:val="32"/>
        </w:rPr>
        <w:t xml:space="preserve">2. Onboarding: 5 Simple Steps to Launch</w:t>
      </w:r>
    </w:p>
    <w:p>
      <w:pPr>
        <w:spacing w:after="120" w:line="280"/>
      </w:pPr>
      <w:r>
        <w:rPr>
          <w:rFonts w:ascii="Arial" w:cs="Arial" w:eastAsia="Arial" w:hAnsi="Arial"/>
          <w:b w:val="false"/>
          <w:bCs w:val="false"/>
          <w:i w:val="false"/>
          <w:iCs w:val="false"/>
          <w:color w:val="1E293B"/>
          <w:sz w:val="20"/>
          <w:szCs w:val="20"/>
        </w:rPr>
        <w:t xml:space="preserve">Setting up your company intelligence workspace takes less than 2 minutes through our streamlined 5-step onboarding flow:</w:t>
      </w:r>
    </w:p>
    <w:p>
      <w:pPr>
        <w:spacing w:after="90" w:line="260"/>
        <w:ind w:left="400" w:hanging="280"/>
      </w:pPr>
      <w:r>
        <w:rPr>
          <w:rFonts w:ascii="Arial" w:cs="Arial" w:eastAsia="Arial" w:hAnsi="Arial"/>
          <w:b/>
          <w:bCs/>
          <w:color w:val="7C34BC"/>
          <w:sz w:val="20"/>
          <w:szCs w:val="20"/>
        </w:rPr>
        <w:t xml:space="preserve">1. </w:t>
      </w:r>
      <w:r>
        <w:rPr>
          <w:rFonts w:ascii="Arial" w:cs="Arial" w:eastAsia="Arial" w:hAnsi="Arial"/>
          <w:b/>
          <w:bCs/>
          <w:color w:val="1E293B"/>
          <w:sz w:val="20"/>
          <w:szCs w:val="20"/>
        </w:rPr>
        <w:t xml:space="preserve">Create Your Account: </w:t>
      </w:r>
      <w:r>
        <w:rPr>
          <w:rFonts w:ascii="Arial" w:cs="Arial" w:eastAsia="Arial" w:hAnsi="Arial"/>
          <w:color w:val="1E293B"/>
          <w:sz w:val="20"/>
          <w:szCs w:val="20"/>
        </w:rPr>
        <w:t xml:space="preserve">Create your secure workspace account with your name, work email, and a strong password.</w:t>
      </w:r>
    </w:p>
    <w:p>
      <w:pPr>
        <w:spacing w:after="90" w:line="260"/>
        <w:ind w:left="400" w:hanging="280"/>
      </w:pPr>
      <w:r>
        <w:rPr>
          <w:rFonts w:ascii="Arial" w:cs="Arial" w:eastAsia="Arial" w:hAnsi="Arial"/>
          <w:b/>
          <w:bCs/>
          <w:color w:val="7C34BC"/>
          <w:sz w:val="20"/>
          <w:szCs w:val="20"/>
        </w:rPr>
        <w:t xml:space="preserve">2. </w:t>
      </w:r>
      <w:r>
        <w:rPr>
          <w:rFonts w:ascii="Arial" w:cs="Arial" w:eastAsia="Arial" w:hAnsi="Arial"/>
          <w:b/>
          <w:bCs/>
          <w:color w:val="1E293B"/>
          <w:sz w:val="20"/>
          <w:szCs w:val="20"/>
        </w:rPr>
        <w:t xml:space="preserve">Company Website: </w:t>
      </w:r>
      <w:r>
        <w:rPr>
          <w:rFonts w:ascii="Arial" w:cs="Arial" w:eastAsia="Arial" w:hAnsi="Arial"/>
          <w:color w:val="1E293B"/>
          <w:sz w:val="20"/>
          <w:szCs w:val="20"/>
        </w:rPr>
        <w:t xml:space="preserve">Enter your company website domain (e.g., yourcompany.com). Smark Connect will queue a crawl across public pages to extract live digital evidence.</w:t>
      </w:r>
    </w:p>
    <w:p>
      <w:pPr>
        <w:spacing w:after="90" w:line="260"/>
        <w:ind w:left="400" w:hanging="280"/>
      </w:pPr>
      <w:r>
        <w:rPr>
          <w:rFonts w:ascii="Arial" w:cs="Arial" w:eastAsia="Arial" w:hAnsi="Arial"/>
          <w:b/>
          <w:bCs/>
          <w:color w:val="7C34BC"/>
          <w:sz w:val="20"/>
          <w:szCs w:val="20"/>
        </w:rPr>
        <w:t xml:space="preserve">3. </w:t>
      </w:r>
      <w:r>
        <w:rPr>
          <w:rFonts w:ascii="Arial" w:cs="Arial" w:eastAsia="Arial" w:hAnsi="Arial"/>
          <w:b/>
          <w:bCs/>
          <w:color w:val="1E293B"/>
          <w:sz w:val="20"/>
          <w:szCs w:val="20"/>
        </w:rPr>
        <w:t xml:space="preserve">Marketing Brief &amp; Custom Documents: </w:t>
      </w:r>
      <w:r>
        <w:rPr>
          <w:rFonts w:ascii="Arial" w:cs="Arial" w:eastAsia="Arial" w:hAnsi="Arial"/>
          <w:color w:val="1E293B"/>
          <w:sz w:val="20"/>
          <w:szCs w:val="20"/>
        </w:rPr>
        <w:t xml:space="preserve">Attach your pitch decks, brand books, case studies, or ICP docs (PDF, DOCX, PPTX, XLSX up to 15MB). Select your priority target geographies (Tier 1 Primary market &amp; Tier 2 Expansion markets), buyer personas, differentiators, competitors, and strategic marketing goals.</w:t>
      </w:r>
    </w:p>
    <w:p>
      <w:pPr>
        <w:spacing w:after="90" w:line="260"/>
        <w:ind w:left="400" w:hanging="280"/>
      </w:pPr>
      <w:r>
        <w:rPr>
          <w:rFonts w:ascii="Arial" w:cs="Arial" w:eastAsia="Arial" w:hAnsi="Arial"/>
          <w:b/>
          <w:bCs/>
          <w:color w:val="7C34BC"/>
          <w:sz w:val="20"/>
          <w:szCs w:val="20"/>
        </w:rPr>
        <w:t xml:space="preserve">4. </w:t>
      </w:r>
      <w:r>
        <w:rPr>
          <w:rFonts w:ascii="Arial" w:cs="Arial" w:eastAsia="Arial" w:hAnsi="Arial"/>
          <w:b/>
          <w:bCs/>
          <w:color w:val="1E293B"/>
          <w:sz w:val="20"/>
          <w:szCs w:val="20"/>
        </w:rPr>
        <w:t xml:space="preserve">AI Inference Provider: </w:t>
      </w:r>
      <w:r>
        <w:rPr>
          <w:rFonts w:ascii="Arial" w:cs="Arial" w:eastAsia="Arial" w:hAnsi="Arial"/>
          <w:color w:val="1E293B"/>
          <w:sz w:val="20"/>
          <w:szCs w:val="20"/>
        </w:rPr>
        <w:t xml:space="preserve">Bring your own API key (BYOK) from OpenAI, Anthropic, Google Gemini, or OpenRouter. Your key is encrypted with AES-256 at rest and used only for your workspace.</w:t>
      </w:r>
    </w:p>
    <w:p>
      <w:pPr>
        <w:spacing w:after="90" w:line="260"/>
        <w:ind w:left="400" w:hanging="280"/>
      </w:pPr>
      <w:r>
        <w:rPr>
          <w:rFonts w:ascii="Arial" w:cs="Arial" w:eastAsia="Arial" w:hAnsi="Arial"/>
          <w:b/>
          <w:bCs/>
          <w:color w:val="7C34BC"/>
          <w:sz w:val="20"/>
          <w:szCs w:val="20"/>
        </w:rPr>
        <w:t xml:space="preserve">5. </w:t>
      </w:r>
      <w:r>
        <w:rPr>
          <w:rFonts w:ascii="Arial" w:cs="Arial" w:eastAsia="Arial" w:hAnsi="Arial"/>
          <w:b/>
          <w:bCs/>
          <w:color w:val="1E293B"/>
          <w:sz w:val="20"/>
          <w:szCs w:val="20"/>
        </w:rPr>
        <w:t xml:space="preserve">Review &amp; Launch Engine: </w:t>
      </w:r>
      <w:r>
        <w:rPr>
          <w:rFonts w:ascii="Arial" w:cs="Arial" w:eastAsia="Arial" w:hAnsi="Arial"/>
          <w:color w:val="1E293B"/>
          <w:sz w:val="20"/>
          <w:szCs w:val="20"/>
        </w:rPr>
        <w:t xml:space="preserve">Review your strategic setup and launch the 6-engine intelligence analysis. All foundation reports and channel agents will initialize automatically.</w:t>
      </w:r>
    </w:p>
    <w:p>
      <w:pPr>
        <w:pStyle w:val="Heading1"/>
        <w:keepNext/>
        <w:spacing w:after="140" w:before="360"/>
      </w:pPr>
      <w:r>
        <w:rPr>
          <w:rFonts w:ascii="Arial" w:cs="Arial" w:eastAsia="Arial" w:hAnsi="Arial"/>
          <w:b/>
          <w:bCs/>
          <w:color w:val="581C87"/>
          <w:sz w:val="32"/>
          <w:szCs w:val="32"/>
        </w:rPr>
        <w:t xml:space="preserve">3. Understanding Your 6 Foundation Strategy Documents</w:t>
      </w:r>
    </w:p>
    <w:p>
      <w:pPr>
        <w:spacing w:after="120" w:line="280"/>
      </w:pPr>
      <w:r>
        <w:rPr>
          <w:rFonts w:ascii="Arial" w:cs="Arial" w:eastAsia="Arial" w:hAnsi="Arial"/>
          <w:b w:val="false"/>
          <w:bCs w:val="false"/>
          <w:i w:val="false"/>
          <w:iCs w:val="false"/>
          <w:color w:val="1E293B"/>
          <w:sz w:val="20"/>
          <w:szCs w:val="20"/>
        </w:rPr>
        <w:t xml:space="preserve">Once initialized, Smark Connect synthesizes six core strategic intelligence documents that serve as your company's permanent marketing ground truth: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7C34BC" w:val="clear"/>
            <w:tcMar>
              <w:top w:type="dxa" w:w="120"/>
              <w:left w:type="dxa" w:w="140"/>
              <w:bottom w:type="dxa" w:w="120"/>
              <w:right w:type="dxa" w:w="140"/>
            </w:tcMar>
          </w:tcPr>
          <w:p>
            <w:r>
              <w:rPr>
                <w:rFonts w:ascii="Arial" w:cs="Arial" w:eastAsia="Arial" w:hAnsi="Arial"/>
                <w:b/>
                <w:bCs/>
                <w:color w:val="FFFFFF"/>
                <w:sz w:val="18"/>
                <w:szCs w:val="18"/>
              </w:rPr>
              <w:t xml:space="preserve">Foundation Document</w:t>
            </w:r>
          </w:p>
        </w:tc>
        <w:tc>
          <w:tcPr>
            <w:shd w:fill="7C34BC" w:val="clear"/>
            <w:tcMar>
              <w:top w:type="dxa" w:w="120"/>
              <w:left w:type="dxa" w:w="140"/>
              <w:bottom w:type="dxa" w:w="120"/>
              <w:right w:type="dxa" w:w="140"/>
            </w:tcMar>
          </w:tcPr>
          <w:p>
            <w:r>
              <w:rPr>
                <w:rFonts w:ascii="Arial" w:cs="Arial" w:eastAsia="Arial" w:hAnsi="Arial"/>
                <w:b/>
                <w:bCs/>
                <w:color w:val="FFFFFF"/>
                <w:sz w:val="18"/>
                <w:szCs w:val="18"/>
              </w:rPr>
              <w:t xml:space="preserve">Strategic Purpose</w:t>
            </w:r>
          </w:p>
        </w:tc>
        <w:tc>
          <w:tcPr>
            <w:shd w:fill="7C34BC" w:val="clear"/>
            <w:tcMar>
              <w:top w:type="dxa" w:w="120"/>
              <w:left w:type="dxa" w:w="140"/>
              <w:bottom w:type="dxa" w:w="120"/>
              <w:right w:type="dxa" w:w="140"/>
            </w:tcMar>
          </w:tcPr>
          <w:p>
            <w:r>
              <w:rPr>
                <w:rFonts w:ascii="Arial" w:cs="Arial" w:eastAsia="Arial" w:hAnsi="Arial"/>
                <w:b/>
                <w:bCs/>
                <w:color w:val="FFFFFF"/>
                <w:sz w:val="18"/>
                <w:szCs w:val="18"/>
              </w:rPr>
              <w:t xml:space="preserve">Key Deliverables Included</w:t>
            </w:r>
          </w:p>
        </w:tc>
      </w:tr>
      <w:tr>
        <w:tc>
          <w:tcPr>
            <w:shd w:fill="FFFFFF" w:val="clear"/>
            <w:tcMar>
              <w:top w:type="dxa" w:w="100"/>
              <w:left w:type="dxa" w:w="140"/>
              <w:bottom w:type="dxa" w:w="100"/>
              <w:right w:type="dxa" w:w="140"/>
            </w:tcMar>
          </w:tcPr>
          <w:p>
            <w:r>
              <w:rPr>
                <w:rFonts w:ascii="Arial" w:cs="Arial" w:eastAsia="Arial" w:hAnsi="Arial"/>
                <w:b/>
                <w:bCs/>
                <w:color w:val="581C87"/>
                <w:sz w:val="18"/>
                <w:szCs w:val="18"/>
              </w:rPr>
              <w:t xml:space="preserve">1. Company Intelligence</w:t>
            </w:r>
          </w:p>
        </w:tc>
        <w:tc>
          <w:tcPr>
            <w:shd w:fill="FFFFFF" w:val="clear"/>
            <w:tcMar>
              <w:top w:type="dxa" w:w="100"/>
              <w:left w:type="dxa" w:w="140"/>
              <w:bottom w:type="dxa" w:w="100"/>
              <w:right w:type="dxa" w:w="140"/>
            </w:tcMar>
          </w:tcPr>
          <w:p>
            <w:r>
              <w:rPr>
                <w:rFonts w:ascii="Arial" w:cs="Arial" w:eastAsia="Arial" w:hAnsi="Arial"/>
                <w:b w:val="false"/>
                <w:bCs w:val="false"/>
                <w:color w:val="1E293B"/>
                <w:sz w:val="18"/>
                <w:szCs w:val="18"/>
              </w:rPr>
              <w:t xml:space="preserve">Core brand positioning &amp; market category</w:t>
            </w:r>
          </w:p>
        </w:tc>
        <w:tc>
          <w:tcPr>
            <w:shd w:fill="FFFFFF" w:val="clear"/>
            <w:tcMar>
              <w:top w:type="dxa" w:w="100"/>
              <w:left w:type="dxa" w:w="140"/>
              <w:bottom w:type="dxa" w:w="100"/>
              <w:right w:type="dxa" w:w="140"/>
            </w:tcMar>
          </w:tcPr>
          <w:p>
            <w:r>
              <w:rPr>
                <w:rFonts w:ascii="Arial" w:cs="Arial" w:eastAsia="Arial" w:hAnsi="Arial"/>
                <w:b w:val="false"/>
                <w:bCs w:val="false"/>
                <w:color w:val="1E293B"/>
                <w:sz w:val="18"/>
                <w:szCs w:val="18"/>
              </w:rPr>
              <w:t xml:space="preserve">Value proposition, category framing, key offers, brand narrative</w:t>
            </w:r>
          </w:p>
        </w:tc>
      </w:tr>
      <w:tr>
        <w:tc>
          <w:tcPr>
            <w:shd w:fill="F8FAFC" w:val="clear"/>
            <w:tcMar>
              <w:top w:type="dxa" w:w="100"/>
              <w:left w:type="dxa" w:w="140"/>
              <w:bottom w:type="dxa" w:w="100"/>
              <w:right w:type="dxa" w:w="140"/>
            </w:tcMar>
          </w:tcPr>
          <w:p>
            <w:r>
              <w:rPr>
                <w:rFonts w:ascii="Arial" w:cs="Arial" w:eastAsia="Arial" w:hAnsi="Arial"/>
                <w:b/>
                <w:bCs/>
                <w:color w:val="581C87"/>
                <w:sz w:val="18"/>
                <w:szCs w:val="18"/>
              </w:rPr>
              <w:t xml:space="preserve">2. Technical SEO Audit</w:t>
            </w:r>
          </w:p>
        </w:tc>
        <w:tc>
          <w:tcPr>
            <w:shd w:fill="F8FAFC" w:val="clear"/>
            <w:tcMar>
              <w:top w:type="dxa" w:w="100"/>
              <w:left w:type="dxa" w:w="140"/>
              <w:bottom w:type="dxa" w:w="100"/>
              <w:right w:type="dxa" w:w="140"/>
            </w:tcMar>
          </w:tcPr>
          <w:p>
            <w:r>
              <w:rPr>
                <w:rFonts w:ascii="Arial" w:cs="Arial" w:eastAsia="Arial" w:hAnsi="Arial"/>
                <w:b w:val="false"/>
                <w:bCs w:val="false"/>
                <w:color w:val="1E293B"/>
                <w:sz w:val="18"/>
                <w:szCs w:val="18"/>
              </w:rPr>
              <w:t xml:space="preserve">Search visibility &amp; crawl health</w:t>
            </w:r>
          </w:p>
        </w:tc>
        <w:tc>
          <w:tcPr>
            <w:shd w:fill="F8FAFC" w:val="clear"/>
            <w:tcMar>
              <w:top w:type="dxa" w:w="100"/>
              <w:left w:type="dxa" w:w="140"/>
              <w:bottom w:type="dxa" w:w="100"/>
              <w:right w:type="dxa" w:w="140"/>
            </w:tcMar>
          </w:tcPr>
          <w:p>
            <w:r>
              <w:rPr>
                <w:rFonts w:ascii="Arial" w:cs="Arial" w:eastAsia="Arial" w:hAnsi="Arial"/>
                <w:b w:val="false"/>
                <w:bCs w:val="false"/>
                <w:color w:val="1E293B"/>
                <w:sz w:val="18"/>
                <w:szCs w:val="18"/>
              </w:rPr>
              <w:t xml:space="preserve">Indexability, metadata gaps, internal linking, response-time heuristics</w:t>
            </w:r>
          </w:p>
        </w:tc>
      </w:tr>
      <w:tr>
        <w:tc>
          <w:tcPr>
            <w:shd w:fill="FFFFFF" w:val="clear"/>
            <w:tcMar>
              <w:top w:type="dxa" w:w="100"/>
              <w:left w:type="dxa" w:w="140"/>
              <w:bottom w:type="dxa" w:w="100"/>
              <w:right w:type="dxa" w:w="140"/>
            </w:tcMar>
          </w:tcPr>
          <w:p>
            <w:r>
              <w:rPr>
                <w:rFonts w:ascii="Arial" w:cs="Arial" w:eastAsia="Arial" w:hAnsi="Arial"/>
                <w:b/>
                <w:bCs/>
                <w:color w:val="581C87"/>
                <w:sz w:val="18"/>
                <w:szCs w:val="18"/>
              </w:rPr>
              <w:t xml:space="preserve">3. GEO &amp; AI Answer Engines</w:t>
            </w:r>
          </w:p>
        </w:tc>
        <w:tc>
          <w:tcPr>
            <w:shd w:fill="FFFFFF" w:val="clear"/>
            <w:tcMar>
              <w:top w:type="dxa" w:w="100"/>
              <w:left w:type="dxa" w:w="140"/>
              <w:bottom w:type="dxa" w:w="100"/>
              <w:right w:type="dxa" w:w="140"/>
            </w:tcMar>
          </w:tcPr>
          <w:p>
            <w:r>
              <w:rPr>
                <w:rFonts w:ascii="Arial" w:cs="Arial" w:eastAsia="Arial" w:hAnsi="Arial"/>
                <w:b w:val="false"/>
                <w:bCs w:val="false"/>
                <w:color w:val="1E293B"/>
                <w:sz w:val="18"/>
                <w:szCs w:val="18"/>
              </w:rPr>
              <w:t xml:space="preserve">Visibility in ChatGPT, Perplexity &amp; Claude</w:t>
            </w:r>
          </w:p>
        </w:tc>
        <w:tc>
          <w:tcPr>
            <w:shd w:fill="FFFFFF" w:val="clear"/>
            <w:tcMar>
              <w:top w:type="dxa" w:w="100"/>
              <w:left w:type="dxa" w:w="140"/>
              <w:bottom w:type="dxa" w:w="100"/>
              <w:right w:type="dxa" w:w="140"/>
            </w:tcMar>
          </w:tcPr>
          <w:p>
            <w:r>
              <w:rPr>
                <w:rFonts w:ascii="Arial" w:cs="Arial" w:eastAsia="Arial" w:hAnsi="Arial"/>
                <w:b w:val="false"/>
                <w:bCs w:val="false"/>
                <w:color w:val="1E293B"/>
                <w:sz w:val="18"/>
                <w:szCs w:val="18"/>
              </w:rPr>
              <w:t xml:space="preserve">Citation readiness, conversational queries, AI answer positioning</w:t>
            </w:r>
          </w:p>
        </w:tc>
      </w:tr>
      <w:tr>
        <w:tc>
          <w:tcPr>
            <w:shd w:fill="F8FAFC" w:val="clear"/>
            <w:tcMar>
              <w:top w:type="dxa" w:w="100"/>
              <w:left w:type="dxa" w:w="140"/>
              <w:bottom w:type="dxa" w:w="100"/>
              <w:right w:type="dxa" w:w="140"/>
            </w:tcMar>
          </w:tcPr>
          <w:p>
            <w:r>
              <w:rPr>
                <w:rFonts w:ascii="Arial" w:cs="Arial" w:eastAsia="Arial" w:hAnsi="Arial"/>
                <w:b/>
                <w:bCs/>
                <w:color w:val="581C87"/>
                <w:sz w:val="18"/>
                <w:szCs w:val="18"/>
              </w:rPr>
              <w:t xml:space="preserve">4. Competitor Landscape</w:t>
            </w:r>
          </w:p>
        </w:tc>
        <w:tc>
          <w:tcPr>
            <w:shd w:fill="F8FAFC" w:val="clear"/>
            <w:tcMar>
              <w:top w:type="dxa" w:w="100"/>
              <w:left w:type="dxa" w:w="140"/>
              <w:bottom w:type="dxa" w:w="100"/>
              <w:right w:type="dxa" w:w="140"/>
            </w:tcMar>
          </w:tcPr>
          <w:p>
            <w:r>
              <w:rPr>
                <w:rFonts w:ascii="Arial" w:cs="Arial" w:eastAsia="Arial" w:hAnsi="Arial"/>
                <w:b w:val="false"/>
                <w:bCs w:val="false"/>
                <w:color w:val="1E293B"/>
                <w:sz w:val="18"/>
                <w:szCs w:val="18"/>
              </w:rPr>
              <w:t xml:space="preserve">Direct market benchmarks &amp; gap analysis</w:t>
            </w:r>
          </w:p>
        </w:tc>
        <w:tc>
          <w:tcPr>
            <w:shd w:fill="F8FAFC" w:val="clear"/>
            <w:tcMar>
              <w:top w:type="dxa" w:w="100"/>
              <w:left w:type="dxa" w:w="140"/>
              <w:bottom w:type="dxa" w:w="100"/>
              <w:right w:type="dxa" w:w="140"/>
            </w:tcMar>
          </w:tcPr>
          <w:p>
            <w:r>
              <w:rPr>
                <w:rFonts w:ascii="Arial" w:cs="Arial" w:eastAsia="Arial" w:hAnsi="Arial"/>
                <w:b w:val="false"/>
                <w:bCs w:val="false"/>
                <w:color w:val="1E293B"/>
                <w:sz w:val="18"/>
                <w:szCs w:val="18"/>
              </w:rPr>
              <w:t xml:space="preserve">Feature matrices, messaging gaps, competitor strengths &amp; vulnerabilities</w:t>
            </w:r>
          </w:p>
        </w:tc>
      </w:tr>
      <w:tr>
        <w:tc>
          <w:tcPr>
            <w:shd w:fill="FFFFFF" w:val="clear"/>
            <w:tcMar>
              <w:top w:type="dxa" w:w="100"/>
              <w:left w:type="dxa" w:w="140"/>
              <w:bottom w:type="dxa" w:w="100"/>
              <w:right w:type="dxa" w:w="140"/>
            </w:tcMar>
          </w:tcPr>
          <w:p>
            <w:r>
              <w:rPr>
                <w:rFonts w:ascii="Arial" w:cs="Arial" w:eastAsia="Arial" w:hAnsi="Arial"/>
                <w:b/>
                <w:bCs/>
                <w:color w:val="581C87"/>
                <w:sz w:val="18"/>
                <w:szCs w:val="18"/>
              </w:rPr>
              <w:t xml:space="preserve">5. Audience ICP Profiling</w:t>
            </w:r>
          </w:p>
        </w:tc>
        <w:tc>
          <w:tcPr>
            <w:shd w:fill="FFFFFF" w:val="clear"/>
            <w:tcMar>
              <w:top w:type="dxa" w:w="100"/>
              <w:left w:type="dxa" w:w="140"/>
              <w:bottom w:type="dxa" w:w="100"/>
              <w:right w:type="dxa" w:w="140"/>
            </w:tcMar>
          </w:tcPr>
          <w:p>
            <w:r>
              <w:rPr>
                <w:rFonts w:ascii="Arial" w:cs="Arial" w:eastAsia="Arial" w:hAnsi="Arial"/>
                <w:b w:val="false"/>
                <w:bCs w:val="false"/>
                <w:color w:val="1E293B"/>
                <w:sz w:val="18"/>
                <w:szCs w:val="18"/>
              </w:rPr>
              <w:t xml:space="preserve">Target buyer personas &amp; decision makers</w:t>
            </w:r>
          </w:p>
        </w:tc>
        <w:tc>
          <w:tcPr>
            <w:shd w:fill="FFFFFF" w:val="clear"/>
            <w:tcMar>
              <w:top w:type="dxa" w:w="100"/>
              <w:left w:type="dxa" w:w="140"/>
              <w:bottom w:type="dxa" w:w="100"/>
              <w:right w:type="dxa" w:w="140"/>
            </w:tcMar>
          </w:tcPr>
          <w:p>
            <w:r>
              <w:rPr>
                <w:rFonts w:ascii="Arial" w:cs="Arial" w:eastAsia="Arial" w:hAnsi="Arial"/>
                <w:b w:val="false"/>
                <w:bCs w:val="false"/>
                <w:color w:val="1E293B"/>
                <w:sz w:val="18"/>
                <w:szCs w:val="18"/>
              </w:rPr>
              <w:t xml:space="preserve">Firmographics, decision-maker pain points, objection-handling scripts</w:t>
            </w:r>
          </w:p>
        </w:tc>
      </w:tr>
      <w:tr>
        <w:tc>
          <w:tcPr>
            <w:shd w:fill="F8FAFC" w:val="clear"/>
            <w:tcMar>
              <w:top w:type="dxa" w:w="100"/>
              <w:left w:type="dxa" w:w="140"/>
              <w:bottom w:type="dxa" w:w="100"/>
              <w:right w:type="dxa" w:w="140"/>
            </w:tcMar>
          </w:tcPr>
          <w:p>
            <w:r>
              <w:rPr>
                <w:rFonts w:ascii="Arial" w:cs="Arial" w:eastAsia="Arial" w:hAnsi="Arial"/>
                <w:b/>
                <w:bCs/>
                <w:color w:val="581C87"/>
                <w:sz w:val="18"/>
                <w:szCs w:val="18"/>
              </w:rPr>
              <w:t xml:space="preserve">6. Content Strategy Roadmap</w:t>
            </w:r>
          </w:p>
        </w:tc>
        <w:tc>
          <w:tcPr>
            <w:shd w:fill="F8FAFC" w:val="clear"/>
            <w:tcMar>
              <w:top w:type="dxa" w:w="100"/>
              <w:left w:type="dxa" w:w="140"/>
              <w:bottom w:type="dxa" w:w="100"/>
              <w:right w:type="dxa" w:w="140"/>
            </w:tcMar>
          </w:tcPr>
          <w:p>
            <w:r>
              <w:rPr>
                <w:rFonts w:ascii="Arial" w:cs="Arial" w:eastAsia="Arial" w:hAnsi="Arial"/>
                <w:b w:val="false"/>
                <w:bCs w:val="false"/>
                <w:color w:val="1E293B"/>
                <w:sz w:val="18"/>
                <w:szCs w:val="18"/>
              </w:rPr>
              <w:t xml:space="preserve">High-intent topic clusters &amp; editorial plan</w:t>
            </w:r>
          </w:p>
        </w:tc>
        <w:tc>
          <w:tcPr>
            <w:shd w:fill="F8FAFC" w:val="clear"/>
            <w:tcMar>
              <w:top w:type="dxa" w:w="100"/>
              <w:left w:type="dxa" w:w="140"/>
              <w:bottom w:type="dxa" w:w="100"/>
              <w:right w:type="dxa" w:w="140"/>
            </w:tcMar>
          </w:tcPr>
          <w:p>
            <w:r>
              <w:rPr>
                <w:rFonts w:ascii="Arial" w:cs="Arial" w:eastAsia="Arial" w:hAnsi="Arial"/>
                <w:b w:val="false"/>
                <w:bCs w:val="false"/>
                <w:color w:val="1E293B"/>
                <w:sz w:val="18"/>
                <w:szCs w:val="18"/>
              </w:rPr>
              <w:t xml:space="preserve">Organic search cluster blueprint, content velocity plan, editorial calendar</w:t>
            </w:r>
          </w:p>
        </w:tc>
      </w:tr>
    </w:tbl>
    <w:p>
      <w:pPr>
        <w:pStyle w:val="Heading1"/>
        <w:keepNext/>
        <w:spacing w:after="140" w:before="360"/>
      </w:pPr>
      <w:r>
        <w:rPr>
          <w:rFonts w:ascii="Arial" w:cs="Arial" w:eastAsia="Arial" w:hAnsi="Arial"/>
          <w:b/>
          <w:bCs/>
          <w:color w:val="581C87"/>
          <w:sz w:val="32"/>
          <w:szCs w:val="32"/>
        </w:rPr>
        <w:t xml:space="preserve">4. Uploading Custom Knowledge Documents</w:t>
      </w:r>
    </w:p>
    <w:p>
      <w:pPr>
        <w:spacing w:after="120" w:line="280"/>
      </w:pPr>
      <w:r>
        <w:rPr>
          <w:rFonts w:ascii="Arial" w:cs="Arial" w:eastAsia="Arial" w:hAnsi="Arial"/>
          <w:b w:val="false"/>
          <w:bCs w:val="false"/>
          <w:i w:val="false"/>
          <w:iCs w:val="false"/>
          <w:color w:val="1E293B"/>
          <w:sz w:val="20"/>
          <w:szCs w:val="20"/>
        </w:rPr>
        <w:t xml:space="preserve">Your company has unique insights that don't exist on public web pages. Smark Connect allows you to upload these proprietary knowledge assets so every AI agent is fully aligned with your business reality.</w:t>
      </w:r>
    </w:p>
    <w:p>
      <w:pPr>
        <w:pStyle w:val="ListParagraph"/>
        <w:numPr>
          <w:ilvl w:val="0"/>
          <w:numId w:val="1"/>
        </w:numPr>
        <w:spacing w:after="80" w:line="260"/>
        <w:ind w:left="360" w:hanging="240"/>
      </w:pPr>
      <w:r>
        <w:rPr>
          <w:rFonts w:ascii="Arial" w:cs="Arial" w:eastAsia="Arial" w:hAnsi="Arial"/>
          <w:b/>
          <w:bCs/>
          <w:color w:val="1E293B"/>
          <w:sz w:val="20"/>
          <w:szCs w:val="20"/>
        </w:rPr>
        <w:t xml:space="preserve">Pitch Decks &amp; Sales Collateral: </w:t>
      </w:r>
      <w:r>
        <w:rPr>
          <w:rFonts w:ascii="Arial" w:cs="Arial" w:eastAsia="Arial" w:hAnsi="Arial"/>
          <w:color w:val="1E293B"/>
          <w:sz w:val="20"/>
          <w:szCs w:val="20"/>
        </w:rPr>
        <w:t xml:space="preserve">Pitch decks, investor presentations, and sales overviews.</w:t>
      </w:r>
    </w:p>
    <w:p>
      <w:pPr>
        <w:pStyle w:val="ListParagraph"/>
        <w:numPr>
          <w:ilvl w:val="0"/>
          <w:numId w:val="1"/>
        </w:numPr>
        <w:spacing w:after="80" w:line="260"/>
        <w:ind w:left="360" w:hanging="240"/>
      </w:pPr>
      <w:r>
        <w:rPr>
          <w:rFonts w:ascii="Arial" w:cs="Arial" w:eastAsia="Arial" w:hAnsi="Arial"/>
          <w:b/>
          <w:bCs/>
          <w:color w:val="1E293B"/>
          <w:sz w:val="20"/>
          <w:szCs w:val="20"/>
        </w:rPr>
        <w:t xml:space="preserve">Brand Books &amp; Style Guides: </w:t>
      </w:r>
      <w:r>
        <w:rPr>
          <w:rFonts w:ascii="Arial" w:cs="Arial" w:eastAsia="Arial" w:hAnsi="Arial"/>
          <w:color w:val="1E293B"/>
          <w:sz w:val="20"/>
          <w:szCs w:val="20"/>
        </w:rPr>
        <w:t xml:space="preserve">Brand style guides, tone-of-voice playbooks, and messaging guidelines.</w:t>
      </w:r>
    </w:p>
    <w:p>
      <w:pPr>
        <w:pStyle w:val="ListParagraph"/>
        <w:numPr>
          <w:ilvl w:val="0"/>
          <w:numId w:val="1"/>
        </w:numPr>
        <w:spacing w:after="80" w:line="260"/>
        <w:ind w:left="360" w:hanging="240"/>
      </w:pPr>
      <w:r>
        <w:rPr>
          <w:rFonts w:ascii="Arial" w:cs="Arial" w:eastAsia="Arial" w:hAnsi="Arial"/>
          <w:b/>
          <w:bCs/>
          <w:color w:val="1E293B"/>
          <w:sz w:val="20"/>
          <w:szCs w:val="20"/>
        </w:rPr>
        <w:t xml:space="preserve">Customer &amp; User Research: </w:t>
      </w:r>
      <w:r>
        <w:rPr>
          <w:rFonts w:ascii="Arial" w:cs="Arial" w:eastAsia="Arial" w:hAnsi="Arial"/>
          <w:color w:val="1E293B"/>
          <w:sz w:val="20"/>
          <w:szCs w:val="20"/>
        </w:rPr>
        <w:t xml:space="preserve">Customer interview transcripts, ICP surveys, and user research summaries.</w:t>
      </w:r>
    </w:p>
    <w:p>
      <w:pPr>
        <w:pStyle w:val="ListParagraph"/>
        <w:numPr>
          <w:ilvl w:val="0"/>
          <w:numId w:val="1"/>
        </w:numPr>
        <w:spacing w:after="80" w:line="260"/>
        <w:ind w:left="360" w:hanging="240"/>
      </w:pPr>
      <w:r>
        <w:rPr>
          <w:rFonts w:ascii="Arial" w:cs="Arial" w:eastAsia="Arial" w:hAnsi="Arial"/>
          <w:b/>
          <w:bCs/>
          <w:color w:val="1E293B"/>
          <w:sz w:val="20"/>
          <w:szCs w:val="20"/>
        </w:rPr>
        <w:t xml:space="preserve">Product &amp; Technical Docs: </w:t>
      </w:r>
      <w:r>
        <w:rPr>
          <w:rFonts w:ascii="Arial" w:cs="Arial" w:eastAsia="Arial" w:hAnsi="Arial"/>
          <w:color w:val="1E293B"/>
          <w:sz w:val="20"/>
          <w:szCs w:val="20"/>
        </w:rPr>
        <w:t xml:space="preserve">Product release notes, technical whitepapers, and pricing sheets.</w:t>
      </w:r>
    </w:p>
    <w:p>
      <w:pPr>
        <w:pBdr>
          <w:left w:val="single" w:color="7C34BC" w:sz="24"/>
        </w:pBdr>
        <w:shd w:fill="F5F3FF" w:val="clear"/>
        <w:spacing w:after="160" w:before="140" w:line="270"/>
        <w:ind w:left="240" w:right="180"/>
      </w:pPr>
      <w:r>
        <w:rPr>
          <w:rFonts w:ascii="Arial" w:cs="Arial" w:eastAsia="Arial" w:hAnsi="Arial"/>
          <w:b/>
          <w:bCs/>
          <w:color w:val="581C87"/>
          <w:sz w:val="20"/>
          <w:szCs w:val="20"/>
        </w:rPr>
        <w:t xml:space="preserve">Universal Memory: </w:t>
      </w:r>
      <w:r>
        <w:rPr>
          <w:rFonts w:ascii="Arial" w:cs="Arial" w:eastAsia="Arial" w:hAnsi="Arial"/>
          <w:color w:val="1E293B"/>
          <w:sz w:val="20"/>
          <w:szCs w:val="20"/>
        </w:rPr>
        <w:t xml:space="preserve">Any document you upload with 'Remember' enabled is automatically fed into every specialist agent, conversation mining query, and chat session across your workspace.</w:t>
      </w:r>
    </w:p>
    <w:p>
      <w:pPr>
        <w:pStyle w:val="Heading1"/>
        <w:keepNext/>
        <w:spacing w:after="140" w:before="360"/>
      </w:pPr>
      <w:r>
        <w:rPr>
          <w:rFonts w:ascii="Arial" w:cs="Arial" w:eastAsia="Arial" w:hAnsi="Arial"/>
          <w:b/>
          <w:bCs/>
          <w:color w:val="581C87"/>
          <w:sz w:val="32"/>
          <w:szCs w:val="32"/>
        </w:rPr>
        <w:t xml:space="preserve">5. Specialist Channel Agents &amp; Action Feed</w:t>
      </w:r>
    </w:p>
    <w:p>
      <w:pPr>
        <w:spacing w:after="120" w:line="280"/>
      </w:pPr>
      <w:r>
        <w:rPr>
          <w:rFonts w:ascii="Arial" w:cs="Arial" w:eastAsia="Arial" w:hAnsi="Arial"/>
          <w:b w:val="false"/>
          <w:bCs w:val="false"/>
          <w:i w:val="false"/>
          <w:iCs w:val="false"/>
          <w:color w:val="1E293B"/>
          <w:sz w:val="20"/>
          <w:szCs w:val="20"/>
        </w:rPr>
        <w:t xml:space="preserve">In addition to foundation strategy documents, Smark Connect deploys specialized AI agents that monitor platforms and generate actionable marketing plays:</w:t>
      </w:r>
    </w:p>
    <w:p>
      <w:pPr>
        <w:pStyle w:val="Heading2"/>
        <w:keepNext/>
        <w:spacing w:after="100" w:before="260"/>
      </w:pPr>
      <w:r>
        <w:rPr>
          <w:rFonts w:ascii="Arial" w:cs="Arial" w:eastAsia="Arial" w:hAnsi="Arial"/>
          <w:b/>
          <w:bCs/>
          <w:color w:val="7C34BC"/>
          <w:sz w:val="26"/>
          <w:szCs w:val="26"/>
        </w:rPr>
        <w:t xml:space="preserve">5.1 Reddit Conversation Mining</w:t>
      </w:r>
    </w:p>
    <w:p>
      <w:pPr>
        <w:spacing w:after="120" w:line="280"/>
      </w:pPr>
      <w:r>
        <w:rPr>
          <w:rFonts w:ascii="Arial" w:cs="Arial" w:eastAsia="Arial" w:hAnsi="Arial"/>
          <w:b w:val="false"/>
          <w:bCs w:val="false"/>
          <w:i w:val="false"/>
          <w:iCs w:val="false"/>
          <w:color w:val="1E293B"/>
          <w:sz w:val="20"/>
          <w:szCs w:val="20"/>
        </w:rPr>
        <w:t xml:space="preserve">Monitors high-intent subreddits relevant to your category. Identifies active discussions where prospective buyers are complaining about competitors or seeking tool recommendations, and generates 3 tailored response variants ready to copy and post.</w:t>
      </w:r>
    </w:p>
    <w:p>
      <w:pPr>
        <w:pStyle w:val="Heading2"/>
        <w:keepNext/>
        <w:spacing w:after="100" w:before="260"/>
      </w:pPr>
      <w:r>
        <w:rPr>
          <w:rFonts w:ascii="Arial" w:cs="Arial" w:eastAsia="Arial" w:hAnsi="Arial"/>
          <w:b/>
          <w:bCs/>
          <w:color w:val="7C34BC"/>
          <w:sz w:val="26"/>
          <w:szCs w:val="26"/>
        </w:rPr>
        <w:t xml:space="preserve">5.2 Social Signals (X/Twitter &amp; Instagram)</w:t>
      </w:r>
    </w:p>
    <w:p>
      <w:pPr>
        <w:spacing w:after="120" w:line="280"/>
      </w:pPr>
      <w:r>
        <w:rPr>
          <w:rFonts w:ascii="Arial" w:cs="Arial" w:eastAsia="Arial" w:hAnsi="Arial"/>
          <w:b w:val="false"/>
          <w:bCs w:val="false"/>
          <w:i w:val="false"/>
          <w:iCs w:val="false"/>
          <w:color w:val="1E293B"/>
          <w:sz w:val="20"/>
          <w:szCs w:val="20"/>
        </w:rPr>
        <w:t xml:space="preserve">Collects social signals, monitors industry conversation angles, and drafts high-engagement posts that reflect your company's ground truth and chosen brand tone.</w:t>
      </w:r>
    </w:p>
    <w:p>
      <w:pPr>
        <w:pStyle w:val="Heading2"/>
        <w:keepNext/>
        <w:spacing w:after="100" w:before="260"/>
      </w:pPr>
      <w:r>
        <w:rPr>
          <w:rFonts w:ascii="Arial" w:cs="Arial" w:eastAsia="Arial" w:hAnsi="Arial"/>
          <w:b/>
          <w:bCs/>
          <w:color w:val="7C34BC"/>
          <w:sz w:val="26"/>
          <w:szCs w:val="26"/>
        </w:rPr>
        <w:t xml:space="preserve">5.3 The Action Feed</w:t>
      </w:r>
    </w:p>
    <w:p>
      <w:pPr>
        <w:spacing w:after="120" w:line="280"/>
      </w:pPr>
      <w:r>
        <w:rPr>
          <w:rFonts w:ascii="Arial" w:cs="Arial" w:eastAsia="Arial" w:hAnsi="Arial"/>
          <w:b w:val="false"/>
          <w:bCs w:val="false"/>
          <w:i w:val="false"/>
          <w:iCs w:val="false"/>
          <w:color w:val="1E293B"/>
          <w:sz w:val="20"/>
          <w:szCs w:val="20"/>
        </w:rPr>
        <w:t xml:space="preserve">Consolidates findings from all agents into a prioritized backlog ranked by impact (Critical, High, Medium, Low) and confidence score (0-100), giving your marketing team clear daily priorities.</w:t>
      </w:r>
    </w:p>
    <w:p>
      <w:pPr>
        <w:pStyle w:val="Heading1"/>
        <w:keepNext/>
        <w:spacing w:after="140" w:before="360"/>
      </w:pPr>
      <w:r>
        <w:rPr>
          <w:rFonts w:ascii="Arial" w:cs="Arial" w:eastAsia="Arial" w:hAnsi="Arial"/>
          <w:b/>
          <w:bCs/>
          <w:color w:val="581C87"/>
          <w:sz w:val="32"/>
          <w:szCs w:val="32"/>
        </w:rPr>
        <w:t xml:space="preserve">6. Framework Studio: Visual Strategic Models</w:t>
      </w:r>
    </w:p>
    <w:p>
      <w:pPr>
        <w:spacing w:after="120" w:line="280"/>
      </w:pPr>
      <w:r>
        <w:rPr>
          <w:rFonts w:ascii="Arial" w:cs="Arial" w:eastAsia="Arial" w:hAnsi="Arial"/>
          <w:b w:val="false"/>
          <w:bCs w:val="false"/>
          <w:i w:val="false"/>
          <w:iCs w:val="false"/>
          <w:color w:val="1E293B"/>
          <w:sz w:val="20"/>
          <w:szCs w:val="20"/>
        </w:rPr>
        <w:t xml:space="preserve">Framework Studio transforms text-heavy strategy into client-ready visual models that can be embedded into presentations or shared with stakeholders:</w:t>
      </w:r>
    </w:p>
    <w:p>
      <w:pPr>
        <w:pStyle w:val="ListParagraph"/>
        <w:numPr>
          <w:ilvl w:val="0"/>
          <w:numId w:val="1"/>
        </w:numPr>
        <w:spacing w:after="80" w:line="260"/>
        <w:ind w:left="360" w:hanging="240"/>
      </w:pPr>
      <w:r>
        <w:rPr>
          <w:rFonts w:ascii="Arial" w:cs="Arial" w:eastAsia="Arial" w:hAnsi="Arial"/>
          <w:b/>
          <w:bCs/>
          <w:color w:val="1E293B"/>
          <w:sz w:val="20"/>
          <w:szCs w:val="20"/>
        </w:rPr>
        <w:t xml:space="preserve">Conversion Funnels: </w:t>
      </w:r>
      <w:r>
        <w:rPr>
          <w:rFonts w:ascii="Arial" w:cs="Arial" w:eastAsia="Arial" w:hAnsi="Arial"/>
          <w:color w:val="1E293B"/>
          <w:sz w:val="20"/>
          <w:szCs w:val="20"/>
        </w:rPr>
        <w:t xml:space="preserve">Visualizes top-of-funnel acquisition through bottom-of-funnel conversion stages.</w:t>
      </w:r>
    </w:p>
    <w:p>
      <w:pPr>
        <w:pStyle w:val="ListParagraph"/>
        <w:numPr>
          <w:ilvl w:val="0"/>
          <w:numId w:val="1"/>
        </w:numPr>
        <w:spacing w:after="80" w:line="260"/>
        <w:ind w:left="360" w:hanging="240"/>
      </w:pPr>
      <w:r>
        <w:rPr>
          <w:rFonts w:ascii="Arial" w:cs="Arial" w:eastAsia="Arial" w:hAnsi="Arial"/>
          <w:b/>
          <w:bCs/>
          <w:color w:val="1E293B"/>
          <w:sz w:val="20"/>
          <w:szCs w:val="20"/>
        </w:rPr>
        <w:t xml:space="preserve">Competitor Positioning Maps: </w:t>
      </w:r>
      <w:r>
        <w:rPr>
          <w:rFonts w:ascii="Arial" w:cs="Arial" w:eastAsia="Arial" w:hAnsi="Arial"/>
          <w:color w:val="1E293B"/>
          <w:sz w:val="20"/>
          <w:szCs w:val="20"/>
        </w:rPr>
        <w:t xml:space="preserve">Plots your company against competitors across price, velocity, and capability axes.</w:t>
      </w:r>
    </w:p>
    <w:p>
      <w:pPr>
        <w:pStyle w:val="ListParagraph"/>
        <w:numPr>
          <w:ilvl w:val="0"/>
          <w:numId w:val="1"/>
        </w:numPr>
        <w:spacing w:after="80" w:line="260"/>
        <w:ind w:left="360" w:hanging="240"/>
      </w:pPr>
      <w:r>
        <w:rPr>
          <w:rFonts w:ascii="Arial" w:cs="Arial" w:eastAsia="Arial" w:hAnsi="Arial"/>
          <w:b/>
          <w:bCs/>
          <w:color w:val="1E293B"/>
          <w:sz w:val="20"/>
          <w:szCs w:val="20"/>
        </w:rPr>
        <w:t xml:space="preserve">Audience Strategy Networks: </w:t>
      </w:r>
      <w:r>
        <w:rPr>
          <w:rFonts w:ascii="Arial" w:cs="Arial" w:eastAsia="Arial" w:hAnsi="Arial"/>
          <w:color w:val="1E293B"/>
          <w:sz w:val="20"/>
          <w:szCs w:val="20"/>
        </w:rPr>
        <w:t xml:space="preserve">Maps audience personas to channel touchpoints and content types.</w:t>
      </w:r>
    </w:p>
    <w:p>
      <w:pPr>
        <w:pStyle w:val="ListParagraph"/>
        <w:numPr>
          <w:ilvl w:val="0"/>
          <w:numId w:val="1"/>
        </w:numPr>
        <w:spacing w:after="80" w:line="260"/>
        <w:ind w:left="360" w:hanging="240"/>
      </w:pPr>
      <w:r>
        <w:rPr>
          <w:rFonts w:ascii="Arial" w:cs="Arial" w:eastAsia="Arial" w:hAnsi="Arial"/>
          <w:b/>
          <w:bCs/>
          <w:color w:val="1E293B"/>
          <w:sz w:val="20"/>
          <w:szCs w:val="20"/>
        </w:rPr>
        <w:t xml:space="preserve">Strategic Timelines: </w:t>
      </w:r>
      <w:r>
        <w:rPr>
          <w:rFonts w:ascii="Arial" w:cs="Arial" w:eastAsia="Arial" w:hAnsi="Arial"/>
          <w:color w:val="1E293B"/>
          <w:sz w:val="20"/>
          <w:szCs w:val="20"/>
        </w:rPr>
        <w:t xml:space="preserve">Displays multi-quarter marketing roadmaps and campaign horizons.</w:t>
      </w:r>
    </w:p>
    <w:p>
      <w:pPr>
        <w:pStyle w:val="Heading1"/>
        <w:keepNext/>
        <w:spacing w:after="140" w:before="360"/>
      </w:pPr>
      <w:r>
        <w:rPr>
          <w:rFonts w:ascii="Arial" w:cs="Arial" w:eastAsia="Arial" w:hAnsi="Arial"/>
          <w:b/>
          <w:bCs/>
          <w:color w:val="581C87"/>
          <w:sz w:val="32"/>
          <w:szCs w:val="32"/>
        </w:rPr>
        <w:t xml:space="preserve">7. Client-Ready Reporting &amp; Deliverables</w:t>
      </w:r>
    </w:p>
    <w:p>
      <w:pPr>
        <w:spacing w:after="120" w:line="280"/>
      </w:pPr>
      <w:r>
        <w:rPr>
          <w:rFonts w:ascii="Arial" w:cs="Arial" w:eastAsia="Arial" w:hAnsi="Arial"/>
          <w:b w:val="false"/>
          <w:bCs w:val="false"/>
          <w:i w:val="false"/>
          <w:iCs w:val="false"/>
          <w:color w:val="1E293B"/>
          <w:sz w:val="20"/>
          <w:szCs w:val="20"/>
        </w:rPr>
        <w:t xml:space="preserve">With one click, turn your workspace intelligence into branded, professional files ready to send to clients, executives, or team members:</w:t>
      </w:r>
    </w:p>
    <w:p>
      <w:pPr>
        <w:spacing w:after="90" w:line="260"/>
        <w:ind w:left="400" w:hanging="280"/>
      </w:pPr>
      <w:r>
        <w:rPr>
          <w:rFonts w:ascii="Arial" w:cs="Arial" w:eastAsia="Arial" w:hAnsi="Arial"/>
          <w:b/>
          <w:bCs/>
          <w:color w:val="7C34BC"/>
          <w:sz w:val="20"/>
          <w:szCs w:val="20"/>
        </w:rPr>
        <w:t xml:space="preserve">1. </w:t>
      </w:r>
      <w:r>
        <w:rPr>
          <w:rFonts w:ascii="Arial" w:cs="Arial" w:eastAsia="Arial" w:hAnsi="Arial"/>
          <w:b/>
          <w:bCs/>
          <w:color w:val="1E293B"/>
          <w:sz w:val="20"/>
          <w:szCs w:val="20"/>
        </w:rPr>
        <w:t xml:space="preserve">Word Documents (.docx): </w:t>
      </w:r>
      <w:r>
        <w:rPr>
          <w:rFonts w:ascii="Arial" w:cs="Arial" w:eastAsia="Arial" w:hAnsi="Arial"/>
          <w:color w:val="1E293B"/>
          <w:sz w:val="20"/>
          <w:szCs w:val="20"/>
        </w:rPr>
        <w:t xml:space="preserve">Full editorial layouts with cover designs, formatted tables, framework visuals, and source indexes.</w:t>
      </w:r>
    </w:p>
    <w:p>
      <w:pPr>
        <w:spacing w:after="90" w:line="260"/>
        <w:ind w:left="400" w:hanging="280"/>
      </w:pPr>
      <w:r>
        <w:rPr>
          <w:rFonts w:ascii="Arial" w:cs="Arial" w:eastAsia="Arial" w:hAnsi="Arial"/>
          <w:b/>
          <w:bCs/>
          <w:color w:val="7C34BC"/>
          <w:sz w:val="20"/>
          <w:szCs w:val="20"/>
        </w:rPr>
        <w:t xml:space="preserve">2. </w:t>
      </w:r>
      <w:r>
        <w:rPr>
          <w:rFonts w:ascii="Arial" w:cs="Arial" w:eastAsia="Arial" w:hAnsi="Arial"/>
          <w:b/>
          <w:bCs/>
          <w:color w:val="1E293B"/>
          <w:sz w:val="20"/>
          <w:szCs w:val="20"/>
        </w:rPr>
        <w:t xml:space="preserve">Excel Workbooks (.xlsx): </w:t>
      </w:r>
      <w:r>
        <w:rPr>
          <w:rFonts w:ascii="Arial" w:cs="Arial" w:eastAsia="Arial" w:hAnsi="Arial"/>
          <w:color w:val="1E293B"/>
          <w:sz w:val="20"/>
          <w:szCs w:val="20"/>
        </w:rPr>
        <w:t xml:space="preserve">Operational workbooks containing complete keyword lists, technical audit logs, and cluster plans.</w:t>
      </w:r>
    </w:p>
    <w:p>
      <w:pPr>
        <w:spacing w:after="90" w:line="260"/>
        <w:ind w:left="400" w:hanging="280"/>
      </w:pPr>
      <w:r>
        <w:rPr>
          <w:rFonts w:ascii="Arial" w:cs="Arial" w:eastAsia="Arial" w:hAnsi="Arial"/>
          <w:b/>
          <w:bCs/>
          <w:color w:val="7C34BC"/>
          <w:sz w:val="20"/>
          <w:szCs w:val="20"/>
        </w:rPr>
        <w:t xml:space="preserve">3. </w:t>
      </w:r>
      <w:r>
        <w:rPr>
          <w:rFonts w:ascii="Arial" w:cs="Arial" w:eastAsia="Arial" w:hAnsi="Arial"/>
          <w:b/>
          <w:bCs/>
          <w:color w:val="1E293B"/>
          <w:sz w:val="20"/>
          <w:szCs w:val="20"/>
        </w:rPr>
        <w:t xml:space="preserve">Presentation Decks (.pptx): </w:t>
      </w:r>
      <w:r>
        <w:rPr>
          <w:rFonts w:ascii="Arial" w:cs="Arial" w:eastAsia="Arial" w:hAnsi="Arial"/>
          <w:color w:val="1E293B"/>
          <w:sz w:val="20"/>
          <w:szCs w:val="20"/>
        </w:rPr>
        <w:t xml:space="preserve">Board-ready decks summarizing positioning, competitive battlecards, and growth roadmaps.</w:t>
      </w:r>
    </w:p>
    <w:p>
      <w:pPr>
        <w:pStyle w:val="Heading1"/>
        <w:keepNext/>
        <w:spacing w:after="140" w:before="360"/>
      </w:pPr>
      <w:r>
        <w:rPr>
          <w:rFonts w:ascii="Arial" w:cs="Arial" w:eastAsia="Arial" w:hAnsi="Arial"/>
          <w:b/>
          <w:bCs/>
          <w:color w:val="581C87"/>
          <w:sz w:val="32"/>
          <w:szCs w:val="32"/>
        </w:rPr>
        <w:t xml:space="preserve">8. Security, Privacy &amp; Account Settings</w:t>
      </w:r>
    </w:p>
    <w:p>
      <w:pPr>
        <w:spacing w:after="120" w:line="280"/>
      </w:pPr>
      <w:r>
        <w:rPr>
          <w:rFonts w:ascii="Arial" w:cs="Arial" w:eastAsia="Arial" w:hAnsi="Arial"/>
          <w:b w:val="false"/>
          <w:bCs w:val="false"/>
          <w:i w:val="false"/>
          <w:iCs w:val="false"/>
          <w:color w:val="1E293B"/>
          <w:sz w:val="20"/>
          <w:szCs w:val="20"/>
        </w:rPr>
        <w:t xml:space="preserve">Smark Connect is built with enterprise privacy at its core:</w:t>
      </w:r>
    </w:p>
    <w:p>
      <w:pPr>
        <w:pStyle w:val="ListParagraph"/>
        <w:numPr>
          <w:ilvl w:val="0"/>
          <w:numId w:val="1"/>
        </w:numPr>
        <w:spacing w:after="80" w:line="260"/>
        <w:ind w:left="360" w:hanging="240"/>
      </w:pPr>
      <w:r>
        <w:rPr>
          <w:rFonts w:ascii="Arial" w:cs="Arial" w:eastAsia="Arial" w:hAnsi="Arial"/>
          <w:b/>
          <w:bCs/>
          <w:color w:val="1E293B"/>
          <w:sz w:val="20"/>
          <w:szCs w:val="20"/>
        </w:rPr>
        <w:t xml:space="preserve">Zero-Trust Encryption: </w:t>
      </w:r>
      <w:r>
        <w:rPr>
          <w:rFonts w:ascii="Arial" w:cs="Arial" w:eastAsia="Arial" w:hAnsi="Arial"/>
          <w:color w:val="1E293B"/>
          <w:sz w:val="20"/>
          <w:szCs w:val="20"/>
        </w:rPr>
        <w:t xml:space="preserve">Your API keys (OpenAI, Anthropic, Gemini, OpenRouter) are encrypted at rest with AES-256-GCM. Smark Connect never shares your keys with third parties or uses your data for AI training.</w:t>
      </w:r>
    </w:p>
    <w:p>
      <w:pPr>
        <w:pStyle w:val="ListParagraph"/>
        <w:numPr>
          <w:ilvl w:val="0"/>
          <w:numId w:val="1"/>
        </w:numPr>
        <w:spacing w:after="80" w:line="260"/>
        <w:ind w:left="360" w:hanging="240"/>
      </w:pPr>
      <w:r>
        <w:rPr>
          <w:rFonts w:ascii="Arial" w:cs="Arial" w:eastAsia="Arial" w:hAnsi="Arial"/>
          <w:b/>
          <w:bCs/>
          <w:color w:val="1E293B"/>
          <w:sz w:val="20"/>
          <w:szCs w:val="20"/>
        </w:rPr>
        <w:t xml:space="preserve">Token Budget Controls: </w:t>
      </w:r>
      <w:r>
        <w:rPr>
          <w:rFonts w:ascii="Arial" w:cs="Arial" w:eastAsia="Arial" w:hAnsi="Arial"/>
          <w:color w:val="1E293B"/>
          <w:sz w:val="20"/>
          <w:szCs w:val="20"/>
        </w:rPr>
        <w:t xml:space="preserve">Set strict monthly token spending limits in Settings to prevent unexpected model usage.</w:t>
      </w:r>
    </w:p>
    <w:p>
      <w:pPr>
        <w:pStyle w:val="ListParagraph"/>
        <w:numPr>
          <w:ilvl w:val="0"/>
          <w:numId w:val="1"/>
        </w:numPr>
        <w:spacing w:after="80" w:line="260"/>
        <w:ind w:left="360" w:hanging="240"/>
      </w:pPr>
      <w:r>
        <w:rPr>
          <w:rFonts w:ascii="Arial" w:cs="Arial" w:eastAsia="Arial" w:hAnsi="Arial"/>
          <w:b/>
          <w:bCs/>
          <w:color w:val="1E293B"/>
          <w:sz w:val="20"/>
          <w:szCs w:val="20"/>
        </w:rPr>
        <w:t xml:space="preserve">Team Collaboration: </w:t>
      </w:r>
      <w:r>
        <w:rPr>
          <w:rFonts w:ascii="Arial" w:cs="Arial" w:eastAsia="Arial" w:hAnsi="Arial"/>
          <w:color w:val="1E293B"/>
          <w:sz w:val="20"/>
          <w:szCs w:val="20"/>
        </w:rPr>
        <w:t xml:space="preserve">Easily invite team members and control read/write permissions per workspace.</w:t>
      </w:r>
    </w:p>
    <w:p>
      <w:pPr>
        <w:pStyle w:val="Heading1"/>
        <w:keepNext/>
        <w:spacing w:after="140" w:before="360"/>
      </w:pPr>
      <w:r>
        <w:rPr>
          <w:rFonts w:ascii="Arial" w:cs="Arial" w:eastAsia="Arial" w:hAnsi="Arial"/>
          <w:b/>
          <w:bCs/>
          <w:color w:val="581C87"/>
          <w:sz w:val="32"/>
          <w:szCs w:val="32"/>
        </w:rPr>
        <w:t xml:space="preserve">9. Frequently Asked Questions (FAQ)</w:t>
      </w:r>
    </w:p>
    <w:p>
      <w:pPr>
        <w:pStyle w:val="Heading3"/>
        <w:keepNext/>
        <w:spacing w:after="80" w:before="180"/>
      </w:pPr>
      <w:r>
        <w:rPr>
          <w:rFonts w:ascii="Arial" w:cs="Arial" w:eastAsia="Arial" w:hAnsi="Arial"/>
          <w:b/>
          <w:bCs/>
          <w:color w:val="1E293B"/>
          <w:sz w:val="22"/>
          <w:szCs w:val="22"/>
        </w:rPr>
        <w:t xml:space="preserve">Q: How long does the initial 6-engine audit take?</w:t>
      </w:r>
    </w:p>
    <w:p>
      <w:pPr>
        <w:spacing w:after="120" w:line="280"/>
      </w:pPr>
      <w:r>
        <w:rPr>
          <w:rFonts w:ascii="Arial" w:cs="Arial" w:eastAsia="Arial" w:hAnsi="Arial"/>
          <w:b w:val="false"/>
          <w:bCs w:val="false"/>
          <w:i w:val="false"/>
          <w:iCs w:val="false"/>
          <w:color w:val="1E293B"/>
          <w:sz w:val="20"/>
          <w:szCs w:val="20"/>
        </w:rPr>
        <w:t xml:space="preserve">A: The complete evidence crawl and parallel analysis typically takes between 2 to 4 minutes depending on your chosen AI provider.</w:t>
      </w:r>
    </w:p>
    <w:p>
      <w:pPr>
        <w:pStyle w:val="Heading3"/>
        <w:keepNext/>
        <w:spacing w:after="80" w:before="180"/>
      </w:pPr>
      <w:r>
        <w:rPr>
          <w:rFonts w:ascii="Arial" w:cs="Arial" w:eastAsia="Arial" w:hAnsi="Arial"/>
          <w:b/>
          <w:bCs/>
          <w:color w:val="1E293B"/>
          <w:sz w:val="22"/>
          <w:szCs w:val="22"/>
        </w:rPr>
        <w:t xml:space="preserve">Q: Can I edit generated documents?</w:t>
      </w:r>
    </w:p>
    <w:p>
      <w:pPr>
        <w:spacing w:after="120" w:line="280"/>
      </w:pPr>
      <w:r>
        <w:rPr>
          <w:rFonts w:ascii="Arial" w:cs="Arial" w:eastAsia="Arial" w:hAnsi="Arial"/>
          <w:b w:val="false"/>
          <w:bCs w:val="false"/>
          <w:i w:val="false"/>
          <w:iCs w:val="false"/>
          <w:color w:val="1E293B"/>
          <w:sz w:val="20"/>
          <w:szCs w:val="20"/>
        </w:rPr>
        <w:t xml:space="preserve">A: Yes! You can edit any document directly or use the AI Prompt Assistant to revise specific sections. You can also lock documents to protect finalized strategy from being overwritten.</w:t>
      </w:r>
    </w:p>
    <w:p>
      <w:pPr>
        <w:pStyle w:val="Heading3"/>
        <w:keepNext/>
        <w:spacing w:after="80" w:before="180"/>
      </w:pPr>
      <w:r>
        <w:rPr>
          <w:rFonts w:ascii="Arial" w:cs="Arial" w:eastAsia="Arial" w:hAnsi="Arial"/>
          <w:b/>
          <w:bCs/>
          <w:color w:val="1E293B"/>
          <w:sz w:val="22"/>
          <w:szCs w:val="22"/>
        </w:rPr>
        <w:t xml:space="preserve">Q: What file types can I upload as custom documents?</w:t>
      </w:r>
    </w:p>
    <w:p>
      <w:pPr>
        <w:spacing w:after="120" w:line="280"/>
      </w:pPr>
      <w:r>
        <w:rPr>
          <w:rFonts w:ascii="Arial" w:cs="Arial" w:eastAsia="Arial" w:hAnsi="Arial"/>
          <w:b w:val="false"/>
          <w:bCs w:val="false"/>
          <w:i w:val="false"/>
          <w:iCs w:val="false"/>
          <w:color w:val="1E293B"/>
          <w:sz w:val="20"/>
          <w:szCs w:val="20"/>
        </w:rPr>
        <w:t xml:space="preserve">A: Smark Connect supports PDF, Microsoft Word (.docx), PowerPoint (.pptx), Excel (.xlsx), Markdown (.md), Plain Text (.txt), and CSV files up to 15MB each.</w:t>
      </w:r>
    </w:p>
    <w:p>
      <w:pPr>
        <w:pStyle w:val="Heading3"/>
        <w:keepNext/>
        <w:spacing w:after="80" w:before="180"/>
      </w:pPr>
      <w:r>
        <w:rPr>
          <w:rFonts w:ascii="Arial" w:cs="Arial" w:eastAsia="Arial" w:hAnsi="Arial"/>
          <w:b/>
          <w:bCs/>
          <w:color w:val="1E293B"/>
          <w:sz w:val="22"/>
          <w:szCs w:val="22"/>
        </w:rPr>
        <w:t xml:space="preserve">Q: How do I add another company to my account?</w:t>
      </w:r>
    </w:p>
    <w:p>
      <w:pPr>
        <w:spacing w:after="120" w:line="280"/>
      </w:pPr>
      <w:r>
        <w:rPr>
          <w:rFonts w:ascii="Arial" w:cs="Arial" w:eastAsia="Arial" w:hAnsi="Arial"/>
          <w:b w:val="false"/>
          <w:bCs w:val="false"/>
          <w:i w:val="false"/>
          <w:iCs w:val="false"/>
          <w:color w:val="1E293B"/>
          <w:sz w:val="20"/>
          <w:szCs w:val="20"/>
        </w:rPr>
        <w:t xml:space="preserve">A: Click the company switcher in the top navigation or sidebar, select 'Add another company', and enter the new domain.</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4748B"/>
        <w:sz w:val="16"/>
        <w:szCs w:val="16"/>
      </w:rPr>
      <w:t xml:space="preserve">The Smarketers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C34BC"/>
        <w:sz w:val="16"/>
        <w:szCs w:val="16"/>
      </w:rPr>
      <w:t xml:space="preserve">Smark Connect | User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Smark Connect - User Guide &amp; Manual</dc:title>
  <dc:creator>The Smarketers</dc:creator>
  <dc:description>User documentation and operating handbook for Smark Connect</dc:description>
  <cp:lastModifiedBy>Un-named</cp:lastModifiedBy>
  <cp:revision>1</cp:revision>
  <dcterms:created xsi:type="dcterms:W3CDTF">2026-09-21T13:15:40.209Z</dcterms:created>
  <dcterms:modified xsi:type="dcterms:W3CDTF">2026-09-21T13:15:40.209Z</dcterms:modified>
</cp:coreProperties>
</file>

<file path=docProps/custom.xml><?xml version="1.0" encoding="utf-8"?>
<Properties xmlns="http://schemas.openxmlformats.org/officeDocument/2006/custom-properties" xmlns:vt="http://schemas.openxmlformats.org/officeDocument/2006/docPropsVTypes"/>
</file>