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2375" w:rsidRDefault="00962AC7" w:rsidP="00D21527">
      <w:pPr>
        <w:pStyle w:val="papertitle"/>
        <w:spacing w:before="160" w:after="320"/>
      </w:pPr>
      <w:r w:rsidRPr="00962AC7">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t xml:space="preserve"> case</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 xml:space="preserve">14pt, </w:t>
      </w:r>
      <w:r w:rsidR="00962AC7">
        <w:rPr>
          <w:i/>
          <w:iCs/>
        </w:rPr>
        <w:t>Italic,</w:t>
      </w:r>
      <w:r w:rsidR="00962AC7" w:rsidRPr="00D21527">
        <w:rPr>
          <w:i/>
          <w:iCs/>
        </w:rPr>
        <w:t xml:space="preserve"> line</w:t>
      </w:r>
      <w:r w:rsidR="00D21527" w:rsidRPr="00D21527">
        <w:rPr>
          <w:i/>
          <w:iCs/>
        </w:rPr>
        <w:t xml:space="preserv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962AC7" w:rsidP="007079C8">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007D522D" w:rsidRPr="007079C8">
        <w:rPr>
          <w:sz w:val="20"/>
          <w:szCs w:val="20"/>
        </w:rPr>
        <w:t>.</w:t>
      </w:r>
    </w:p>
    <w:p w:rsidR="007079C8" w:rsidRDefault="007079C8" w:rsidP="007079C8">
      <w:pPr>
        <w:pStyle w:val="keywords"/>
        <w:spacing w:after="0"/>
        <w:ind w:firstLine="0"/>
        <w:rPr>
          <w:i/>
          <w:sz w:val="20"/>
          <w:szCs w:val="20"/>
        </w:rPr>
      </w:pPr>
    </w:p>
    <w:p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7D522D" w:rsidRPr="007079C8">
        <w:rPr>
          <w:rFonts w:eastAsia="Times New Roman"/>
          <w:sz w:val="20"/>
          <w:szCs w:val="20"/>
        </w:rPr>
        <w:t>C</w:t>
      </w:r>
      <w:r w:rsidR="007D522D" w:rsidRPr="007079C8">
        <w:rPr>
          <w:sz w:val="20"/>
          <w:szCs w:val="20"/>
        </w:rPr>
        <w:t>omponent,</w:t>
      </w:r>
      <w:r>
        <w:rPr>
          <w:sz w:val="20"/>
          <w:szCs w:val="20"/>
        </w:rPr>
        <w:t xml:space="preserve"> </w:t>
      </w:r>
      <w:r w:rsidR="007D522D" w:rsidRPr="007079C8">
        <w:rPr>
          <w:sz w:val="20"/>
          <w:szCs w:val="20"/>
        </w:rPr>
        <w:t>formatting,</w:t>
      </w:r>
      <w:r>
        <w:rPr>
          <w:sz w:val="20"/>
          <w:szCs w:val="20"/>
        </w:rPr>
        <w:t xml:space="preserve"> </w:t>
      </w:r>
      <w:r w:rsidR="007D522D" w:rsidRPr="007079C8">
        <w:rPr>
          <w:sz w:val="20"/>
          <w:szCs w:val="20"/>
        </w:rPr>
        <w:t>style,</w:t>
      </w:r>
      <w:r>
        <w:rPr>
          <w:sz w:val="20"/>
          <w:szCs w:val="20"/>
        </w:rPr>
        <w:t xml:space="preserve"> </w:t>
      </w:r>
      <w:r w:rsidR="007D522D" w:rsidRPr="007079C8">
        <w:rPr>
          <w:sz w:val="20"/>
          <w:szCs w:val="20"/>
        </w:rPr>
        <w:t>styling,</w:t>
      </w:r>
      <w:r>
        <w:rPr>
          <w:sz w:val="20"/>
          <w:szCs w:val="20"/>
        </w:rPr>
        <w:t xml:space="preserve"> </w:t>
      </w:r>
      <w:r w:rsidR="007D522D" w:rsidRPr="007079C8">
        <w:rPr>
          <w:sz w:val="20"/>
          <w:szCs w:val="20"/>
        </w:rPr>
        <w:t>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962AC7" w:rsidRDefault="00962AC7" w:rsidP="00A9368B">
      <w:pPr>
        <w:pStyle w:val="BodyText"/>
        <w:rPr>
          <w:b/>
          <w:sz w:val="24"/>
          <w:lang w:eastAsia="en-US"/>
        </w:rPr>
      </w:pPr>
      <w:r w:rsidRPr="00962AC7">
        <w:rPr>
          <w:b/>
          <w:sz w:val="24"/>
          <w:lang w:eastAsia="en-US"/>
        </w:rPr>
        <w:t xml:space="preserve">This is sample paper format only please use this format and follow this structure as per your requirement </w:t>
      </w:r>
    </w:p>
    <w:p w:rsidR="00962AC7" w:rsidRDefault="00962AC7" w:rsidP="00A9368B">
      <w:pPr>
        <w:pStyle w:val="BodyText"/>
        <w:rPr>
          <w:b/>
          <w:sz w:val="24"/>
          <w:lang w:eastAsia="en-US"/>
        </w:rPr>
      </w:pPr>
    </w:p>
    <w:p w:rsidR="00962AC7" w:rsidRPr="00962AC7" w:rsidRDefault="00962AC7" w:rsidP="00A9368B">
      <w:pPr>
        <w:pStyle w:val="BodyText"/>
        <w:rPr>
          <w:b/>
          <w:sz w:val="24"/>
          <w:lang w:eastAsia="en-US"/>
        </w:rPr>
      </w:pPr>
      <w:r>
        <w:rPr>
          <w:b/>
          <w:sz w:val="24"/>
          <w:lang w:eastAsia="en-US"/>
        </w:rPr>
        <w:t xml:space="preserve">Do not change in header and footer that will set by ijcrt journal </w:t>
      </w:r>
    </w:p>
    <w:p w:rsidR="00A9368B" w:rsidRDefault="00A9368B" w:rsidP="00A9368B">
      <w:pPr>
        <w:pStyle w:val="BodyText"/>
        <w:ind w:firstLine="0"/>
        <w:rPr>
          <w:lang w:eastAsia="en-US"/>
        </w:rPr>
      </w:pPr>
    </w:p>
    <w:p w:rsidR="00962AC7" w:rsidRPr="00962AC7" w:rsidRDefault="00962AC7" w:rsidP="00A9368B">
      <w:pPr>
        <w:pStyle w:val="BodyText"/>
        <w:ind w:firstLine="0"/>
        <w:rPr>
          <w:b/>
          <w:sz w:val="24"/>
          <w:u w:val="single"/>
          <w:lang w:eastAsia="en-US"/>
        </w:rPr>
      </w:pPr>
      <w:r w:rsidRPr="00962AC7">
        <w:rPr>
          <w:b/>
          <w:sz w:val="24"/>
          <w:u w:val="single"/>
          <w:lang w:eastAsia="en-US"/>
        </w:rPr>
        <w:t xml:space="preserve">Structure Details: </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962AC7" w:rsidRPr="00962AC7" w:rsidRDefault="00962AC7" w:rsidP="00962AC7">
      <w:pPr>
        <w:pStyle w:val="Heading1"/>
        <w:tabs>
          <w:tab w:val="clear" w:pos="0"/>
        </w:tabs>
        <w:ind w:firstLine="0"/>
        <w:jc w:val="left"/>
        <w:rPr>
          <w:b/>
        </w:rPr>
      </w:pPr>
      <w:r w:rsidRPr="00962AC7">
        <w:rPr>
          <w:smallCaps w:val="0"/>
          <w:spacing w:val="-1"/>
          <w:lang w:eastAsia="zh-CN"/>
        </w:rPr>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 is collected on stock prices for sample firmsand relative macroeconomic variables for the period of 5 years. The data collection period is ranging from January 2010 to Dec 2014. Monthly prices of KSE -100 Index is taken from yahoo finance.</w:t>
      </w:r>
    </w:p>
    <w:p w:rsidR="00692375" w:rsidRPr="00782518" w:rsidRDefault="007D522D" w:rsidP="00962AC7">
      <w:pPr>
        <w:pStyle w:val="Heading1"/>
        <w:numPr>
          <w:ilvl w:val="0"/>
          <w:numId w:val="1"/>
        </w:numPr>
        <w:jc w:val="left"/>
        <w:rPr>
          <w:b/>
        </w:rPr>
      </w:pPr>
      <w:r w:rsidRPr="00782518">
        <w:rPr>
          <w:b/>
        </w:rPr>
        <w:t>Type Style and Fonts</w:t>
      </w:r>
    </w:p>
    <w:p w:rsidR="00962AC7" w:rsidRDefault="00962AC7" w:rsidP="00962AC7">
      <w:pPr>
        <w:jc w:val="both"/>
      </w:pPr>
      <w:r w:rsidRPr="00691748">
        <w:t>of five years. The time series monthly data</w:t>
      </w:r>
      <w:r w:rsidRPr="00962AC7">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692375" w:rsidRPr="00782518" w:rsidRDefault="007D522D" w:rsidP="00782518">
      <w:pPr>
        <w:pStyle w:val="Heading1"/>
        <w:numPr>
          <w:ilvl w:val="0"/>
          <w:numId w:val="1"/>
        </w:numPr>
        <w:jc w:val="left"/>
        <w:rPr>
          <w:b/>
        </w:rPr>
      </w:pPr>
      <w:r w:rsidRPr="00782518">
        <w:rPr>
          <w:b/>
        </w:rPr>
        <w:lastRenderedPageBreak/>
        <w:t>Ease of Use</w:t>
      </w:r>
    </w:p>
    <w:p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rsidR="00692375" w:rsidRPr="00782518" w:rsidRDefault="007D522D" w:rsidP="00782518">
      <w:pPr>
        <w:pStyle w:val="Heading1"/>
        <w:numPr>
          <w:ilvl w:val="0"/>
          <w:numId w:val="1"/>
        </w:numPr>
        <w:jc w:val="left"/>
        <w:rPr>
          <w:b/>
        </w:rPr>
      </w:pPr>
      <w:r w:rsidRPr="00782518">
        <w:rPr>
          <w:b/>
        </w:rPr>
        <w:t>Prepare Your Paper Before Styling</w:t>
      </w:r>
    </w:p>
    <w:p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r>
        <w:t>Finally,completecontentandorganizationaleditingbeforeformatting.Pleasetakenoteofthefollowingitemswhenproofreadingspellingandgrammar.</w:t>
      </w:r>
    </w:p>
    <w:p w:rsidR="00692375" w:rsidRPr="002C60BB" w:rsidRDefault="007D522D" w:rsidP="007E4755">
      <w:pPr>
        <w:pStyle w:val="Heading2"/>
        <w:tabs>
          <w:tab w:val="left" w:pos="6270"/>
        </w:tabs>
        <w:rPr>
          <w:b/>
        </w:rPr>
      </w:pPr>
      <w:r w:rsidRPr="002C60BB">
        <w:rPr>
          <w:b/>
        </w:rPr>
        <w:t>AbbreviationsandAcronyms(Heading2)</w:t>
      </w:r>
      <w:r w:rsidR="007E4755">
        <w:rPr>
          <w:b/>
        </w:rPr>
        <w:tab/>
      </w:r>
    </w:p>
    <w:p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t>3.4.2 Fama-Mcbeth two pass regression</w:t>
      </w:r>
      <w:r w:rsidRPr="00691748">
        <w:rPr>
          <w:b/>
          <w:color w:val="000000"/>
        </w:rPr>
        <w:tab/>
      </w:r>
    </w:p>
    <w:p w:rsidR="00C26B91" w:rsidRPr="00691748" w:rsidRDefault="00C26B91" w:rsidP="00C26B91">
      <w:pPr>
        <w:jc w:val="both"/>
        <w:rPr>
          <w:color w:val="000000"/>
        </w:rPr>
      </w:pPr>
      <w:r w:rsidRPr="00691748">
        <w:rPr>
          <w:color w:val="000000"/>
        </w:rPr>
        <w:tab/>
        <w:t>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0F6FF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0F6FF0"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0F6FF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0F6FF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rsidR="00C26B91" w:rsidRPr="00691748" w:rsidRDefault="00C26B91" w:rsidP="00C26B91">
      <w:pPr>
        <w:jc w:val="both"/>
        <w:rPr>
          <w:b/>
        </w:rPr>
      </w:pPr>
    </w:p>
    <w:p w:rsidR="00962AC7" w:rsidRDefault="00962AC7"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rsidR="00C26B91" w:rsidRPr="00691748" w:rsidRDefault="00C26B91" w:rsidP="00C26B91">
      <w:pPr>
        <w:jc w:val="both"/>
      </w:pPr>
      <w:r w:rsidRPr="00691748">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34"/>
        <w:gridCol w:w="1636"/>
        <w:gridCol w:w="1227"/>
        <w:gridCol w:w="1226"/>
        <w:gridCol w:w="1839"/>
        <w:gridCol w:w="1226"/>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Column 6 in table 4.1 shows jarque bera test which is used to checkthe normality of data. The hypotheses of the normal distribution are given;</w:t>
      </w:r>
    </w:p>
    <w:p w:rsidR="00C26B91" w:rsidRPr="00691748" w:rsidRDefault="00C26B91" w:rsidP="00C26B91">
      <w:pPr>
        <w:jc w:val="both"/>
      </w:pPr>
      <w:r w:rsidRPr="00691748">
        <w:t>H</w:t>
      </w:r>
      <w:r w:rsidRPr="00691748">
        <w:rPr>
          <w:vertAlign w:val="subscript"/>
        </w:rPr>
        <w:t xml:space="preserve">0 </w:t>
      </w:r>
      <w:r w:rsidRPr="00691748">
        <w:t>: The data is normally distributed.</w:t>
      </w:r>
    </w:p>
    <w:p w:rsidR="00C26B91" w:rsidRPr="00691748" w:rsidRDefault="00C26B91" w:rsidP="00C26B91">
      <w:pPr>
        <w:jc w:val="both"/>
      </w:pPr>
      <w:r w:rsidRPr="00691748">
        <w:t>H</w:t>
      </w:r>
      <w:r w:rsidRPr="00691748">
        <w:rPr>
          <w:vertAlign w:val="subscript"/>
        </w:rPr>
        <w:t>1 :</w:t>
      </w:r>
      <w:r w:rsidRPr="00691748">
        <w:t>The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r w:rsidRPr="002C60BB">
        <w:rPr>
          <w:b/>
        </w:rPr>
        <w:t>FiguresandTables</w:t>
      </w:r>
    </w:p>
    <w:p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rsidR="006C0A2C" w:rsidRDefault="006C0A2C">
      <w:pPr>
        <w:pStyle w:val="tablehead"/>
        <w:rPr>
          <w:smallCaps w:val="0"/>
          <w:spacing w:val="-1"/>
          <w:sz w:val="20"/>
          <w:szCs w:val="20"/>
          <w:lang w:eastAsia="zh-CN"/>
        </w:rPr>
      </w:pPr>
      <w:bookmarkStart w:id="0" w:name="_GoBack"/>
      <w:bookmarkEnd w:id="0"/>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TableColumnHead</w:t>
            </w:r>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t>Acknowledgment</w:t>
      </w:r>
    </w:p>
    <w:p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rsidR="007D522D" w:rsidRDefault="007D522D"/>
    <w:sectPr w:rsidR="007D522D" w:rsidSect="00962AC7">
      <w:headerReference w:type="even" r:id="rId8"/>
      <w:headerReference w:type="default" r:id="rId9"/>
      <w:footerReference w:type="default" r:id="rId10"/>
      <w:headerReference w:type="first" r:id="rId11"/>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FF0" w:rsidRDefault="000F6FF0" w:rsidP="003C5B4F">
      <w:r>
        <w:separator/>
      </w:r>
    </w:p>
  </w:endnote>
  <w:endnote w:type="continuationSeparator" w:id="0">
    <w:p w:rsidR="000F6FF0" w:rsidRDefault="000F6FF0"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DFGothic-EB"/>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FF0" w:rsidRDefault="000F6FF0" w:rsidP="003C5B4F">
      <w:r>
        <w:separator/>
      </w:r>
    </w:p>
  </w:footnote>
  <w:footnote w:type="continuationSeparator" w:id="0">
    <w:p w:rsidR="000F6FF0" w:rsidRDefault="000F6FF0"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0F6FF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0F5" w:rsidRPr="00C020F5" w:rsidRDefault="000F6FF0"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0F6FF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savePreviewPicture/>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7"/>
    <w:rsid w:val="00006D28"/>
    <w:rsid w:val="00016C60"/>
    <w:rsid w:val="000334C0"/>
    <w:rsid w:val="000551EB"/>
    <w:rsid w:val="0008478E"/>
    <w:rsid w:val="000909A4"/>
    <w:rsid w:val="00090F66"/>
    <w:rsid w:val="00092B52"/>
    <w:rsid w:val="000A1397"/>
    <w:rsid w:val="000F6FF0"/>
    <w:rsid w:val="001611D6"/>
    <w:rsid w:val="001965AF"/>
    <w:rsid w:val="001A1321"/>
    <w:rsid w:val="001F0D66"/>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70086A"/>
    <w:rsid w:val="007079C8"/>
    <w:rsid w:val="00737E30"/>
    <w:rsid w:val="00744FBA"/>
    <w:rsid w:val="00782518"/>
    <w:rsid w:val="007D452E"/>
    <w:rsid w:val="007D522D"/>
    <w:rsid w:val="007E4755"/>
    <w:rsid w:val="008572F1"/>
    <w:rsid w:val="00860DA1"/>
    <w:rsid w:val="00872542"/>
    <w:rsid w:val="00883331"/>
    <w:rsid w:val="008C48BD"/>
    <w:rsid w:val="008D547A"/>
    <w:rsid w:val="00905B07"/>
    <w:rsid w:val="00923A61"/>
    <w:rsid w:val="00947495"/>
    <w:rsid w:val="00962AC7"/>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68C6BDED"/>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Patel Hitesh</cp:lastModifiedBy>
  <cp:revision>3</cp:revision>
  <cp:lastPrinted>1900-12-31T18:30:00Z</cp:lastPrinted>
  <dcterms:created xsi:type="dcterms:W3CDTF">2020-02-02T15:23:00Z</dcterms:created>
  <dcterms:modified xsi:type="dcterms:W3CDTF">2020-02-02T15:23:00Z</dcterms:modified>
</cp:coreProperties>
</file>