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Here is a comprehensive, structured guide to answering this as a standout candidate in an SAP UI5 / Fiori architect or developer interview.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To impress the interviewer, you should frame your answer using the standard </w:t>
      </w:r>
      <w:r w:rsidDel="00000000" w:rsidR="00000000" w:rsidRPr="00000000">
        <w:rPr>
          <w:b w:val="1"/>
          <w:bCs w:val="1"/>
          <w:rtl w:val="0"/>
        </w:rPr>
        <w:t xml:space="preserve">Context - Architecture- Business Logic -Technical Justification</w:t>
      </w:r>
      <w:r w:rsidDel="00000000" w:rsidR="00000000" w:rsidRPr="00000000">
        <w:rPr>
          <w:rtl w:val="0"/>
        </w:rPr>
        <w:t xml:space="preserve"> sequence.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9nmoo8dj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The Executive Summary (What is the app doing &amp; its use case?)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"To give you a high-level overview, this application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custom-scoped Fiori Elements Display App (Fact Sheet)</w:t>
      </w:r>
      <w:r w:rsidDel="00000000" w:rsidR="00000000" w:rsidRPr="00000000">
        <w:rPr>
          <w:i w:val="1"/>
          <w:iCs w:val="1"/>
          <w:rtl w:val="0"/>
        </w:rPr>
        <w:t xml:space="preserve"> tailored for Airbus. It acts as a specialized micro-frontend focused entirely on the 360-degree review of a single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Purchase Order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Business Use Case:</w:t>
      </w:r>
      <w:r w:rsidDel="00000000" w:rsidR="00000000" w:rsidRPr="00000000">
        <w:rPr>
          <w:rtl w:val="0"/>
        </w:rPr>
        <w:t xml:space="preserve"> Users do not launch this app to browse or search thousands of random purchase orders. Instead, they are deep within an upstream procurement or financial process (like a supplier dashboard or invoice audit tool). When they click on a specific PO number, this app is invoked to display that specific document's details immediately.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actually displays:</w:t>
      </w:r>
      <w:r w:rsidDel="00000000" w:rsidR="00000000" w:rsidRPr="00000000">
        <w:rPr>
          <w:rtl w:val="0"/>
        </w:rPr>
        <w:t xml:space="preserve"> It integrates standard SAP Purchase Order header and item details (via the List Report/Object Page floorplan), but layers on critical Airbus-specific custom requirements: a specialized </w:t>
      </w:r>
      <w:r w:rsidDel="00000000" w:rsidR="00000000" w:rsidRPr="00000000">
        <w:rPr>
          <w:b w:val="1"/>
          <w:bCs w:val="1"/>
          <w:rtl w:val="0"/>
        </w:rPr>
        <w:t xml:space="preserve">"Manage Dates"</w:t>
      </w:r>
      <w:r w:rsidDel="00000000" w:rsidR="00000000" w:rsidRPr="00000000">
        <w:rPr>
          <w:rtl w:val="0"/>
        </w:rPr>
        <w:t xml:space="preserve"> section and a highly custom </w:t>
      </w:r>
      <w:r w:rsidDel="00000000" w:rsidR="00000000" w:rsidRPr="00000000">
        <w:rPr>
          <w:b w:val="1"/>
          <w:bCs w:val="1"/>
          <w:rtl w:val="0"/>
        </w:rPr>
        <w:t xml:space="preserve">"Pricing / Digital Proposal"</w:t>
      </w:r>
      <w:r w:rsidDel="00000000" w:rsidR="00000000" w:rsidRPr="00000000">
        <w:rPr>
          <w:rtl w:val="0"/>
        </w:rPr>
        <w:t xml:space="preserve"> matrix.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e4tngeaoo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The Architecture of the App</w:t>
      </w:r>
    </w:p>
    <w:p w:rsidR="00000000" w:rsidDel="00000000" w:rsidP="00000000" w:rsidRDefault="00000000" w:rsidRPr="00000000" w14:paraId="00000008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"Architecturally, this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Fiori Elements (OData v2)</w:t>
      </w:r>
      <w:r w:rsidDel="00000000" w:rsidR="00000000" w:rsidRPr="00000000">
        <w:rPr>
          <w:i w:val="1"/>
          <w:iCs w:val="1"/>
          <w:rtl w:val="0"/>
        </w:rPr>
        <w:t xml:space="preserve"> application built on top of the standard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 Report / Object Page template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sap.suite.ui.generic.template</w:t>
      </w:r>
      <w:r w:rsidDel="00000000" w:rsidR="00000000" w:rsidRPr="00000000">
        <w:rPr>
          <w:i w:val="1"/>
          <w:iCs w:val="1"/>
          <w:rtl w:val="0"/>
        </w:rPr>
        <w:t xml:space="preserve">), utilizing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Controller and View extensions</w:t>
      </w:r>
      <w:r w:rsidDel="00000000" w:rsidR="00000000" w:rsidRPr="00000000">
        <w:rPr>
          <w:i w:val="1"/>
          <w:iCs w:val="1"/>
          <w:rtl w:val="0"/>
        </w:rPr>
        <w:t xml:space="preserve"> to inject custom business logic."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Data Model Tier (Dual OData Services):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Service:</w:t>
      </w:r>
      <w:r w:rsidDel="00000000" w:rsidR="00000000" w:rsidRPr="00000000">
        <w:rPr>
          <w:rtl w:val="0"/>
        </w:rPr>
        <w:t xml:space="preserve"> It uses the standard SAP S/4HANA backend service </w:t>
      </w:r>
      <w:r w:rsidDel="00000000" w:rsidR="00000000" w:rsidRPr="00000000">
        <w:rPr>
          <w:color w:val="188038"/>
          <w:rtl w:val="0"/>
        </w:rPr>
        <w:t xml:space="preserve">/sap/opu/odata/sap/MM_PUR_PO_MAINT_V2_SRV/</w:t>
      </w:r>
      <w:r w:rsidDel="00000000" w:rsidR="00000000" w:rsidRPr="00000000">
        <w:rPr>
          <w:rtl w:val="0"/>
        </w:rPr>
        <w:t xml:space="preserve"> (bound to the default unnamed model </w:t>
      </w:r>
      <w:r w:rsidDel="00000000" w:rsidR="00000000" w:rsidRPr="00000000">
        <w:rPr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). This feeds the core standard UI components like items, quantities, and suppliers natively.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 Service:</w:t>
      </w:r>
      <w:r w:rsidDel="00000000" w:rsidR="00000000" w:rsidRPr="00000000">
        <w:rPr>
          <w:rtl w:val="0"/>
        </w:rPr>
        <w:t xml:space="preserve"> It introduces a fully custom ABAP gateway service </w:t>
      </w:r>
      <w:r w:rsidDel="00000000" w:rsidR="00000000" w:rsidRPr="00000000">
        <w:rPr>
          <w:color w:val="188038"/>
          <w:rtl w:val="0"/>
        </w:rPr>
        <w:t xml:space="preserve">/sap/opu/odata/sap/Z_X11_DIG_PROP_SRV/</w:t>
      </w:r>
      <w:r w:rsidDel="00000000" w:rsidR="00000000" w:rsidRPr="00000000">
        <w:rPr>
          <w:rtl w:val="0"/>
        </w:rPr>
        <w:t xml:space="preserve"> (bound to the named model </w:t>
      </w:r>
      <w:r w:rsidDel="00000000" w:rsidR="00000000" w:rsidRPr="00000000">
        <w:rPr>
          <w:color w:val="188038"/>
          <w:rtl w:val="0"/>
        </w:rPr>
        <w:t xml:space="preserve">"pricing"</w:t>
      </w:r>
      <w:r w:rsidDel="00000000" w:rsidR="00000000" w:rsidRPr="00000000">
        <w:rPr>
          <w:rtl w:val="0"/>
        </w:rPr>
        <w:t xml:space="preserve">). This isolates and feeds the custom Airbus pricing evaluation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Extension Layer (UI5 Flexibility):</w:t>
        <w:br w:type="textWrapping"/>
      </w:r>
      <w:r w:rsidDel="00000000" w:rsidR="00000000" w:rsidRPr="00000000">
        <w:rPr>
          <w:rtl w:val="0"/>
        </w:rPr>
        <w:t xml:space="preserve">Instead of altering standard code, it leverages native Fiori extension slots in the </w:t>
      </w:r>
      <w:r w:rsidDel="00000000" w:rsidR="00000000" w:rsidRPr="00000000">
        <w:rPr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Custom JS controllers (</w:t>
      </w:r>
      <w:r w:rsidDel="00000000" w:rsidR="00000000" w:rsidRPr="00000000">
        <w:rPr>
          <w:color w:val="188038"/>
          <w:rtl w:val="0"/>
        </w:rPr>
        <w:t xml:space="preserve">ListReportExtension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ObjectPageExtension</w:t>
      </w:r>
      <w:r w:rsidDel="00000000" w:rsidR="00000000" w:rsidRPr="00000000">
        <w:rPr>
          <w:rtl w:val="0"/>
        </w:rPr>
        <w:t xml:space="preserve">) add custom logic like </w:t>
      </w:r>
      <w:r w:rsidDel="00000000" w:rsidR="00000000" w:rsidRPr="00000000">
        <w:rPr>
          <w:color w:val="188038"/>
          <w:rtl w:val="0"/>
        </w:rPr>
        <w:t xml:space="preserve">onRestoreItem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onDeleteItem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Custom XML Fragments (</w:t>
      </w:r>
      <w:r w:rsidDel="00000000" w:rsidR="00000000" w:rsidRPr="00000000">
        <w:rPr>
          <w:color w:val="188038"/>
          <w:rtl w:val="0"/>
        </w:rPr>
        <w:t xml:space="preserve">CustomFilter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TableColumnsExtension</w:t>
      </w:r>
      <w:r w:rsidDel="00000000" w:rsidR="00000000" w:rsidRPr="00000000">
        <w:rPr>
          <w:rtl w:val="0"/>
        </w:rPr>
        <w:t xml:space="preserve">) modify standard UI tables, while full XML Views (</w:t>
      </w:r>
      <w:r w:rsidDel="00000000" w:rsidR="00000000" w:rsidRPr="00000000">
        <w:rPr>
          <w:color w:val="188038"/>
          <w:rtl w:val="0"/>
        </w:rPr>
        <w:t xml:space="preserve">ManageDates.view.xml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ManagePricing.view.xml</w:t>
      </w:r>
      <w:r w:rsidDel="00000000" w:rsidR="00000000" w:rsidRPr="00000000">
        <w:rPr>
          <w:rtl w:val="0"/>
        </w:rPr>
        <w:t xml:space="preserve">) are injected using </w:t>
      </w:r>
      <w:r w:rsidDel="00000000" w:rsidR="00000000" w:rsidRPr="00000000">
        <w:rPr>
          <w:color w:val="188038"/>
          <w:rtl w:val="0"/>
        </w:rPr>
        <w:t xml:space="preserve">BeforeFacet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AfterFacet</w:t>
      </w:r>
      <w:r w:rsidDel="00000000" w:rsidR="00000000" w:rsidRPr="00000000">
        <w:rPr>
          <w:rtl w:val="0"/>
        </w:rPr>
        <w:t xml:space="preserve"> hooks to act as custom tabs on the Object page.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g0emk7g4u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Cross-App Navigation (How is it called from another app?)</w:t>
      </w:r>
    </w:p>
    <w:p w:rsidR="00000000" w:rsidDel="00000000" w:rsidP="00000000" w:rsidRDefault="00000000" w:rsidRPr="00000000" w14:paraId="00000010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"Because this application behaves as a Fact Sheet, it relies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Intent-Based Navigation (IBN)</w:t>
      </w:r>
      <w:r w:rsidDel="00000000" w:rsidR="00000000" w:rsidRPr="00000000">
        <w:rPr>
          <w:i w:val="1"/>
          <w:iCs w:val="1"/>
          <w:rtl w:val="0"/>
        </w:rPr>
        <w:t xml:space="preserve"> managed by the SAP Fiori Launchpad."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Semantic Trigger:</w:t>
      </w:r>
      <w:r w:rsidDel="00000000" w:rsidR="00000000" w:rsidRPr="00000000">
        <w:rPr>
          <w:rtl w:val="0"/>
        </w:rPr>
        <w:t xml:space="preserve"> In the manifest, you can see the cross-navigation inbound target mapped to the semantic object </w:t>
      </w:r>
      <w:r w:rsidDel="00000000" w:rsidR="00000000" w:rsidRPr="00000000">
        <w:rPr>
          <w:color w:val="188038"/>
          <w:rtl w:val="0"/>
        </w:rPr>
        <w:t xml:space="preserve">PurchaseOrder</w:t>
      </w:r>
      <w:r w:rsidDel="00000000" w:rsidR="00000000" w:rsidRPr="00000000">
        <w:rPr>
          <w:rtl w:val="0"/>
        </w:rPr>
        <w:t xml:space="preserve"> with the action </w:t>
      </w:r>
      <w:r w:rsidDel="00000000" w:rsidR="00000000" w:rsidRPr="00000000">
        <w:rPr>
          <w:color w:val="188038"/>
          <w:rtl w:val="0"/>
        </w:rPr>
        <w:t xml:space="preserve">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Launch Mechanism:</w:t>
      </w:r>
      <w:r w:rsidDel="00000000" w:rsidR="00000000" w:rsidRPr="00000000">
        <w:rPr>
          <w:rtl w:val="0"/>
        </w:rPr>
        <w:t xml:space="preserve"> When a user is in a parent application (e.g., a Supplier Invoice app) and clicks a PO number, that parent app triggers a Shell Navigation service call, passing the specific </w:t>
      </w:r>
      <w:r w:rsidDel="00000000" w:rsidR="00000000" w:rsidRPr="00000000">
        <w:rPr>
          <w:color w:val="188038"/>
          <w:rtl w:val="0"/>
        </w:rPr>
        <w:t xml:space="preserve">PurchaseOrder ID</w:t>
      </w:r>
      <w:r w:rsidDel="00000000" w:rsidR="00000000" w:rsidRPr="00000000">
        <w:rPr>
          <w:rtl w:val="0"/>
        </w:rPr>
        <w:t xml:space="preserve"> as a URL parameter.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Bypassing the List:</w:t>
      </w:r>
      <w:r w:rsidDel="00000000" w:rsidR="00000000" w:rsidRPr="00000000">
        <w:rPr>
          <w:rtl w:val="0"/>
        </w:rPr>
        <w:t xml:space="preserve"> The Fiori Elements framework detects this semantic key in the incoming URL hash (e.g., </w:t>
      </w:r>
      <w:r w:rsidDel="00000000" w:rsidR="00000000" w:rsidRPr="00000000">
        <w:rPr>
          <w:color w:val="188038"/>
          <w:rtl w:val="0"/>
        </w:rPr>
        <w:t xml:space="preserve">#PurchaseOrder-manage?PurchaseOrder='4500012345'</w:t>
      </w:r>
      <w:r w:rsidDel="00000000" w:rsidR="00000000" w:rsidRPr="00000000">
        <w:rPr>
          <w:rtl w:val="0"/>
        </w:rPr>
        <w:t xml:space="preserve">). Recognizing that a distinct object context has been provided, it automatically executes a deep-link route—bypassing the initial List Report filter screen entirely—and drops the user straight into the Object Page details.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m67rb72v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The Deep Technical Justifications (The Interview "Closer")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you show senior-level architectural thinking. You need to answer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combined services 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didn't just use an Adaptation Project.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3hjatl967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A: Why combine a standard OData service with a custom one?</w:t>
      </w:r>
    </w:p>
    <w:p w:rsidR="00000000" w:rsidDel="00000000" w:rsidP="00000000" w:rsidRDefault="00000000" w:rsidRPr="00000000" w14:paraId="00000017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"We utilized the standard service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MM_PUR_PO_MAINT_V2_SRV</w:t>
      </w:r>
      <w:r w:rsidDel="00000000" w:rsidR="00000000" w:rsidRPr="00000000">
        <w:rPr>
          <w:i w:val="1"/>
          <w:iCs w:val="1"/>
          <w:rtl w:val="0"/>
        </w:rPr>
        <w:t xml:space="preserve"> because it handles 80% of what a Purchase Order needs out of the box—header tables, item limits, schedule lines, and draft handling. Re-writing an ABAP service for standard PO processing from scratch would be a massive waste of development time and a regression risk."</w:t>
      </w:r>
    </w:p>
    <w:p w:rsidR="00000000" w:rsidDel="00000000" w:rsidP="00000000" w:rsidRDefault="00000000" w:rsidRPr="00000000" w14:paraId="00000018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"However, standard SAP cannot anticipate unique corporate logic, like Airbus's digital pricing proposals. By introducing the custom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Z_X11_DIG_PROP_SRV</w:t>
      </w:r>
      <w:r w:rsidDel="00000000" w:rsidR="00000000" w:rsidRPr="00000000">
        <w:rPr>
          <w:i w:val="1"/>
          <w:iCs w:val="1"/>
          <w:rtl w:val="0"/>
        </w:rPr>
        <w:t xml:space="preserve"> as a secondary data source bound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named model (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pricing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, we kept our custom business logic clean, isolated, and highly performant. The custom service is only pinged when a user opens that specific pricing tab, avoiding heavy database loads on global searches."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jtczxzrdo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B: Why create a Fiori Elements app instead of an Adaptation Project (UI Flexibility)?</w:t>
      </w:r>
    </w:p>
    <w:p w:rsidR="00000000" w:rsidDel="00000000" w:rsidP="00000000" w:rsidRDefault="00000000" w:rsidRPr="00000000" w14:paraId="0000001A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"While an Adaptation Project is excellent for minor UI tweaks (hiding fields, re-ordering groups), it was completely unviable for this specific architectural use case for three primary reasons:"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 Data-Source Restrictions:</w:t>
      </w:r>
      <w:r w:rsidDel="00000000" w:rsidR="00000000" w:rsidRPr="00000000">
        <w:rPr>
          <w:rtl w:val="0"/>
        </w:rPr>
        <w:t xml:space="preserve"> An Adaptation Project strictly inherits the manifest of the standard SAP application. You cannot easily inject an entirely separate, custom OData service (</w:t>
      </w:r>
      <w:r w:rsidDel="00000000" w:rsidR="00000000" w:rsidRPr="00000000">
        <w:rPr>
          <w:color w:val="188038"/>
          <w:rtl w:val="0"/>
        </w:rPr>
        <w:t xml:space="preserve">Z_...</w:t>
      </w:r>
      <w:r w:rsidDel="00000000" w:rsidR="00000000" w:rsidRPr="00000000">
        <w:rPr>
          <w:rtl w:val="0"/>
        </w:rPr>
        <w:t xml:space="preserve">) and create new named models inside a standard app's locked manifest layer. Creating a standalone project gave us full manifest autonomy.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Layout &amp; Controller Customizations:</w:t>
      </w:r>
      <w:r w:rsidDel="00000000" w:rsidR="00000000" w:rsidRPr="00000000">
        <w:rPr>
          <w:rtl w:val="0"/>
        </w:rPr>
        <w:t xml:space="preserve"> Our requirements went far beyond key-user adjustments. We needed to insert heavy custom logic (</w:t>
      </w:r>
      <w:r w:rsidDel="00000000" w:rsidR="00000000" w:rsidRPr="00000000">
        <w:rPr>
          <w:color w:val="188038"/>
          <w:rtl w:val="0"/>
        </w:rPr>
        <w:t xml:space="preserve">onRestoreItem</w:t>
      </w:r>
      <w:r w:rsidDel="00000000" w:rsidR="00000000" w:rsidRPr="00000000">
        <w:rPr>
          <w:rtl w:val="0"/>
        </w:rPr>
        <w:t xml:space="preserve">), custom fragments, and entire custom standalone XML Views (</w:t>
      </w:r>
      <w:r w:rsidDel="00000000" w:rsidR="00000000" w:rsidRPr="00000000">
        <w:rPr>
          <w:color w:val="188038"/>
          <w:rtl w:val="0"/>
        </w:rPr>
        <w:t xml:space="preserve">ManageDates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ManagePricing</w:t>
      </w:r>
      <w:r w:rsidDel="00000000" w:rsidR="00000000" w:rsidRPr="00000000">
        <w:rPr>
          <w:rtl w:val="0"/>
        </w:rPr>
        <w:t xml:space="preserve">). Forcing these complex layers into a standard application's runtime via variant changes is unstable and highly prone to lifecycle issues.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Upstream Isolation &amp; Lifecycle Autonomy:</w:t>
      </w:r>
      <w:r w:rsidDel="00000000" w:rsidR="00000000" w:rsidRPr="00000000">
        <w:rPr>
          <w:rtl w:val="0"/>
        </w:rPr>
        <w:t xml:space="preserve"> If we adapt the standard Fiori app (</w:t>
      </w:r>
      <w:r w:rsidDel="00000000" w:rsidR="00000000" w:rsidRPr="00000000">
        <w:rPr>
          <w:color w:val="188038"/>
          <w:rtl w:val="0"/>
        </w:rPr>
        <w:t xml:space="preserve">F0842A</w:t>
      </w:r>
      <w:r w:rsidDel="00000000" w:rsidR="00000000" w:rsidRPr="00000000">
        <w:rPr>
          <w:rtl w:val="0"/>
        </w:rPr>
        <w:t xml:space="preserve">), we are at the mercy of SAP's upgrade cycle. If an SAP support package or automatic S/4HANA update alters the internal standard XML views of that app, our adaptation layer can break. By generating a standalone Fiori Elements app with a unique application ID (</w:t>
      </w:r>
      <w:r w:rsidDel="00000000" w:rsidR="00000000" w:rsidRPr="00000000">
        <w:rPr>
          <w:color w:val="188038"/>
          <w:rtl w:val="0"/>
        </w:rPr>
        <w:t xml:space="preserve">airbus.ui.2j86.disp.po</w:t>
      </w:r>
      <w:r w:rsidDel="00000000" w:rsidR="00000000" w:rsidRPr="00000000">
        <w:rPr>
          <w:rtl w:val="0"/>
        </w:rPr>
        <w:t xml:space="preserve">), we </w:t>
      </w:r>
      <w:r w:rsidDel="00000000" w:rsidR="00000000" w:rsidRPr="00000000">
        <w:rPr>
          <w:b w:val="1"/>
          <w:bCs w:val="1"/>
          <w:rtl w:val="0"/>
        </w:rPr>
        <w:t xml:space="preserve">decoupled our frontend lifecycle from SAP's</w:t>
      </w:r>
      <w:r w:rsidDel="00000000" w:rsidR="00000000" w:rsidRPr="00000000">
        <w:rPr>
          <w:rtl w:val="0"/>
        </w:rPr>
        <w:t xml:space="preserve">. We consume their stable, standard backend APIs, but our user interface is completely safe from automatic breaking changes.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5v81nakde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Pro-Tips for Delivering this in the Interview: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terms like: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"Separation of concerns"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"Intent-based navigation"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"Lifecycle decoupling"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"Named models vs. Default models"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they ask about performance:</w:t>
      </w:r>
      <w:r w:rsidDel="00000000" w:rsidR="00000000" w:rsidRPr="00000000">
        <w:rPr>
          <w:rtl w:val="0"/>
        </w:rPr>
        <w:t xml:space="preserve"> Mention that by keeping the custom pricing service isolated to a named model, it ensures the app loads the standard PO details instantly, and only lazy-loads the heavy custom pricing calculations when the user explicitly clicks the custom pricing section.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