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James Roberts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James Roberts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Time-Conscious and Results-Oriented Customer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February 2025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Order and payment processing issues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Impatient: Expects quick resolutions and becomes frustrated with delays.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Direct: Communicates needs and dissatisfaction clearly and concisely.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Demanding: Insists on immediate results and minimal excuses.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Skeptical: Questions processes and requires assurance of resolution.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Payment Processing Problem - March 15, 2025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Delay in payment processing confirmation.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System confirmation awaited; agent Sophia Martinez worked to expedite the process.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Frustrated with the delay, demanded faster resolution.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Refund Delay Follow-Up - July 15, 2025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Delay in processing a refund.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Sophia Martinez escalated the issue for priority handling.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32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Dissatisfied with the time taken, insisted on immediate results.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No active open issues - All recent inquiries have been addressed, though the customer remains vigilant about service efficiency and timeliness.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(willing to continue if service efficiency improves)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if delays persist, Moderate Opportunity if service becomes more efficient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Partial (issues resolved but with customer dissatisfaction due to delays)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Moderate (likely to contact for urgent issues, expects rapid service)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