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John Martinez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John Martinez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Detail-Oriented, Relationship-Focused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March 2024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Booking special occasion travel, resolving service failures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Articulate &amp; Specific: Clearly communicates his needs and expectations, especially for important events.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Cautiously Trusting: Willing to give the company a second chance but requires reassurance and proof of reliability.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Appreciative of Resolution: Acknowledges and expresses gratitude when agents take ownership and resolve issues effectively.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Value-Driven: Focuses on the experience and fulfillment of promises over just the monetary cost.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Anniversary Trip Service Failure (April 2024):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Arrived at the hotel to find his guaranteed sea-facing room was not available due to an overbooking error.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Michael Chen provided significant service recovery, including an upgraded room, multiple credits, complimentary services, and proactive follow-up to secure the correct room.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Initially very frustrated but became appreciative of the agent's efforts and the comprehensive resolution.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New Booking with Trust Concerns (August 2024):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Called to book a new trip but expressed hesitation due to the previous negative experience.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Lisa Rodriguez proactively addressed his concerns, offered a VIP flag on the reservation, provided direct contact information for hotel management, and applied a loyalty discount.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Reassured by the agent’s proactive measures and detailed assurances, and proceeded with the booking.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There are no open issues at this time. The customer's most recent interaction was a successful booking where his concerns were proactively addressed. The upcoming September trip is flagged for special attention to ensure a positive experience.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High; books premium travel for special occasions and is willing to remain loyal if service promises are met.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 of negative word-of-mouth if service failures repeat; High Opportunity for positive referrals if the company consistently demonstrates reliability.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Achieved; despite a significant service failure, the thorough and empathetic resolution restored his willingness to book again.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High; likely to call to confirm details for his upcoming trip and will expect a high level of service for future bookings.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