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A365D"/>
          <w:sz w:val="36"/>
        </w:rPr>
        <w:t>HEMA SRI LATHAVENI RAYUDU</w:t>
      </w:r>
    </w:p>
    <w:p>
      <w:pPr>
        <w:spacing w:after="160"/>
        <w:jc w:val="center"/>
      </w:pPr>
      <w:r>
        <w:rPr>
          <w:rFonts w:ascii="Arial" w:hAnsi="Arial"/>
          <w:color w:val="718096"/>
          <w:sz w:val="19"/>
        </w:rPr>
        <w:t>Location: Hyderabad, India  |  Phone: +91 7815879665</w:t>
        <w:br/>
        <w:t>Email: hemasrilathaveni@gmail.com  |  LinkedIn: linkedin.com/in/hema-sri-rayudu-0603h01</w:t>
      </w:r>
    </w:p>
    <w:p>
      <w:pPr>
        <w:keepNext/>
        <w:spacing w:before="200" w:after="80"/>
        <w:pBdr>
          <w:bottom w:val="single" w:sz="6" w:space="3" w:color="1A365D"/>
        </w:pBdr>
      </w:pPr>
      <w:r>
        <w:rPr>
          <w:rFonts w:ascii="Arial" w:hAnsi="Arial"/>
          <w:b/>
          <w:color w:val="1A365D"/>
          <w:sz w:val="22"/>
        </w:rPr>
        <w:t>PROFESSIONAL SUMMARY</w:t>
      </w:r>
    </w:p>
    <w:p>
      <w:pPr>
        <w:spacing w:after="120"/>
      </w:pPr>
      <w:r>
        <w:t>Results-driven FinTech Marketing professional with about 3 years of progressive experience spanning Pre-Sales and Corporate Marketing. Specialized in product messaging, content strategy, analyst relations, and GTM communications. Adept at translating complex lending and AI product capabilities into high-impact narratives that strengthen market positioning, accelerate demand generation, and drive business visibility across digital, analyst, and event-led channels.</w:t>
      </w:r>
    </w:p>
    <w:p>
      <w:pPr>
        <w:keepNext/>
        <w:spacing w:before="200" w:after="80"/>
        <w:pBdr>
          <w:bottom w:val="single" w:sz="6" w:space="3" w:color="1A365D"/>
        </w:pBdr>
      </w:pPr>
      <w:r>
        <w:rPr>
          <w:rFonts w:ascii="Arial" w:hAnsi="Arial"/>
          <w:b/>
          <w:color w:val="1A365D"/>
          <w:sz w:val="22"/>
        </w:rPr>
        <w:t>CORE COMPETENCIES &amp; SKILLS</w:t>
      </w:r>
    </w:p>
    <w:p>
      <w:pPr>
        <w:pStyle w:val="ListBullet"/>
        <w:spacing w:after="40" w:line="269" w:lineRule="auto"/>
      </w:pPr>
      <w:r>
        <w:rPr>
          <w:rFonts w:ascii="Arial" w:hAnsi="Arial"/>
          <w:b/>
          <w:color w:val="2D3748"/>
          <w:sz w:val="20"/>
        </w:rPr>
        <w:t>Core Expertise:</w:t>
      </w:r>
      <w:r>
        <w:rPr>
          <w:rFonts w:ascii="Arial" w:hAnsi="Arial"/>
          <w:color w:val="2D3748"/>
          <w:sz w:val="20"/>
        </w:rPr>
        <w:t xml:space="preserve"> Content &amp; Product Marketing, Pre-sales, Brand Storytelling, Analyst Relations (AR), Go-To-Market (GTM) Strategy, Demand Generation, SEO &amp; Search Discovery Optimization (GEO).</w:t>
      </w:r>
    </w:p>
    <w:p>
      <w:pPr>
        <w:pStyle w:val="ListBullet"/>
        <w:spacing w:after="40" w:line="269" w:lineRule="auto"/>
      </w:pPr>
      <w:r>
        <w:rPr>
          <w:rFonts w:ascii="Arial" w:hAnsi="Arial"/>
          <w:b/>
          <w:color w:val="2D3748"/>
          <w:sz w:val="20"/>
        </w:rPr>
        <w:t>Tools &amp; Platforms:</w:t>
      </w:r>
      <w:r>
        <w:rPr>
          <w:rFonts w:ascii="Arial" w:hAnsi="Arial"/>
          <w:color w:val="2D3748"/>
          <w:sz w:val="20"/>
        </w:rPr>
        <w:t xml:space="preserve"> WordPress, Canva, MS Office.</w:t>
      </w:r>
    </w:p>
    <w:p>
      <w:pPr>
        <w:pStyle w:val="ListBullet"/>
        <w:spacing w:after="40" w:line="269" w:lineRule="auto"/>
      </w:pPr>
      <w:r>
        <w:rPr>
          <w:rFonts w:ascii="Arial" w:hAnsi="Arial"/>
          <w:b/>
          <w:color w:val="2D3748"/>
          <w:sz w:val="20"/>
        </w:rPr>
        <w:t>AI Productivity Tools:</w:t>
      </w:r>
      <w:r>
        <w:rPr>
          <w:rFonts w:ascii="Arial" w:hAnsi="Arial"/>
          <w:color w:val="2D3748"/>
          <w:sz w:val="20"/>
        </w:rPr>
        <w:t xml:space="preserve"> ChatGPT, Claude, Gemini, Lumen5, InVideo (leveraged for content scaling + speed).</w:t>
      </w:r>
    </w:p>
    <w:p>
      <w:pPr>
        <w:pStyle w:val="ListBullet"/>
        <w:spacing w:after="40" w:line="269" w:lineRule="auto"/>
      </w:pPr>
      <w:r>
        <w:rPr>
          <w:rFonts w:ascii="Arial" w:hAnsi="Arial"/>
          <w:b/>
          <w:color w:val="2D3748"/>
          <w:sz w:val="20"/>
        </w:rPr>
        <w:t>Languages:</w:t>
      </w:r>
      <w:r>
        <w:rPr>
          <w:rFonts w:ascii="Arial" w:hAnsi="Arial"/>
          <w:color w:val="2D3748"/>
          <w:sz w:val="20"/>
        </w:rPr>
        <w:t xml:space="preserve"> English, Telugu, Hindi.</w:t>
      </w:r>
    </w:p>
    <w:p>
      <w:pPr>
        <w:keepNext/>
        <w:spacing w:before="200" w:after="80"/>
        <w:pBdr>
          <w:bottom w:val="single" w:sz="6" w:space="3" w:color="1A365D"/>
        </w:pBdr>
      </w:pPr>
      <w:r>
        <w:rPr>
          <w:rFonts w:ascii="Arial" w:hAnsi="Arial"/>
          <w:b/>
          <w:color w:val="1A365D"/>
          <w:sz w:val="22"/>
        </w:rPr>
        <w:t>PROFESSIONAL EXPERIENCE</w:t>
      </w:r>
    </w:p>
    <w:p>
      <w:pPr>
        <w:keepNext/>
        <w:spacing w:before="80" w:after="20"/>
      </w:pPr>
      <w:r>
        <w:rPr>
          <w:b/>
          <w:color w:val="1A365D"/>
          <w:sz w:val="22"/>
        </w:rPr>
        <w:t>Pennant Technologies</w:t>
      </w:r>
    </w:p>
    <w:p>
      <w:pPr>
        <w:keepNext/>
        <w:spacing w:after="80"/>
      </w:pPr>
      <w:r>
        <w:rPr>
          <w:b/>
          <w:sz w:val="20"/>
        </w:rPr>
        <w:t>Executive, Marketing</w:t>
      </w:r>
      <w:r>
        <w:rPr>
          <w:i/>
          <w:color w:val="718096"/>
        </w:rPr>
        <w:t xml:space="preserve">  |  May 2025 – Present</w:t>
      </w:r>
    </w:p>
    <w:p>
      <w:pPr>
        <w:spacing w:after="80"/>
      </w:pPr>
      <w:r>
        <w:rPr>
          <w:i/>
        </w:rPr>
        <w:t>Advanced from Pre-Sales to a core corporate marketing role. Partnered with leadership, product, and AI teams to translate complex technical capabilities into high-converting marketing assets.</w:t>
      </w:r>
    </w:p>
    <w:p>
      <w:pPr>
        <w:pStyle w:val="ListBullet"/>
        <w:spacing w:after="40" w:line="269" w:lineRule="auto"/>
      </w:pPr>
      <w:r>
        <w:rPr>
          <w:rFonts w:ascii="Arial" w:hAnsi="Arial"/>
          <w:b/>
          <w:color w:val="2D3748"/>
          <w:sz w:val="20"/>
        </w:rPr>
        <w:t>Content Strategy &amp; Scalability:</w:t>
      </w:r>
      <w:r>
        <w:rPr>
          <w:rFonts w:ascii="Arial" w:hAnsi="Arial"/>
          <w:color w:val="2D3748"/>
          <w:sz w:val="20"/>
        </w:rPr>
        <w:t xml:space="preserve"> Accelerated content velocity, driving a 3x growth in blog output for FY26; authored high-impact case studies, playbook, brochures, and conversion-focused web copy.</w:t>
      </w:r>
    </w:p>
    <w:p>
      <w:pPr>
        <w:pStyle w:val="ListBullet"/>
        <w:spacing w:after="40" w:line="269" w:lineRule="auto"/>
      </w:pPr>
      <w:r>
        <w:rPr>
          <w:rFonts w:ascii="Arial" w:hAnsi="Arial"/>
          <w:b/>
          <w:color w:val="2D3748"/>
          <w:sz w:val="20"/>
        </w:rPr>
        <w:t>Analyst Relations &amp; Market Positioning:</w:t>
      </w:r>
      <w:r>
        <w:rPr>
          <w:rFonts w:ascii="Arial" w:hAnsi="Arial"/>
          <w:color w:val="2D3748"/>
          <w:sz w:val="20"/>
        </w:rPr>
        <w:t xml:space="preserve"> Developed briefing decks and RFI narratives for Gartner, Chartis, and QKS Group. Contributions directly secured ‘Leader’ recognition in the Chartis Market Quadrant (Credit Lending Operations) and QKS Group Spark Matrix (Retail &amp; Commercial Loan Origination Systems).</w:t>
      </w:r>
    </w:p>
    <w:p>
      <w:pPr>
        <w:pStyle w:val="ListBullet"/>
        <w:spacing w:after="40" w:line="269" w:lineRule="auto"/>
      </w:pPr>
      <w:r>
        <w:rPr>
          <w:rFonts w:ascii="Arial" w:hAnsi="Arial"/>
          <w:b/>
          <w:color w:val="2D3748"/>
          <w:sz w:val="20"/>
        </w:rPr>
        <w:t>GTM &amp; Product Launches:</w:t>
      </w:r>
      <w:r>
        <w:rPr>
          <w:rFonts w:ascii="Arial" w:hAnsi="Arial"/>
          <w:color w:val="2D3748"/>
          <w:sz w:val="20"/>
        </w:rPr>
        <w:t xml:space="preserve"> Formulated and executed the comprehensive go-to-market plan for the launch of pennApps Agentic AI Studio.</w:t>
      </w:r>
    </w:p>
    <w:p>
      <w:pPr>
        <w:pStyle w:val="ListBullet"/>
        <w:spacing w:after="40" w:line="269" w:lineRule="auto"/>
      </w:pPr>
      <w:r>
        <w:rPr>
          <w:rFonts w:ascii="Arial" w:hAnsi="Arial"/>
          <w:b/>
          <w:color w:val="2D3748"/>
          <w:sz w:val="20"/>
        </w:rPr>
        <w:t>Award-Winning Submissions:</w:t>
      </w:r>
      <w:r>
        <w:rPr>
          <w:rFonts w:ascii="Arial" w:hAnsi="Arial"/>
          <w:color w:val="2D3748"/>
          <w:sz w:val="20"/>
        </w:rPr>
        <w:t xml:space="preserve"> Wrote the narrative that won the company the prestigious AEGIS Graham Bell Award Innovation Rating Certificate for pennApps Agentic AI Studio.</w:t>
      </w:r>
    </w:p>
    <w:p>
      <w:pPr>
        <w:pStyle w:val="ListBullet"/>
        <w:spacing w:after="40" w:line="269" w:lineRule="auto"/>
      </w:pPr>
      <w:r>
        <w:rPr>
          <w:rFonts w:ascii="Arial" w:hAnsi="Arial"/>
          <w:b/>
          <w:color w:val="2D3748"/>
          <w:sz w:val="20"/>
        </w:rPr>
        <w:t>SEO, GEO &amp; Digital Discovery:</w:t>
      </w:r>
      <w:r>
        <w:rPr>
          <w:rFonts w:ascii="Arial" w:hAnsi="Arial"/>
          <w:color w:val="2D3748"/>
          <w:sz w:val="20"/>
        </w:rPr>
        <w:t xml:space="preserve"> Executed targeted SEO strategies that pushed core product pages into the Top 10 Google search results. Optimized content architecture for AI answer engines like ChatGPT and Gemini.</w:t>
      </w:r>
    </w:p>
    <w:p>
      <w:pPr>
        <w:pStyle w:val="ListBullet"/>
        <w:spacing w:after="40" w:line="269" w:lineRule="auto"/>
      </w:pPr>
      <w:r>
        <w:rPr>
          <w:rFonts w:ascii="Arial" w:hAnsi="Arial"/>
          <w:b/>
          <w:color w:val="2D3748"/>
          <w:sz w:val="20"/>
        </w:rPr>
        <w:t>Customer Advocacy &amp; Demand Gen:</w:t>
      </w:r>
      <w:r>
        <w:rPr>
          <w:rFonts w:ascii="Arial" w:hAnsi="Arial"/>
          <w:color w:val="2D3748"/>
          <w:sz w:val="20"/>
        </w:rPr>
        <w:t xml:space="preserve"> Coordinated global client participation in Gartner Peer Insights, creating organic search visibility that directly generated inbound bank inquiries. Built copy for LinkedIn funnels and email campaigns.</w:t>
      </w:r>
    </w:p>
    <w:p>
      <w:pPr>
        <w:pStyle w:val="ListBullet"/>
        <w:spacing w:after="40" w:line="269" w:lineRule="auto"/>
      </w:pPr>
      <w:r>
        <w:rPr>
          <w:rFonts w:ascii="Arial" w:hAnsi="Arial"/>
          <w:b/>
          <w:color w:val="2D3748"/>
          <w:sz w:val="20"/>
        </w:rPr>
        <w:t>Global Event Branding:</w:t>
      </w:r>
      <w:r>
        <w:rPr>
          <w:rFonts w:ascii="Arial" w:hAnsi="Arial"/>
          <w:color w:val="2D3748"/>
          <w:sz w:val="20"/>
        </w:rPr>
        <w:t xml:space="preserve"> Headed messaging and localized copywriting for international events like the Singapore Fintech Festival, WFIS Indonesia, and Pennant’s flagship customer event, pennNXT 2026.</w:t>
      </w:r>
    </w:p>
    <w:p>
      <w:pPr>
        <w:pStyle w:val="ListBullet"/>
        <w:spacing w:after="40" w:line="269" w:lineRule="auto"/>
      </w:pPr>
      <w:r>
        <w:rPr>
          <w:rFonts w:ascii="Arial" w:hAnsi="Arial"/>
          <w:b/>
          <w:color w:val="2D3748"/>
          <w:sz w:val="20"/>
        </w:rPr>
        <w:t>Video &amp; Social Copywriting:</w:t>
      </w:r>
      <w:r>
        <w:rPr>
          <w:rFonts w:ascii="Arial" w:hAnsi="Arial"/>
          <w:color w:val="2D3748"/>
          <w:sz w:val="20"/>
        </w:rPr>
        <w:t xml:space="preserve"> Scripted and produced AI-driven video assets (Lumen5, InVideo) and corporate social copy to drive brand equity and demand generation.</w:t>
      </w:r>
    </w:p>
    <w:p>
      <w:pPr>
        <w:keepNext/>
        <w:spacing w:before="120" w:after="80"/>
      </w:pPr>
      <w:r>
        <w:rPr>
          <w:b/>
          <w:sz w:val="20"/>
        </w:rPr>
        <w:t>Associate Pre-Sales Analyst</w:t>
      </w:r>
      <w:r>
        <w:rPr>
          <w:i/>
          <w:color w:val="718096"/>
        </w:rPr>
        <w:t xml:space="preserve">  |  September 2023 – April 2025</w:t>
      </w:r>
    </w:p>
    <w:p>
      <w:pPr>
        <w:spacing w:after="80"/>
      </w:pPr>
      <w:r>
        <w:rPr>
          <w:i/>
        </w:rPr>
        <w:t>Served as the functional bridge between global banking prospects and internal technical teams, gaining deep domain expertise in enterprise lending software.</w:t>
      </w:r>
    </w:p>
    <w:p>
      <w:pPr>
        <w:pStyle w:val="ListBullet"/>
        <w:spacing w:after="40" w:line="269" w:lineRule="auto"/>
      </w:pPr>
      <w:r>
        <w:rPr>
          <w:rFonts w:ascii="Arial" w:hAnsi="Arial"/>
          <w:b/>
          <w:color w:val="2D3748"/>
          <w:sz w:val="20"/>
        </w:rPr>
        <w:t>Product Demonstrations:</w:t>
      </w:r>
      <w:r>
        <w:rPr>
          <w:rFonts w:ascii="Arial" w:hAnsi="Arial"/>
          <w:color w:val="2D3748"/>
          <w:sz w:val="20"/>
        </w:rPr>
        <w:t xml:space="preserve"> Conducted platform demonstrations for global enterprise banking prospects, successfully mapping complex lending architecture to tangible business value.</w:t>
      </w:r>
    </w:p>
    <w:p>
      <w:pPr>
        <w:pStyle w:val="ListBullet"/>
        <w:spacing w:after="40" w:line="269" w:lineRule="auto"/>
      </w:pPr>
      <w:r>
        <w:rPr>
          <w:rFonts w:ascii="Arial" w:hAnsi="Arial"/>
          <w:b/>
          <w:color w:val="2D3748"/>
          <w:sz w:val="20"/>
        </w:rPr>
        <w:t>RFP/RFI Architecture:</w:t>
      </w:r>
      <w:r>
        <w:rPr>
          <w:rFonts w:ascii="Arial" w:hAnsi="Arial"/>
          <w:color w:val="2D3748"/>
          <w:sz w:val="20"/>
        </w:rPr>
        <w:t xml:space="preserve"> Contributed to critical, high-value client RFP/RFI responses ensuring precise requirement alignment to close key pipeline opportunities.</w:t>
      </w:r>
    </w:p>
    <w:p>
      <w:pPr>
        <w:pStyle w:val="ListBullet"/>
        <w:spacing w:after="40" w:line="269" w:lineRule="auto"/>
      </w:pPr>
      <w:r>
        <w:rPr>
          <w:rFonts w:ascii="Arial" w:hAnsi="Arial"/>
          <w:b/>
          <w:color w:val="2D3748"/>
          <w:sz w:val="20"/>
        </w:rPr>
        <w:t>On-Ground Representation:</w:t>
      </w:r>
      <w:r>
        <w:rPr>
          <w:rFonts w:ascii="Arial" w:hAnsi="Arial"/>
          <w:color w:val="2D3748"/>
          <w:sz w:val="20"/>
        </w:rPr>
        <w:t xml:space="preserve"> Showcased live product ecosystems at international fintech roundtables, trade events, and major banking conferences.</w:t>
      </w:r>
    </w:p>
    <w:p>
      <w:pPr>
        <w:keepNext/>
        <w:spacing w:before="200" w:after="80"/>
        <w:pBdr>
          <w:bottom w:val="single" w:sz="6" w:space="3" w:color="1A365D"/>
        </w:pBdr>
      </w:pPr>
      <w:r>
        <w:rPr>
          <w:rFonts w:ascii="Arial" w:hAnsi="Arial"/>
          <w:b/>
          <w:color w:val="1A365D"/>
          <w:sz w:val="22"/>
        </w:rPr>
        <w:t>EDUCATION</w:t>
      </w:r>
    </w:p>
    <w:p>
      <w:pPr>
        <w:pStyle w:val="ListBullet"/>
        <w:spacing w:after="40" w:line="269" w:lineRule="auto"/>
      </w:pPr>
      <w:r>
        <w:rPr>
          <w:rFonts w:ascii="Arial" w:hAnsi="Arial"/>
          <w:b/>
          <w:color w:val="2D3748"/>
          <w:sz w:val="20"/>
        </w:rPr>
        <w:t>Master of Business Administration (MBA) |</w:t>
      </w:r>
      <w:r>
        <w:rPr>
          <w:rFonts w:ascii="Arial" w:hAnsi="Arial"/>
          <w:color w:val="2D3748"/>
          <w:sz w:val="20"/>
        </w:rPr>
        <w:t xml:space="preserve"> School of Management Studies, JNTUK | 2023</w:t>
      </w:r>
    </w:p>
    <w:p>
      <w:pPr>
        <w:pStyle w:val="ListBullet"/>
        <w:spacing w:after="40" w:line="269" w:lineRule="auto"/>
      </w:pPr>
      <w:r>
        <w:rPr>
          <w:rFonts w:ascii="Arial" w:hAnsi="Arial"/>
          <w:b/>
          <w:color w:val="2D3748"/>
          <w:sz w:val="20"/>
        </w:rPr>
        <w:t>Bachelor of Science (MPCS) |</w:t>
      </w:r>
      <w:r>
        <w:rPr>
          <w:rFonts w:ascii="Arial" w:hAnsi="Arial"/>
          <w:color w:val="2D3748"/>
          <w:sz w:val="20"/>
        </w:rPr>
        <w:t xml:space="preserve"> Pithapur Rajahs Government Degree College (A), Kakinada | 2021</w:t>
      </w:r>
    </w:p>
    <w:p>
      <w:pPr>
        <w:keepNext/>
        <w:spacing w:before="200" w:after="80"/>
        <w:pBdr>
          <w:bottom w:val="single" w:sz="6" w:space="3" w:color="1A365D"/>
        </w:pBdr>
      </w:pPr>
      <w:r>
        <w:rPr>
          <w:rFonts w:ascii="Arial" w:hAnsi="Arial"/>
          <w:b/>
          <w:color w:val="1A365D"/>
          <w:sz w:val="22"/>
        </w:rPr>
        <w:t>PROJECTS &amp; ACADEMIC HIGHLIGHTS</w:t>
      </w:r>
    </w:p>
    <w:p>
      <w:pPr>
        <w:keepNext/>
        <w:spacing w:after="20"/>
      </w:pPr>
      <w:r>
        <w:rPr>
          <w:b/>
        </w:rPr>
        <w:t>MBA Capstone Project</w:t>
      </w:r>
    </w:p>
    <w:p>
      <w:pPr>
        <w:spacing w:after="60"/>
      </w:pPr>
      <w:r>
        <w:rPr>
          <w:i/>
        </w:rPr>
        <w:t>Title: Consumer Behaviour Towards Online Delivery: Spencer’s Retail Mart, Sarpavaram</w:t>
      </w:r>
    </w:p>
    <w:p>
      <w:pPr>
        <w:pStyle w:val="ListBullet"/>
        <w:spacing w:after="40" w:line="269" w:lineRule="auto"/>
      </w:pPr>
      <w:r>
        <w:rPr>
          <w:rFonts w:ascii="Arial" w:hAnsi="Arial"/>
          <w:color w:val="2D3748"/>
          <w:sz w:val="20"/>
        </w:rPr>
        <w:t xml:space="preserve"> Conducted a data-driven customer survey and SWOT analysis to restructure Spencer’s underperforming online delivery strategy.</w:t>
      </w:r>
    </w:p>
    <w:p>
      <w:pPr>
        <w:pStyle w:val="ListBullet"/>
        <w:spacing w:after="40" w:line="269" w:lineRule="auto"/>
      </w:pPr>
      <w:r>
        <w:rPr>
          <w:rFonts w:ascii="Arial" w:hAnsi="Arial"/>
          <w:color w:val="2D3748"/>
          <w:sz w:val="20"/>
        </w:rPr>
        <w:t xml:space="preserve"> Delivered key recommendations regarding logistics turnaround optimization, product expansion, and UX improvements to realign digital interfaces with market demand.</w:t>
      </w:r>
    </w:p>
    <w:p>
      <w:pPr>
        <w:keepNext/>
        <w:spacing w:before="200" w:after="80"/>
        <w:pBdr>
          <w:bottom w:val="single" w:sz="6" w:space="3" w:color="1A365D"/>
        </w:pBdr>
      </w:pPr>
      <w:r>
        <w:rPr>
          <w:rFonts w:ascii="Arial" w:hAnsi="Arial"/>
          <w:b/>
          <w:color w:val="1A365D"/>
          <w:sz w:val="22"/>
        </w:rPr>
        <w:t>AWARDS &amp; LEADERSHIP ACTIVITIES</w:t>
      </w:r>
    </w:p>
    <w:p>
      <w:pPr>
        <w:keepNext/>
        <w:spacing w:after="40"/>
      </w:pPr>
      <w:r>
        <w:rPr>
          <w:b/>
        </w:rPr>
        <w:t>Leadership &amp; Event Management</w:t>
      </w:r>
    </w:p>
    <w:p>
      <w:pPr>
        <w:pStyle w:val="ListBullet"/>
        <w:spacing w:after="40" w:line="269" w:lineRule="auto"/>
      </w:pPr>
      <w:r>
        <w:rPr>
          <w:rFonts w:ascii="Arial" w:hAnsi="Arial"/>
          <w:b/>
          <w:color w:val="2D3748"/>
          <w:sz w:val="20"/>
        </w:rPr>
        <w:t>Marketing Event Co-ordinator:</w:t>
      </w:r>
      <w:r>
        <w:rPr>
          <w:rFonts w:ascii="Arial" w:hAnsi="Arial"/>
          <w:color w:val="2D3748"/>
          <w:sz w:val="20"/>
        </w:rPr>
        <w:t xml:space="preserve"> Organized and managed the 2-day Academic Annual Management Fest ECLORE-2K23.</w:t>
      </w:r>
    </w:p>
    <w:p>
      <w:pPr>
        <w:pStyle w:val="ListBullet"/>
        <w:spacing w:after="40" w:line="269" w:lineRule="auto"/>
      </w:pPr>
      <w:r>
        <w:rPr>
          <w:rFonts w:ascii="Arial" w:hAnsi="Arial"/>
          <w:b/>
          <w:color w:val="2D3748"/>
          <w:sz w:val="20"/>
        </w:rPr>
        <w:t>Lead Female Event Co-ordinator:</w:t>
      </w:r>
      <w:r>
        <w:rPr>
          <w:rFonts w:ascii="Arial" w:hAnsi="Arial"/>
          <w:color w:val="2D3748"/>
          <w:sz w:val="20"/>
        </w:rPr>
        <w:t xml:space="preserve"> Formulated execution strategy and led logistics for Kriya 2022 at JNTUK.</w:t>
      </w:r>
    </w:p>
    <w:p>
      <w:pPr>
        <w:pStyle w:val="ListBullet"/>
        <w:spacing w:after="40" w:line="269" w:lineRule="auto"/>
      </w:pPr>
      <w:r>
        <w:rPr>
          <w:rFonts w:ascii="Arial" w:hAnsi="Arial"/>
          <w:b/>
          <w:color w:val="2D3748"/>
          <w:sz w:val="20"/>
        </w:rPr>
        <w:t>Student Lead:</w:t>
      </w:r>
      <w:r>
        <w:rPr>
          <w:rFonts w:ascii="Arial" w:hAnsi="Arial"/>
          <w:color w:val="2D3748"/>
          <w:sz w:val="20"/>
        </w:rPr>
        <w:t xml:space="preserve"> National Service Scheme (NSS), Unit - 2 (2018 – 2021) at PRGC.</w:t>
      </w:r>
    </w:p>
    <w:p>
      <w:pPr>
        <w:keepNext/>
        <w:spacing w:before="80" w:after="40"/>
      </w:pPr>
      <w:r>
        <w:rPr>
          <w:b/>
        </w:rPr>
        <w:t>Achievements &amp; Awards</w:t>
      </w:r>
    </w:p>
    <w:p>
      <w:pPr>
        <w:pStyle w:val="ListBullet"/>
        <w:spacing w:after="40" w:line="269" w:lineRule="auto"/>
      </w:pPr>
      <w:r>
        <w:rPr>
          <w:rFonts w:ascii="Arial" w:hAnsi="Arial"/>
          <w:b/>
          <w:color w:val="2D3748"/>
          <w:sz w:val="20"/>
        </w:rPr>
        <w:t>1st Prize:</w:t>
      </w:r>
      <w:r>
        <w:rPr>
          <w:rFonts w:ascii="Arial" w:hAnsi="Arial"/>
          <w:color w:val="2D3748"/>
          <w:sz w:val="20"/>
        </w:rPr>
        <w:t xml:space="preserve"> District-level Senior Essay Writing Competition, Republic Day (2022).</w:t>
      </w:r>
    </w:p>
    <w:p>
      <w:pPr>
        <w:pStyle w:val="ListBullet"/>
        <w:spacing w:after="40" w:line="269" w:lineRule="auto"/>
      </w:pPr>
      <w:r>
        <w:rPr>
          <w:rFonts w:ascii="Arial" w:hAnsi="Arial"/>
          <w:b/>
          <w:color w:val="2D3748"/>
          <w:sz w:val="20"/>
        </w:rPr>
        <w:t>1st Prize:</w:t>
      </w:r>
      <w:r>
        <w:rPr>
          <w:rFonts w:ascii="Arial" w:hAnsi="Arial"/>
          <w:color w:val="2D3748"/>
          <w:sz w:val="20"/>
        </w:rPr>
        <w:t xml:space="preserve"> City-level Essay Writing Competition, Gandhi Bhavan (Awarded 5,000 INR cash prize) (2021).</w:t>
      </w:r>
    </w:p>
    <w:p>
      <w:pPr>
        <w:keepNext/>
        <w:spacing w:before="200" w:after="80"/>
        <w:pBdr>
          <w:bottom w:val="single" w:sz="6" w:space="3" w:color="1A365D"/>
        </w:pBdr>
      </w:pPr>
      <w:r>
        <w:rPr>
          <w:rFonts w:ascii="Arial" w:hAnsi="Arial"/>
          <w:b/>
          <w:color w:val="1A365D"/>
          <w:sz w:val="22"/>
        </w:rPr>
        <w:t>PERSONAL DETAILS</w:t>
      </w:r>
    </w:p>
    <w:p>
      <w:pPr>
        <w:spacing w:before="40"/>
      </w:pPr>
      <w:r>
        <w:t>Nationality: Indian  |  Marital Status: Single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4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