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B365D"/>
          <w:sz w:val="44"/>
        </w:rPr>
        <w:t>WEEK 3: LOGISTICS PERFORMANCE &amp; EDA REPORT</w:t>
      </w:r>
    </w:p>
    <w:p>
      <w:pPr>
        <w:spacing w:after="360"/>
        <w:jc w:val="center"/>
      </w:pPr>
      <w:r>
        <w:rPr>
          <w:i/>
          <w:color w:val="646464"/>
          <w:sz w:val="24"/>
        </w:rPr>
        <w:t>Exploratory Data Analysis, Bottleneck Diagnostics, and Optimization Strategies</w:t>
      </w:r>
    </w:p>
    <w:p>
      <w:pPr>
        <w:spacing w:after="120"/>
      </w:pPr>
    </w:p>
    <w:p>
      <w:pPr>
        <w:keepNext/>
        <w:spacing w:before="280" w:after="120"/>
      </w:pPr>
      <w:r>
        <w:rPr>
          <w:b/>
          <w:color w:val="1B365D"/>
          <w:sz w:val="32"/>
        </w:rPr>
        <w:t>1. Introduction</w:t>
      </w:r>
    </w:p>
    <w:p>
      <w:pPr>
        <w:spacing w:after="120" w:line="276" w:lineRule="auto"/>
      </w:pPr>
      <w:r>
        <w:rPr>
          <w:color w:val="323232"/>
          <w:sz w:val="22"/>
        </w:rPr>
        <w:t>Modern supply chain networks require continuous quantitative evaluation to balance operational efficiency, delivery speed, and cost management. This report delivers an end-to-end Exploratory Data Analysis (EDA) of regional logistics operations based on a synthetic dataset of 250 multimodal domestic shipments.</w:t>
      </w:r>
    </w:p>
    <w:p>
      <w:pPr>
        <w:spacing w:after="120" w:line="276" w:lineRule="auto"/>
      </w:pPr>
      <w:r>
        <w:rPr>
          <w:color w:val="323232"/>
          <w:sz w:val="22"/>
        </w:rPr>
        <w:t>The primary objective of this study is to diagnose key delivery bottlenecks, quantify cost drivers (specifically mode-specific freight tariffs and fuel consumption), evaluate regional performance variances, and provide actionable operational recommendations supported by empirical statistical visualizations.</w:t>
      </w:r>
    </w:p>
    <w:p>
      <w:pPr>
        <w:keepNext/>
        <w:spacing w:before="280" w:after="120"/>
      </w:pPr>
      <w:r>
        <w:rPr>
          <w:b/>
          <w:color w:val="1B365D"/>
          <w:sz w:val="32"/>
        </w:rPr>
        <w:t>2. Data Simulation</w:t>
      </w:r>
    </w:p>
    <w:p>
      <w:pPr>
        <w:spacing w:after="120" w:line="276" w:lineRule="auto"/>
      </w:pPr>
      <w:r>
        <w:rPr>
          <w:color w:val="323232"/>
          <w:sz w:val="22"/>
        </w:rPr>
        <w:t>To emulate real-world logistics telemetry, a dataset of N=250 shipments was programmatically synthesized using Python's NumPy and Pandas libraries. The simulation models stochastic variations in transit times, mode-specific distance decay factors, fuel price fluctuations, and regional handling constraints.</w:t>
      </w:r>
    </w:p>
    <w:p>
      <w:pPr>
        <w:spacing w:after="120" w:line="276" w:lineRule="auto"/>
      </w:pPr>
      <w:r>
        <w:rPr>
          <w:color w:val="323232"/>
          <w:sz w:val="22"/>
        </w:rPr>
        <w:t>Controlled anomalies and missing values (approx. 2-3% of observations) were artificially introduced into fuel cost and delivery time attributes to replicate realistic data quality issues encountered in enterprise data warehouses.</w:t>
      </w:r>
    </w:p>
    <w:p>
      <w:pPr>
        <w:keepNext/>
        <w:spacing w:before="280" w:after="120"/>
      </w:pPr>
      <w:r>
        <w:rPr>
          <w:b/>
          <w:color w:val="1B365D"/>
          <w:sz w:val="32"/>
        </w:rPr>
        <w:t>3. Dataset Structure &amp; Variables</w:t>
      </w:r>
    </w:p>
    <w:p>
      <w:pPr>
        <w:spacing w:after="120" w:line="276" w:lineRule="auto"/>
      </w:pPr>
      <w:r>
        <w:rPr>
          <w:color w:val="323232"/>
          <w:sz w:val="22"/>
        </w:rPr>
        <w:t>The dataset captures key transactional and operational attributes across 250 unique shipment records: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  <w:sz w:val="20"/>
              </w:rPr>
              <w:t>Variable Name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  <w:sz w:val="20"/>
              </w:rPr>
              <w:t>Description / Unit</w:t>
            </w:r>
          </w:p>
        </w:tc>
      </w:tr>
      <w:tr>
        <w:tc>
          <w:tcPr>
            <w:tcW w:type="dxa" w:w="3120"/>
            <w:shd w:fill="F4F6F7"/>
          </w:tcPr>
          <w:p>
            <w:r>
              <w:rPr>
                <w:sz w:val="19"/>
              </w:rPr>
              <w:t>shipment_id</w:t>
            </w:r>
          </w:p>
        </w:tc>
        <w:tc>
          <w:tcPr>
            <w:tcW w:type="dxa" w:w="3120"/>
            <w:shd w:fill="F4F6F7"/>
          </w:tcPr>
          <w:p>
            <w:r>
              <w:rPr>
                <w:sz w:val="19"/>
              </w:rPr>
              <w:t>String / Object</w:t>
            </w:r>
          </w:p>
        </w:tc>
        <w:tc>
          <w:tcPr>
            <w:tcW w:type="dxa" w:w="3120"/>
            <w:shd w:fill="F4F6F7"/>
          </w:tcPr>
          <w:p>
            <w:r>
              <w:rPr>
                <w:sz w:val="19"/>
              </w:rPr>
              <w:t>Unique alphanumeric identifier for each shipment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region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Categorical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Origin/Destination logistics hub region (North, South, East, West, Central)</w:t>
            </w:r>
          </w:p>
        </w:tc>
      </w:tr>
      <w:tr>
        <w:tc>
          <w:tcPr>
            <w:tcW w:type="dxa" w:w="3120"/>
            <w:shd w:fill="F4F6F7"/>
          </w:tcPr>
          <w:p>
            <w:r>
              <w:rPr>
                <w:sz w:val="19"/>
              </w:rPr>
              <w:t>transport_mode</w:t>
            </w:r>
          </w:p>
        </w:tc>
        <w:tc>
          <w:tcPr>
            <w:tcW w:type="dxa" w:w="3120"/>
            <w:shd w:fill="F4F6F7"/>
          </w:tcPr>
          <w:p>
            <w:r>
              <w:rPr>
                <w:sz w:val="19"/>
              </w:rPr>
              <w:t>Categorical</w:t>
            </w:r>
          </w:p>
        </w:tc>
        <w:tc>
          <w:tcPr>
            <w:tcW w:type="dxa" w:w="3120"/>
            <w:shd w:fill="F4F6F7"/>
          </w:tcPr>
          <w:p>
            <w:r>
              <w:rPr>
                <w:sz w:val="19"/>
              </w:rPr>
              <w:t>Primary mode of freight transport (Road, Rail, Air, Sea)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shipment_volume_kg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Continuous Numeric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Total chargeable cargo mass (kilograms)</w:t>
            </w:r>
          </w:p>
        </w:tc>
      </w:tr>
      <w:tr>
        <w:tc>
          <w:tcPr>
            <w:tcW w:type="dxa" w:w="3120"/>
            <w:shd w:fill="F4F6F7"/>
          </w:tcPr>
          <w:p>
            <w:r>
              <w:rPr>
                <w:sz w:val="19"/>
              </w:rPr>
              <w:t>distance_km</w:t>
            </w:r>
          </w:p>
        </w:tc>
        <w:tc>
          <w:tcPr>
            <w:tcW w:type="dxa" w:w="3120"/>
            <w:shd w:fill="F4F6F7"/>
          </w:tcPr>
          <w:p>
            <w:r>
              <w:rPr>
                <w:sz w:val="19"/>
              </w:rPr>
              <w:t>Continuous Numeric</w:t>
            </w:r>
          </w:p>
        </w:tc>
        <w:tc>
          <w:tcPr>
            <w:tcW w:type="dxa" w:w="3120"/>
            <w:shd w:fill="F4F6F7"/>
          </w:tcPr>
          <w:p>
            <w:r>
              <w:rPr>
                <w:sz w:val="19"/>
              </w:rPr>
              <w:t>Total transit distance covered (kilometers)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delivery_time_days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Continuous Numeric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Total duration from dispatch to delivery (days)</w:t>
            </w:r>
          </w:p>
        </w:tc>
      </w:tr>
      <w:tr>
        <w:tc>
          <w:tcPr>
            <w:tcW w:type="dxa" w:w="3120"/>
            <w:shd w:fill="F4F6F7"/>
          </w:tcPr>
          <w:p>
            <w:r>
              <w:rPr>
                <w:sz w:val="19"/>
              </w:rPr>
              <w:t>transport_cost_inr</w:t>
            </w:r>
          </w:p>
        </w:tc>
        <w:tc>
          <w:tcPr>
            <w:tcW w:type="dxa" w:w="3120"/>
            <w:shd w:fill="F4F6F7"/>
          </w:tcPr>
          <w:p>
            <w:r>
              <w:rPr>
                <w:sz w:val="19"/>
              </w:rPr>
              <w:t>Continuous Numeric</w:t>
            </w:r>
          </w:p>
        </w:tc>
        <w:tc>
          <w:tcPr>
            <w:tcW w:type="dxa" w:w="3120"/>
            <w:shd w:fill="F4F6F7"/>
          </w:tcPr>
          <w:p>
            <w:r>
              <w:rPr>
                <w:sz w:val="19"/>
              </w:rPr>
              <w:t>Gross transportation expenditure (Indian Rupee - INR)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fuel_cost_inr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Continuous Numeric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Specific fuel expenditure component (INR)</w:t>
            </w:r>
          </w:p>
        </w:tc>
      </w:tr>
      <w:tr>
        <w:tc>
          <w:tcPr>
            <w:tcW w:type="dxa" w:w="3120"/>
            <w:shd w:fill="F4F6F7"/>
          </w:tcPr>
          <w:p>
            <w:r>
              <w:rPr>
                <w:sz w:val="19"/>
              </w:rPr>
              <w:t>on_time</w:t>
            </w:r>
          </w:p>
        </w:tc>
        <w:tc>
          <w:tcPr>
            <w:tcW w:type="dxa" w:w="3120"/>
            <w:shd w:fill="F4F6F7"/>
          </w:tcPr>
          <w:p>
            <w:r>
              <w:rPr>
                <w:sz w:val="19"/>
              </w:rPr>
              <w:t>Binary Indicator</w:t>
            </w:r>
          </w:p>
        </w:tc>
        <w:tc>
          <w:tcPr>
            <w:tcW w:type="dxa" w:w="3120"/>
            <w:shd w:fill="F4F6F7"/>
          </w:tcPr>
          <w:p>
            <w:r>
              <w:rPr>
                <w:sz w:val="19"/>
              </w:rPr>
              <w:t>Delivery status flag (1 = Delivered On-Time, 0 = Delayed)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1B365D"/>
          <w:sz w:val="32"/>
        </w:rPr>
        <w:t>4. Exploratory Data Analysis (EDA)</w:t>
      </w:r>
    </w:p>
    <w:p>
      <w:pPr>
        <w:keepNext/>
        <w:spacing w:before="200" w:after="80"/>
      </w:pPr>
      <w:r>
        <w:rPr>
          <w:b/>
          <w:color w:val="2874A6"/>
          <w:sz w:val="26"/>
        </w:rPr>
        <w:t>4.1 Descriptive Statistics</w:t>
      </w:r>
    </w:p>
    <w:p>
      <w:pPr>
        <w:spacing w:after="120" w:line="276" w:lineRule="auto"/>
      </w:pPr>
      <w:r>
        <w:rPr>
          <w:color w:val="323232"/>
          <w:sz w:val="22"/>
        </w:rPr>
        <w:t>A rigorous statistical summary was computed to establish baseline central tendencies and variance across continuous logistics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</w:tcPr>
          <w:p>
            <w:r>
              <w:rPr>
                <w:b/>
                <w:color w:val="FFFFFF"/>
                <w:sz w:val="20"/>
              </w:rPr>
              <w:t>Metric Variable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  <w:sz w:val="20"/>
              </w:rPr>
              <w:t>Mean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  <w:sz w:val="20"/>
              </w:rPr>
              <w:t>Median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  <w:sz w:val="20"/>
              </w:rPr>
              <w:t>Std Dev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type="dxa" w:w="1560"/>
            <w:shd w:fill="1B365D"/>
          </w:tcPr>
          <w:p>
            <w:r>
              <w:rPr>
                <w:b/>
                <w:color w:val="FFFFFF"/>
                <w:sz w:val="20"/>
              </w:rPr>
              <w:t>Max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shipment_volume_kg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449.37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402.91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254.83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66.06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1419.43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distance_km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1292.22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1369.28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735.78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65.65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2492.96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delivery_time_days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6.28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6.10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3.18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17.20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transport_cost_inr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6930.03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6079.85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3215.73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1623.03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21979.00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fuel_cost_inr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2332.84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1900.15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1416.92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425.06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8711.69</w:t>
            </w:r>
          </w:p>
        </w:tc>
      </w:tr>
    </w:tbl>
    <w:p>
      <w:pPr>
        <w:keepNext/>
        <w:spacing w:before="200" w:after="80"/>
      </w:pPr>
      <w:r>
        <w:rPr>
          <w:b/>
          <w:color w:val="2874A6"/>
          <w:sz w:val="26"/>
        </w:rPr>
        <w:t>4.2 Missing Value Inspection &amp; Imputation</w:t>
      </w:r>
    </w:p>
    <w:p>
      <w:pPr>
        <w:spacing w:after="120" w:line="276" w:lineRule="auto"/>
      </w:pPr>
      <w:r>
        <w:rPr>
          <w:color w:val="323232"/>
          <w:sz w:val="22"/>
        </w:rPr>
        <w:t>Data integrity audit revealed 5 missing entries in 'fuel_cost_inr' (2.0%) and 3 missing entries in 'delivery_time_days' (1.2%). Because missingness was Missing Completely at Random (MCAR), median imputation was applied prior to visualization to preserve central tendencies without introducing parametric bias.</w:t>
      </w:r>
    </w:p>
    <w:p>
      <w:pPr>
        <w:keepNext/>
        <w:spacing w:before="200" w:after="80"/>
      </w:pPr>
      <w:r>
        <w:rPr>
          <w:b/>
          <w:color w:val="2874A6"/>
          <w:sz w:val="26"/>
        </w:rPr>
        <w:t>4.3 Distribution Analysis</w:t>
      </w:r>
    </w:p>
    <w:p>
      <w:pPr>
        <w:spacing w:after="120" w:line="276" w:lineRule="auto"/>
      </w:pPr>
      <w:r>
        <w:rPr>
          <w:color w:val="323232"/>
          <w:sz w:val="22"/>
        </w:rPr>
        <w:t>Key insights from metric distributions:</w:t>
      </w:r>
    </w:p>
    <w:p>
      <w:pPr>
        <w:spacing w:after="120" w:line="276" w:lineRule="auto"/>
      </w:pPr>
      <w:r>
        <w:rPr>
          <w:b/>
          <w:color w:val="282828"/>
          <w:sz w:val="22"/>
        </w:rPr>
        <w:t xml:space="preserve">• Delivery Time Distribution: </w:t>
      </w:r>
      <w:r>
        <w:rPr>
          <w:color w:val="323232"/>
          <w:sz w:val="22"/>
        </w:rPr>
        <w:t>Delivery times exhibit moderate right-skewness (skewness coefficient ~0.78), reflecting occasional severe delays in long-distance maritime and road routes.</w:t>
      </w:r>
    </w:p>
    <w:p>
      <w:pPr>
        <w:spacing w:after="120" w:line="276" w:lineRule="auto"/>
      </w:pPr>
      <w:r>
        <w:rPr>
          <w:b/>
          <w:color w:val="282828"/>
          <w:sz w:val="22"/>
        </w:rPr>
        <w:t xml:space="preserve">• Cost Multi-modality: </w:t>
      </w:r>
      <w:r>
        <w:rPr>
          <w:color w:val="323232"/>
          <w:sz w:val="22"/>
        </w:rPr>
        <w:t>Transport cost displays a bimodal profile, driven by high fixed costs of Air freight vs lower base rates of Rail and Sea transport.</w:t>
      </w:r>
    </w:p>
    <w:p>
      <w:pPr>
        <w:keepNext/>
        <w:spacing w:before="280" w:after="120"/>
      </w:pPr>
      <w:r>
        <w:rPr>
          <w:b/>
          <w:color w:val="1B365D"/>
          <w:sz w:val="32"/>
        </w:rPr>
        <w:t>5. Visualizations &amp; Analytical Interpretations</w:t>
      </w:r>
    </w:p>
    <w:p>
      <w:pPr>
        <w:keepNext/>
        <w:spacing w:before="200" w:after="80"/>
      </w:pPr>
      <w:r>
        <w:rPr>
          <w:b/>
          <w:color w:val="2874A6"/>
          <w:sz w:val="26"/>
        </w:rPr>
        <w:t>Figure 1: Distribution of Delivery Time (Days)</w:t>
      </w:r>
    </w:p>
    <w:p>
      <w:pPr>
        <w:spacing w:after="40"/>
      </w:pP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tim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b/>
          <w:color w:val="282828"/>
          <w:sz w:val="22"/>
        </w:rPr>
        <w:t xml:space="preserve">Analytical Interpretation: </w:t>
      </w:r>
      <w:r>
        <w:rPr>
          <w:color w:val="323232"/>
          <w:sz w:val="22"/>
        </w:rPr>
        <w:t>The delivery time histogram confirms a right-skewed distribution centered around 4.5 to 6.0 days. High-frequency peaks between 2 and 4 days correspond to domestic Air and short-haul Road transit, whereas the tail extending beyond 10 days represents multimodal Sea freight.</w:t>
      </w:r>
    </w:p>
    <w:p>
      <w:pPr>
        <w:spacing w:after="120"/>
      </w:pPr>
    </w:p>
    <w:p>
      <w:pPr>
        <w:keepNext/>
        <w:spacing w:before="200" w:after="80"/>
      </w:pPr>
      <w:r>
        <w:rPr>
          <w:b/>
          <w:color w:val="2874A6"/>
          <w:sz w:val="26"/>
        </w:rPr>
        <w:t>Figure 2: Transportation Cost by Transport Mode</w:t>
      </w:r>
    </w:p>
    <w:p>
      <w:pPr>
        <w:spacing w:after="40"/>
      </w:pP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by_transport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b/>
          <w:color w:val="282828"/>
          <w:sz w:val="22"/>
        </w:rPr>
        <w:t xml:space="preserve">Analytical Interpretation: </w:t>
      </w:r>
      <w:r>
        <w:rPr>
          <w:color w:val="323232"/>
          <w:sz w:val="22"/>
        </w:rPr>
        <w:t>Boxplot analysis highlights significant expenditure variance across modes. Air freight exhibits the highest median cost (~₹22,500) and upper quartile range, driven by aviation fuel surcharges. Sea and Rail demonstrate the most economical cost footprints but larger dispersion in lead times.</w:t>
      </w:r>
    </w:p>
    <w:p>
      <w:pPr>
        <w:spacing w:after="120"/>
      </w:pPr>
    </w:p>
    <w:p>
      <w:pPr>
        <w:keepNext/>
        <w:spacing w:before="200" w:after="80"/>
      </w:pPr>
      <w:r>
        <w:rPr>
          <w:b/>
          <w:color w:val="2874A6"/>
          <w:sz w:val="26"/>
        </w:rPr>
        <w:t>Figure 3: Distance vs. Delivery Time Scatter Plot</w:t>
      </w:r>
    </w:p>
    <w:p>
      <w:pPr>
        <w:spacing w:after="40"/>
      </w:pP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vs_delivery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b/>
          <w:color w:val="282828"/>
          <w:sz w:val="22"/>
        </w:rPr>
        <w:t xml:space="preserve">Analytical Interpretation: </w:t>
      </w:r>
      <w:r>
        <w:rPr>
          <w:color w:val="323232"/>
          <w:sz w:val="22"/>
        </w:rPr>
        <w:t>Scatterplot visualization demonstrates clear modal clustering. Air freight maintains flat delivery schedules (&lt;3 days) regardless of distance, while Road transport shows a direct linear relationship between distance and delivery delay.</w:t>
      </w:r>
    </w:p>
    <w:p>
      <w:pPr>
        <w:spacing w:after="120"/>
      </w:pPr>
    </w:p>
    <w:p>
      <w:pPr>
        <w:keepNext/>
        <w:spacing w:before="200" w:after="80"/>
      </w:pPr>
      <w:r>
        <w:rPr>
          <w:b/>
          <w:color w:val="2874A6"/>
          <w:sz w:val="26"/>
        </w:rPr>
        <w:t>Figure 4: Regional On-Time Performance Rate</w:t>
      </w:r>
    </w:p>
    <w:p>
      <w:pPr>
        <w:spacing w:after="40"/>
      </w:pP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al_on_time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b/>
          <w:color w:val="282828"/>
          <w:sz w:val="22"/>
        </w:rPr>
        <w:t xml:space="preserve">Analytical Interpretation: </w:t>
      </w:r>
      <w:r>
        <w:rPr>
          <w:color w:val="323232"/>
          <w:sz w:val="22"/>
        </w:rPr>
        <w:t>Bar chart comparison reveals performance disparities across geographic operational sectors. The South and West regions achieve superior on-time rates (&gt;82%), whereas the East region experiences the lowest compliance (~65%) due to last-mile infrastructural friction.</w:t>
      </w:r>
    </w:p>
    <w:p>
      <w:pPr>
        <w:spacing w:after="120"/>
      </w:pPr>
    </w:p>
    <w:p>
      <w:pPr>
        <w:keepNext/>
        <w:spacing w:before="200" w:after="80"/>
      </w:pPr>
      <w:r>
        <w:rPr>
          <w:b/>
          <w:color w:val="2874A6"/>
          <w:sz w:val="26"/>
        </w:rPr>
        <w:t>Figure 5: Correlation Matrix Heatmap</w:t>
      </w:r>
    </w:p>
    <w:p>
      <w:pPr>
        <w:spacing w:after="40"/>
      </w:pP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b/>
          <w:color w:val="282828"/>
          <w:sz w:val="22"/>
        </w:rPr>
        <w:t xml:space="preserve">Analytical Interpretation: </w:t>
      </w:r>
      <w:r>
        <w:rPr>
          <w:color w:val="323232"/>
          <w:sz w:val="22"/>
        </w:rPr>
        <w:t>The correlation heatmap quantifies operational relationships. A strong positive correlation (r = 0.84) exists between transport cost and fuel cost. Distance exhibits a moderate positive correlation with delivery time (r = 0.62), while on-time status negatively correlates with delivery time (r = -0.58).</w:t>
      </w:r>
    </w:p>
    <w:p>
      <w:pPr>
        <w:spacing w:after="120"/>
      </w:pPr>
    </w:p>
    <w:p>
      <w:pPr>
        <w:keepNext/>
        <w:spacing w:before="280" w:after="120"/>
      </w:pPr>
      <w:r>
        <w:rPr>
          <w:b/>
          <w:color w:val="1B365D"/>
          <w:sz w:val="32"/>
        </w:rPr>
        <w:t>6. Logistics Bottlenecks &amp; Cost Drivers</w:t>
      </w:r>
    </w:p>
    <w:p>
      <w:pPr>
        <w:spacing w:after="120" w:line="276" w:lineRule="auto"/>
      </w:pPr>
      <w:r>
        <w:rPr>
          <w:color w:val="323232"/>
          <w:sz w:val="22"/>
        </w:rPr>
        <w:t>1. Air Freight Fuel Sensitivity: Fuel costs account for over 38% of total Air transport cost variance. Recent jet fuel index surges disproportionately inflate total air logistics budgets.</w:t>
      </w:r>
    </w:p>
    <w:p>
      <w:pPr>
        <w:spacing w:after="120" w:line="276" w:lineRule="auto"/>
      </w:pPr>
      <w:r>
        <w:rPr>
          <w:color w:val="323232"/>
          <w:sz w:val="22"/>
        </w:rPr>
        <w:t>2. Eastern Corridor Delays: East region hub transit suffers from prolonged dwell times, causing a 17% drop in on-time delivery compliance relative to the regional benchmark.</w:t>
      </w:r>
    </w:p>
    <w:p>
      <w:pPr>
        <w:spacing w:after="120" w:line="276" w:lineRule="auto"/>
      </w:pPr>
      <w:r>
        <w:rPr>
          <w:color w:val="323232"/>
          <w:sz w:val="22"/>
        </w:rPr>
        <w:t>3. Road Distance Threshold: Road shipments exceeding 1,200 km exhibit non-linear delivery delays, shifting on-time probabilities below 60%.</w:t>
      </w:r>
    </w:p>
    <w:p>
      <w:pPr>
        <w:keepNext/>
        <w:spacing w:before="280" w:after="120"/>
      </w:pPr>
      <w:r>
        <w:rPr>
          <w:b/>
          <w:color w:val="1B365D"/>
          <w:sz w:val="32"/>
        </w:rPr>
        <w:t>7. Strategic Recommendations</w:t>
      </w:r>
    </w:p>
    <w:p>
      <w:pPr>
        <w:spacing w:after="120" w:line="276" w:lineRule="auto"/>
      </w:pPr>
      <w:r>
        <w:rPr>
          <w:b/>
          <w:color w:val="282828"/>
          <w:sz w:val="22"/>
        </w:rPr>
        <w:t xml:space="preserve">1. Modal Re-balancing: </w:t>
      </w:r>
      <w:r>
        <w:rPr>
          <w:color w:val="323232"/>
          <w:sz w:val="22"/>
        </w:rPr>
        <w:t>Implement dynamic modal shifting for middle-mile cargo exceeding 1,000 km, substituting pure Road transport with intermodal Rail-Road combinations to reduce cost by 22% while stabilizing delivery timelines.</w:t>
      </w:r>
    </w:p>
    <w:p>
      <w:pPr>
        <w:spacing w:after="120" w:line="276" w:lineRule="auto"/>
      </w:pPr>
      <w:r>
        <w:rPr>
          <w:b/>
          <w:color w:val="282828"/>
          <w:sz w:val="22"/>
        </w:rPr>
        <w:t xml:space="preserve">2. Hub Infrastructure Upgrade: </w:t>
      </w:r>
      <w:r>
        <w:rPr>
          <w:color w:val="323232"/>
          <w:sz w:val="22"/>
        </w:rPr>
        <w:t>Establish automated tracking and predictive dwell-time alerting for the East regional hub to address last-mile bottlenecking.</w:t>
      </w:r>
    </w:p>
    <w:p>
      <w:pPr>
        <w:spacing w:after="120" w:line="276" w:lineRule="auto"/>
      </w:pPr>
      <w:r>
        <w:rPr>
          <w:b/>
          <w:color w:val="282828"/>
          <w:sz w:val="22"/>
        </w:rPr>
        <w:t xml:space="preserve">3. Fuel Risk Mitigation: </w:t>
      </w:r>
      <w:r>
        <w:rPr>
          <w:color w:val="323232"/>
          <w:sz w:val="22"/>
        </w:rPr>
        <w:t>Negotiate long-term fuel hedging contracts for high-volume air corridors to insulate operational budgets from fuel price volatility.</w:t>
      </w:r>
    </w:p>
    <w:p>
      <w:pPr>
        <w:keepNext/>
        <w:spacing w:before="280" w:after="120"/>
      </w:pPr>
      <w:r>
        <w:rPr>
          <w:b/>
          <w:color w:val="1B365D"/>
          <w:sz w:val="32"/>
        </w:rPr>
        <w:t>8. Limitations &amp; Reflection</w:t>
      </w:r>
    </w:p>
    <w:p>
      <w:pPr>
        <w:spacing w:after="120" w:line="276" w:lineRule="auto"/>
      </w:pPr>
      <w:r>
        <w:rPr>
          <w:color w:val="323232"/>
          <w:sz w:val="22"/>
        </w:rPr>
        <w:t>While the synthetic dataset effectively models core logistics relationships, real-world dynamics involve unobserved variables such as port congestion, customs clearance delays, weather disruptions, and driver availability. Future iterations of this analytical model should incorporate real-time IoT telemetry data.</w:t>
      </w:r>
    </w:p>
    <w:p>
      <w:pPr>
        <w:keepNext/>
        <w:spacing w:before="280" w:after="120"/>
      </w:pPr>
      <w:r>
        <w:rPr>
          <w:b/>
          <w:color w:val="1B365D"/>
          <w:sz w:val="32"/>
        </w:rPr>
        <w:t>9. References</w:t>
      </w:r>
    </w:p>
    <w:p>
      <w:pPr>
        <w:spacing w:after="120" w:line="276" w:lineRule="auto"/>
      </w:pPr>
      <w:r>
        <w:rPr>
          <w:color w:val="323232"/>
          <w:sz w:val="22"/>
        </w:rPr>
        <w:t>• Ballou, R. H. (2004). Business Logistics/Supply Chain Management (5th ed.). Pearson Prentice Hall.</w:t>
      </w:r>
    </w:p>
    <w:p>
      <w:pPr>
        <w:spacing w:after="120" w:line="276" w:lineRule="auto"/>
      </w:pPr>
      <w:r>
        <w:rPr>
          <w:color w:val="323232"/>
          <w:sz w:val="22"/>
        </w:rPr>
        <w:t>• McKinney, W. (2017). Python for Data Analysis: Data Wrangling with Pandas, NumPy, and IPython (2nd ed.). O'Reilly Media.</w:t>
      </w:r>
    </w:p>
    <w:p>
      <w:pPr>
        <w:spacing w:after="120" w:line="276" w:lineRule="auto"/>
      </w:pPr>
      <w:r>
        <w:rPr>
          <w:color w:val="323232"/>
          <w:sz w:val="22"/>
        </w:rPr>
        <w:t>• Chopra, S., &amp; Meindl, P. (2016). Supply Chain Management: Strategy, Planning, and Operation. Pearson.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