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40"/>
      </w:pPr>
      <w:r>
        <w:rPr>
          <w:rFonts w:ascii="Calibri" w:hAnsi="Calibri"/>
          <w:b/>
          <w:color w:val="1F4E78"/>
          <w:sz w:val="52"/>
        </w:rPr>
        <w:t>Week 4 Task: Predictive Modeling and Optimization in Logistics Systems</w:t>
      </w:r>
    </w:p>
    <w:p>
      <w:pPr>
        <w:spacing w:after="4000"/>
      </w:pPr>
      <w:r>
        <w:rPr>
          <w:rFonts w:ascii="Calibri" w:hAnsi="Calibri"/>
          <w:i/>
          <w:color w:val="595959"/>
          <w:sz w:val="28"/>
        </w:rPr>
        <w:t>Comprehensive Technical Report &amp; Machine Learning Implementation</w:t>
        <w:br/>
        <w:t>Internship Program - Logistics Analytics &amp; Operations</w:t>
      </w:r>
    </w:p>
    <w:p>
      <w:pPr>
        <w:spacing w:after="0"/>
      </w:pPr>
      <w:r>
        <w:rPr>
          <w:rFonts w:ascii="Calibri" w:hAnsi="Calibri"/>
          <w:color w:val="333333"/>
          <w:sz w:val="22"/>
        </w:rPr>
        <w:t>Prepared By: Logistics Analytics Intern</w:t>
        <w:br/>
        <w:t>Date: August 2026</w:t>
        <w:br/>
        <w:t>Status: Final Submission Ready</w:t>
      </w:r>
    </w:p>
    <w:p>
      <w:r>
        <w:br w:type="page"/>
      </w:r>
    </w:p>
    <w:p>
      <w:pPr>
        <w:keepNext/>
        <w:spacing w:before="280" w:after="120"/>
      </w:pPr>
      <w:r>
        <w:rPr>
          <w:rFonts w:ascii="Calibri" w:hAnsi="Calibri"/>
          <w:b/>
          <w:color w:val="1F4E78"/>
          <w:sz w:val="36"/>
        </w:rPr>
        <w:t>1. Introduction and Problem Definition</w:t>
      </w:r>
    </w:p>
    <w:p>
      <w:pPr>
        <w:keepNext/>
        <w:spacing w:before="240" w:after="80"/>
      </w:pPr>
      <w:r>
        <w:rPr>
          <w:rFonts w:ascii="Calibri" w:hAnsi="Calibri"/>
          <w:b/>
          <w:color w:val="2E75B6"/>
          <w:sz w:val="28"/>
        </w:rPr>
        <w:t>1.1 Problem Definition</w:t>
      </w:r>
    </w:p>
    <w:p>
      <w:r>
        <w:t xml:space="preserve">This technical project addresses the core challenge of: </w:t>
      </w:r>
      <w:r>
        <w:rPr>
          <w:b/>
        </w:rPr>
        <w:t>Predicting Delivery Time for Logistics Shipments Using Machine Learning</w:t>
      </w:r>
      <w:r>
        <w:t>. In modern supply chain systems, accurate delivery time estimates are crucial for operational efficiency, cost management, and client satisfaction.</w:t>
      </w:r>
    </w:p>
    <w:p>
      <w:pPr>
        <w:keepNext/>
        <w:spacing w:before="240" w:after="80"/>
      </w:pPr>
      <w:r>
        <w:rPr>
          <w:rFonts w:ascii="Calibri" w:hAnsi="Calibri"/>
          <w:b/>
          <w:color w:val="2E75B6"/>
          <w:sz w:val="28"/>
        </w:rPr>
        <w:t>1.2 Importance of Delivery Time Prediction in Logistics</w:t>
      </w:r>
    </w:p>
    <w:p>
      <w:r>
        <w:t>Predicting delivery time accurately allows supply chain managers to transition from reactive troubleshooting to proactive operational planning. Unpredictable arrival times lead to bottlenecked warehouse bays, idle fleet drivers, and customer dissatisfaction. Establishing a robust machine learning regression framework allows logistics enterprises to model non-linear delivery dynamic factors and optimize overall system performance.</w:t>
      </w:r>
    </w:p>
    <w:p>
      <w:pPr>
        <w:keepNext/>
        <w:spacing w:before="240" w:after="80"/>
      </w:pPr>
      <w:r>
        <w:rPr>
          <w:rFonts w:ascii="Calibri" w:hAnsi="Calibri"/>
          <w:b/>
          <w:color w:val="2E75B6"/>
          <w:sz w:val="28"/>
        </w:rPr>
        <w:t>1.3 Operational Impact Areas</w:t>
      </w:r>
    </w:p>
    <w:p>
      <w:pPr>
        <w:pStyle w:val="ListBullet"/>
        <w:spacing w:after="80"/>
      </w:pPr>
      <w:r>
        <w:rPr>
          <w:b/>
        </w:rPr>
        <w:t>Predictive insights enable dynamic dynamic route adjustments, helping vehicles avoid congested paths and high-risk weather zones.</w:t>
      </w:r>
      <w:r/>
    </w:p>
    <w:p>
      <w:pPr>
        <w:pStyle w:val="ListBullet"/>
        <w:spacing w:after="80"/>
      </w:pPr>
      <w:r>
        <w:rPr>
          <w:b/>
        </w:rPr>
        <w:t>Accurate Estimated Time of Arrival (ETA) predictions enhance transparency, leading to higher customer trust and adherence to Service Level Agreements (SLAs).</w:t>
      </w:r>
      <w:r/>
    </w:p>
    <w:p>
      <w:pPr>
        <w:pStyle w:val="ListBullet"/>
        <w:spacing w:after="80"/>
      </w:pPr>
      <w:r>
        <w:rPr>
          <w:b/>
        </w:rPr>
        <w:t>Driver duty cycles can be scheduled efficiently, preventing fatigue and ensuring compliance with labor standards.</w:t>
      </w:r>
      <w:r/>
    </w:p>
    <w:p>
      <w:pPr>
        <w:pStyle w:val="ListBullet"/>
        <w:spacing w:after="80"/>
      </w:pPr>
      <w:r>
        <w:rPr>
          <w:b/>
        </w:rPr>
        <w:t>High-priority or long-distance shipments can be assigned to newer, more reliable fleet vehicles.</w:t>
      </w:r>
      <w:r/>
    </w:p>
    <w:p>
      <w:pPr>
        <w:pStyle w:val="ListBullet"/>
        <w:spacing w:after="80"/>
      </w:pPr>
      <w:r>
        <w:rPr>
          <w:b/>
        </w:rPr>
        <w:t>Warehouse receiving teams can better anticipate incoming shipments, optimizing labor utilization and dock space.</w:t>
      </w:r>
      <w:r/>
    </w:p>
    <w:p>
      <w:pPr>
        <w:pStyle w:val="ListBullet"/>
        <w:spacing w:after="80"/>
      </w:pPr>
      <w:r>
        <w:rPr>
          <w:b/>
        </w:rPr>
        <w:t>Early detection of high-risk delay factors enables dispatchers to take corrective actions prior to shipment release.</w:t>
      </w:r>
      <w:r/>
    </w:p>
    <w:p>
      <w:pPr>
        <w:pStyle w:val="ListBullet"/>
        <w:spacing w:after="80"/>
      </w:pPr>
      <w:r>
        <w:rPr>
          <w:b/>
        </w:rPr>
        <w:t>Fuel usage, toll expenditures, and handling gear can be strategically allocated based on expected route complexity.</w:t>
      </w:r>
      <w:r/>
    </w:p>
    <w:p>
      <w:pPr>
        <w:pStyle w:val="ListBullet"/>
        <w:spacing w:after="80"/>
      </w:pPr>
      <w:r>
        <w:rPr>
          <w:b/>
        </w:rPr>
        <w:t>Reducing overall lead-time variability lowers safety stock requirements across fulfillment nodes.</w:t>
      </w:r>
      <w:r/>
    </w:p>
    <w:p>
      <w:pPr>
        <w:keepNext/>
        <w:spacing w:before="240" w:after="80"/>
      </w:pPr>
      <w:r>
        <w:rPr>
          <w:rFonts w:ascii="Calibri" w:hAnsi="Calibri"/>
          <w:b/>
          <w:color w:val="2E75B6"/>
          <w:sz w:val="28"/>
        </w:rPr>
        <w:t>1.4 Target Variable Definition</w:t>
      </w:r>
    </w:p>
    <w:p>
      <w:r>
        <w:t>The target metric evaluated throughout this research is Delivery_Time_Hours, representing total hours elapsed from initial dispatch from origin warehouse to arrival at the destination address.</w:t>
      </w:r>
    </w:p>
    <w:p>
      <w:pPr>
        <w:keepNext/>
        <w:spacing w:before="280" w:after="120"/>
      </w:pPr>
      <w:r>
        <w:rPr>
          <w:rFonts w:ascii="Calibri" w:hAnsi="Calibri"/>
          <w:b/>
          <w:color w:val="1F4E78"/>
          <w:sz w:val="36"/>
        </w:rPr>
        <w:t>2. Dataset Description and Simulation</w:t>
      </w:r>
    </w:p>
    <w:p>
      <w:r>
        <w:t>To construct a robust predictive model, a dataset consisting of 400 shipment records was generated using Python with a fixed random seed (seed=42) to ensure strict experimental reproducibility. The dataset incorporates standard industry metrics.</w:t>
      </w:r>
    </w:p>
    <w:tbl>
      <w:tblPr>
        <w:tblW w:type="auto" w:w="0"/>
        <w:jc w:val="center"/>
        <w:tblLook w:firstColumn="1" w:firstRow="1" w:lastColumn="0" w:lastRow="0" w:noHBand="0" w:noVBand="1" w:val="04A0"/>
      </w:tblPr>
      <w:tblGrid>
        <w:gridCol w:w="3120"/>
        <w:gridCol w:w="3120"/>
        <w:gridCol w:w="3120"/>
      </w:tblGrid>
      <w:tr>
        <w:trPr>
          <w:cantSplit/>
        </w:trPr>
        <w:tc>
          <w:tcPr>
            <w:tcW w:type="dxa" w:w="3120"/>
            <w:vAlign w:val="center"/>
            <w:tcMar>
              <w:top w:w="120" w:type="dxa"/>
              <w:bottom w:w="120" w:type="dxa"/>
              <w:left w:w="150" w:type="dxa"/>
              <w:right w:w="150" w:type="dxa"/>
            </w:tcMar>
            <w:shd w:fill="1F4E78"/>
          </w:tcPr>
          <w:p>
            <w:pPr>
              <w:jc w:val="left"/>
            </w:pPr>
            <w:r>
              <w:rPr>
                <w:b/>
                <w:color w:val="FFFFFF"/>
              </w:rPr>
              <w:t>Feature Name</w:t>
            </w:r>
          </w:p>
        </w:tc>
        <w:tc>
          <w:tcPr>
            <w:tcW w:type="dxa" w:w="3120"/>
            <w:vAlign w:val="center"/>
            <w:tcMar>
              <w:top w:w="120" w:type="dxa"/>
              <w:bottom w:w="120" w:type="dxa"/>
              <w:left w:w="150" w:type="dxa"/>
              <w:right w:w="150" w:type="dxa"/>
            </w:tcMar>
            <w:shd w:fill="1F4E78"/>
          </w:tcPr>
          <w:p>
            <w:pPr>
              <w:jc w:val="left"/>
            </w:pPr>
            <w:r>
              <w:rPr>
                <w:b/>
                <w:color w:val="FFFFFF"/>
              </w:rPr>
              <w:t>Data Type</w:t>
            </w:r>
          </w:p>
        </w:tc>
        <w:tc>
          <w:tcPr>
            <w:tcW w:type="dxa" w:w="3120"/>
            <w:vAlign w:val="center"/>
            <w:tcMar>
              <w:top w:w="120" w:type="dxa"/>
              <w:bottom w:w="120" w:type="dxa"/>
              <w:left w:w="150" w:type="dxa"/>
              <w:right w:w="150" w:type="dxa"/>
            </w:tcMar>
            <w:shd w:fill="1F4E78"/>
          </w:tcPr>
          <w:p>
            <w:pPr>
              <w:jc w:val="left"/>
            </w:pPr>
            <w:r>
              <w:rPr>
                <w:b/>
                <w:color w:val="FFFFFF"/>
              </w:rPr>
              <w:t>Operational Description</w:t>
            </w:r>
          </w:p>
        </w:tc>
      </w:tr>
      <w:tr>
        <w:trPr>
          <w:cantSplit/>
        </w:trPr>
        <w:tc>
          <w:tcPr>
            <w:tcW w:type="dxa" w:w="3120"/>
            <w:vAlign w:val="center"/>
            <w:tcMar>
              <w:top w:w="120" w:type="dxa"/>
              <w:bottom w:w="120" w:type="dxa"/>
              <w:left w:w="150" w:type="dxa"/>
              <w:right w:w="150" w:type="dxa"/>
            </w:tcMar>
            <w:shd w:fill="F9FAFB"/>
          </w:tcPr>
          <w:p>
            <w:r>
              <w:rPr>
                <w:color w:val="333333"/>
              </w:rPr>
              <w:t>Shipment_ID</w:t>
            </w:r>
          </w:p>
        </w:tc>
        <w:tc>
          <w:tcPr>
            <w:tcW w:type="dxa" w:w="3120"/>
            <w:vAlign w:val="center"/>
            <w:tcMar>
              <w:top w:w="120" w:type="dxa"/>
              <w:bottom w:w="120" w:type="dxa"/>
              <w:left w:w="150" w:type="dxa"/>
              <w:right w:w="150" w:type="dxa"/>
            </w:tcMar>
            <w:shd w:fill="F9FAFB"/>
          </w:tcPr>
          <w:p>
            <w:r>
              <w:rPr>
                <w:color w:val="333333"/>
              </w:rPr>
              <w:t>Categorical / String</w:t>
            </w:r>
          </w:p>
        </w:tc>
        <w:tc>
          <w:tcPr>
            <w:tcW w:type="dxa" w:w="3120"/>
            <w:vAlign w:val="center"/>
            <w:tcMar>
              <w:top w:w="120" w:type="dxa"/>
              <w:bottom w:w="120" w:type="dxa"/>
              <w:left w:w="150" w:type="dxa"/>
              <w:right w:w="150" w:type="dxa"/>
            </w:tcMar>
            <w:shd w:fill="F9FAFB"/>
          </w:tcPr>
          <w:p>
            <w:r>
              <w:rPr>
                <w:color w:val="333333"/>
              </w:rPr>
              <w:t>Unique alphanumeric identifier for each shipment.</w:t>
            </w:r>
          </w:p>
        </w:tc>
      </w:tr>
      <w:tr>
        <w:trPr>
          <w:cantSplit/>
        </w:trPr>
        <w:tc>
          <w:tcPr>
            <w:tcW w:type="dxa" w:w="3120"/>
            <w:vAlign w:val="center"/>
            <w:tcMar>
              <w:top w:w="120" w:type="dxa"/>
              <w:bottom w:w="120" w:type="dxa"/>
              <w:left w:w="150" w:type="dxa"/>
              <w:right w:w="150" w:type="dxa"/>
            </w:tcMar>
            <w:shd w:fill="EDF2F8"/>
          </w:tcPr>
          <w:p>
            <w:r>
              <w:rPr>
                <w:color w:val="333333"/>
              </w:rPr>
              <w:t>Distance_km</w:t>
            </w:r>
          </w:p>
        </w:tc>
        <w:tc>
          <w:tcPr>
            <w:tcW w:type="dxa" w:w="3120"/>
            <w:vAlign w:val="center"/>
            <w:tcMar>
              <w:top w:w="120" w:type="dxa"/>
              <w:bottom w:w="120" w:type="dxa"/>
              <w:left w:w="150" w:type="dxa"/>
              <w:right w:w="150" w:type="dxa"/>
            </w:tcMar>
            <w:shd w:fill="EDF2F8"/>
          </w:tcPr>
          <w:p>
            <w:r>
              <w:rPr>
                <w:color w:val="333333"/>
              </w:rPr>
              <w:t>Numerical (Continuous)</w:t>
            </w:r>
          </w:p>
        </w:tc>
        <w:tc>
          <w:tcPr>
            <w:tcW w:type="dxa" w:w="3120"/>
            <w:vAlign w:val="center"/>
            <w:tcMar>
              <w:top w:w="120" w:type="dxa"/>
              <w:bottom w:w="120" w:type="dxa"/>
              <w:left w:w="150" w:type="dxa"/>
              <w:right w:w="150" w:type="dxa"/>
            </w:tcMar>
            <w:shd w:fill="EDF2F8"/>
          </w:tcPr>
          <w:p>
            <w:r>
              <w:rPr>
                <w:color w:val="333333"/>
              </w:rPr>
              <w:t>Total transit distance covered by the delivery route in kilometers.</w:t>
            </w:r>
          </w:p>
        </w:tc>
      </w:tr>
      <w:tr>
        <w:trPr>
          <w:cantSplit/>
        </w:trPr>
        <w:tc>
          <w:tcPr>
            <w:tcW w:type="dxa" w:w="3120"/>
            <w:vAlign w:val="center"/>
            <w:tcMar>
              <w:top w:w="120" w:type="dxa"/>
              <w:bottom w:w="120" w:type="dxa"/>
              <w:left w:w="150" w:type="dxa"/>
              <w:right w:w="150" w:type="dxa"/>
            </w:tcMar>
            <w:shd w:fill="F9FAFB"/>
          </w:tcPr>
          <w:p>
            <w:r>
              <w:rPr>
                <w:color w:val="333333"/>
              </w:rPr>
              <w:t>Shipment_Weight_kg</w:t>
            </w:r>
          </w:p>
        </w:tc>
        <w:tc>
          <w:tcPr>
            <w:tcW w:type="dxa" w:w="3120"/>
            <w:vAlign w:val="center"/>
            <w:tcMar>
              <w:top w:w="120" w:type="dxa"/>
              <w:bottom w:w="120" w:type="dxa"/>
              <w:left w:w="150" w:type="dxa"/>
              <w:right w:w="150" w:type="dxa"/>
            </w:tcMar>
            <w:shd w:fill="F9FAFB"/>
          </w:tcPr>
          <w:p>
            <w:r>
              <w:rPr>
                <w:color w:val="333333"/>
              </w:rPr>
              <w:t>Numerical (Continuous)</w:t>
            </w:r>
          </w:p>
        </w:tc>
        <w:tc>
          <w:tcPr>
            <w:tcW w:type="dxa" w:w="3120"/>
            <w:vAlign w:val="center"/>
            <w:tcMar>
              <w:top w:w="120" w:type="dxa"/>
              <w:bottom w:w="120" w:type="dxa"/>
              <w:left w:w="150" w:type="dxa"/>
              <w:right w:w="150" w:type="dxa"/>
            </w:tcMar>
            <w:shd w:fill="F9FAFB"/>
          </w:tcPr>
          <w:p>
            <w:r>
              <w:rPr>
                <w:color w:val="333333"/>
              </w:rPr>
              <w:t>Gross weight of payload measured in kilograms.</w:t>
            </w:r>
          </w:p>
        </w:tc>
      </w:tr>
      <w:tr>
        <w:trPr>
          <w:cantSplit/>
        </w:trPr>
        <w:tc>
          <w:tcPr>
            <w:tcW w:type="dxa" w:w="3120"/>
            <w:vAlign w:val="center"/>
            <w:tcMar>
              <w:top w:w="120" w:type="dxa"/>
              <w:bottom w:w="120" w:type="dxa"/>
              <w:left w:w="150" w:type="dxa"/>
              <w:right w:w="150" w:type="dxa"/>
            </w:tcMar>
            <w:shd w:fill="EDF2F8"/>
          </w:tcPr>
          <w:p>
            <w:r>
              <w:rPr>
                <w:color w:val="333333"/>
              </w:rPr>
              <w:t>Traffic_Level</w:t>
            </w:r>
          </w:p>
        </w:tc>
        <w:tc>
          <w:tcPr>
            <w:tcW w:type="dxa" w:w="3120"/>
            <w:vAlign w:val="center"/>
            <w:tcMar>
              <w:top w:w="120" w:type="dxa"/>
              <w:bottom w:w="120" w:type="dxa"/>
              <w:left w:w="150" w:type="dxa"/>
              <w:right w:w="150" w:type="dxa"/>
            </w:tcMar>
            <w:shd w:fill="EDF2F8"/>
          </w:tcPr>
          <w:p>
            <w:r>
              <w:rPr>
                <w:color w:val="333333"/>
              </w:rPr>
              <w:t>Numerical (Discrete)</w:t>
            </w:r>
          </w:p>
        </w:tc>
        <w:tc>
          <w:tcPr>
            <w:tcW w:type="dxa" w:w="3120"/>
            <w:vAlign w:val="center"/>
            <w:tcMar>
              <w:top w:w="120" w:type="dxa"/>
              <w:bottom w:w="120" w:type="dxa"/>
              <w:left w:w="150" w:type="dxa"/>
              <w:right w:w="150" w:type="dxa"/>
            </w:tcMar>
            <w:shd w:fill="EDF2F8"/>
          </w:tcPr>
          <w:p>
            <w:r>
              <w:rPr>
                <w:color w:val="333333"/>
              </w:rPr>
              <w:t>Quantified traffic congestion severity index scaled from 1 (Low) to 10 (High).</w:t>
            </w:r>
          </w:p>
        </w:tc>
      </w:tr>
      <w:tr>
        <w:trPr>
          <w:cantSplit/>
        </w:trPr>
        <w:tc>
          <w:tcPr>
            <w:tcW w:type="dxa" w:w="3120"/>
            <w:vAlign w:val="center"/>
            <w:tcMar>
              <w:top w:w="120" w:type="dxa"/>
              <w:bottom w:w="120" w:type="dxa"/>
              <w:left w:w="150" w:type="dxa"/>
              <w:right w:w="150" w:type="dxa"/>
            </w:tcMar>
            <w:shd w:fill="F9FAFB"/>
          </w:tcPr>
          <w:p>
            <w:r>
              <w:rPr>
                <w:color w:val="333333"/>
              </w:rPr>
              <w:t>Weather_Risk</w:t>
            </w:r>
          </w:p>
        </w:tc>
        <w:tc>
          <w:tcPr>
            <w:tcW w:type="dxa" w:w="3120"/>
            <w:vAlign w:val="center"/>
            <w:tcMar>
              <w:top w:w="120" w:type="dxa"/>
              <w:bottom w:w="120" w:type="dxa"/>
              <w:left w:w="150" w:type="dxa"/>
              <w:right w:w="150" w:type="dxa"/>
            </w:tcMar>
            <w:shd w:fill="F9FAFB"/>
          </w:tcPr>
          <w:p>
            <w:r>
              <w:rPr>
                <w:color w:val="333333"/>
              </w:rPr>
              <w:t>Numerical (Discrete)</w:t>
            </w:r>
          </w:p>
        </w:tc>
        <w:tc>
          <w:tcPr>
            <w:tcW w:type="dxa" w:w="3120"/>
            <w:vAlign w:val="center"/>
            <w:tcMar>
              <w:top w:w="120" w:type="dxa"/>
              <w:bottom w:w="120" w:type="dxa"/>
              <w:left w:w="150" w:type="dxa"/>
              <w:right w:w="150" w:type="dxa"/>
            </w:tcMar>
            <w:shd w:fill="F9FAFB"/>
          </w:tcPr>
          <w:p>
            <w:r>
              <w:rPr>
                <w:color w:val="333333"/>
              </w:rPr>
              <w:t>Environmental hazard risk scale ranging from 1 (Clear) to 5 (Severe).</w:t>
            </w:r>
          </w:p>
        </w:tc>
      </w:tr>
      <w:tr>
        <w:trPr>
          <w:cantSplit/>
        </w:trPr>
        <w:tc>
          <w:tcPr>
            <w:tcW w:type="dxa" w:w="3120"/>
            <w:vAlign w:val="center"/>
            <w:tcMar>
              <w:top w:w="120" w:type="dxa"/>
              <w:bottom w:w="120" w:type="dxa"/>
              <w:left w:w="150" w:type="dxa"/>
              <w:right w:w="150" w:type="dxa"/>
            </w:tcMar>
            <w:shd w:fill="EDF2F8"/>
          </w:tcPr>
          <w:p>
            <w:r>
              <w:rPr>
                <w:color w:val="333333"/>
              </w:rPr>
              <w:t>Number_of_Stops</w:t>
            </w:r>
          </w:p>
        </w:tc>
        <w:tc>
          <w:tcPr>
            <w:tcW w:type="dxa" w:w="3120"/>
            <w:vAlign w:val="center"/>
            <w:tcMar>
              <w:top w:w="120" w:type="dxa"/>
              <w:bottom w:w="120" w:type="dxa"/>
              <w:left w:w="150" w:type="dxa"/>
              <w:right w:w="150" w:type="dxa"/>
            </w:tcMar>
            <w:shd w:fill="EDF2F8"/>
          </w:tcPr>
          <w:p>
            <w:r>
              <w:rPr>
                <w:color w:val="333333"/>
              </w:rPr>
              <w:t>Numerical (Discrete)</w:t>
            </w:r>
          </w:p>
        </w:tc>
        <w:tc>
          <w:tcPr>
            <w:tcW w:type="dxa" w:w="3120"/>
            <w:vAlign w:val="center"/>
            <w:tcMar>
              <w:top w:w="120" w:type="dxa"/>
              <w:bottom w:w="120" w:type="dxa"/>
              <w:left w:w="150" w:type="dxa"/>
              <w:right w:w="150" w:type="dxa"/>
            </w:tcMar>
            <w:shd w:fill="EDF2F8"/>
          </w:tcPr>
          <w:p>
            <w:r>
              <w:rPr>
                <w:color w:val="333333"/>
              </w:rPr>
              <w:t>Number of intermediate drop-offs or handovers on the delivery path.</w:t>
            </w:r>
          </w:p>
        </w:tc>
      </w:tr>
      <w:tr>
        <w:trPr>
          <w:cantSplit/>
        </w:trPr>
        <w:tc>
          <w:tcPr>
            <w:tcW w:type="dxa" w:w="3120"/>
            <w:vAlign w:val="center"/>
            <w:tcMar>
              <w:top w:w="120" w:type="dxa"/>
              <w:bottom w:w="120" w:type="dxa"/>
              <w:left w:w="150" w:type="dxa"/>
              <w:right w:w="150" w:type="dxa"/>
            </w:tcMar>
            <w:shd w:fill="F9FAFB"/>
          </w:tcPr>
          <w:p>
            <w:r>
              <w:rPr>
                <w:color w:val="333333"/>
              </w:rPr>
              <w:t>Vehicle_Age_Years</w:t>
            </w:r>
          </w:p>
        </w:tc>
        <w:tc>
          <w:tcPr>
            <w:tcW w:type="dxa" w:w="3120"/>
            <w:vAlign w:val="center"/>
            <w:tcMar>
              <w:top w:w="120" w:type="dxa"/>
              <w:bottom w:w="120" w:type="dxa"/>
              <w:left w:w="150" w:type="dxa"/>
              <w:right w:w="150" w:type="dxa"/>
            </w:tcMar>
            <w:shd w:fill="F9FAFB"/>
          </w:tcPr>
          <w:p>
            <w:r>
              <w:rPr>
                <w:color w:val="333333"/>
              </w:rPr>
              <w:t>Numerical (Continuous)</w:t>
            </w:r>
          </w:p>
        </w:tc>
        <w:tc>
          <w:tcPr>
            <w:tcW w:type="dxa" w:w="3120"/>
            <w:vAlign w:val="center"/>
            <w:tcMar>
              <w:top w:w="120" w:type="dxa"/>
              <w:bottom w:w="120" w:type="dxa"/>
              <w:left w:w="150" w:type="dxa"/>
              <w:right w:w="150" w:type="dxa"/>
            </w:tcMar>
            <w:shd w:fill="F9FAFB"/>
          </w:tcPr>
          <w:p>
            <w:r>
              <w:rPr>
                <w:color w:val="333333"/>
              </w:rPr>
              <w:t>Age of the delivery transport vehicle in years.</w:t>
            </w:r>
          </w:p>
        </w:tc>
      </w:tr>
      <w:tr>
        <w:trPr>
          <w:cantSplit/>
        </w:trPr>
        <w:tc>
          <w:tcPr>
            <w:tcW w:type="dxa" w:w="3120"/>
            <w:vAlign w:val="center"/>
            <w:tcMar>
              <w:top w:w="120" w:type="dxa"/>
              <w:bottom w:w="120" w:type="dxa"/>
              <w:left w:w="150" w:type="dxa"/>
              <w:right w:w="150" w:type="dxa"/>
            </w:tcMar>
            <w:shd w:fill="EDF2F8"/>
          </w:tcPr>
          <w:p>
            <w:r>
              <w:rPr>
                <w:color w:val="333333"/>
              </w:rPr>
              <w:t>Warehouse_Delay_Hours</w:t>
            </w:r>
          </w:p>
        </w:tc>
        <w:tc>
          <w:tcPr>
            <w:tcW w:type="dxa" w:w="3120"/>
            <w:vAlign w:val="center"/>
            <w:tcMar>
              <w:top w:w="120" w:type="dxa"/>
              <w:bottom w:w="120" w:type="dxa"/>
              <w:left w:w="150" w:type="dxa"/>
              <w:right w:w="150" w:type="dxa"/>
            </w:tcMar>
            <w:shd w:fill="EDF2F8"/>
          </w:tcPr>
          <w:p>
            <w:r>
              <w:rPr>
                <w:color w:val="333333"/>
              </w:rPr>
              <w:t>Numerical (Continuous)</w:t>
            </w:r>
          </w:p>
        </w:tc>
        <w:tc>
          <w:tcPr>
            <w:tcW w:type="dxa" w:w="3120"/>
            <w:vAlign w:val="center"/>
            <w:tcMar>
              <w:top w:w="120" w:type="dxa"/>
              <w:bottom w:w="120" w:type="dxa"/>
              <w:left w:w="150" w:type="dxa"/>
              <w:right w:w="150" w:type="dxa"/>
            </w:tcMar>
            <w:shd w:fill="EDF2F8"/>
          </w:tcPr>
          <w:p>
            <w:r>
              <w:rPr>
                <w:color w:val="333333"/>
              </w:rPr>
              <w:t>Elapsed latency during staging, loading, and clearance at dispatch hub.</w:t>
            </w:r>
          </w:p>
        </w:tc>
      </w:tr>
      <w:tr>
        <w:trPr>
          <w:cantSplit/>
        </w:trPr>
        <w:tc>
          <w:tcPr>
            <w:tcW w:type="dxa" w:w="3120"/>
            <w:vAlign w:val="center"/>
            <w:tcMar>
              <w:top w:w="120" w:type="dxa"/>
              <w:bottom w:w="120" w:type="dxa"/>
              <w:left w:w="150" w:type="dxa"/>
              <w:right w:w="150" w:type="dxa"/>
            </w:tcMar>
            <w:shd w:fill="F9FAFB"/>
          </w:tcPr>
          <w:p>
            <w:r>
              <w:rPr>
                <w:color w:val="333333"/>
              </w:rPr>
              <w:t>Priority</w:t>
            </w:r>
          </w:p>
        </w:tc>
        <w:tc>
          <w:tcPr>
            <w:tcW w:type="dxa" w:w="3120"/>
            <w:vAlign w:val="center"/>
            <w:tcMar>
              <w:top w:w="120" w:type="dxa"/>
              <w:bottom w:w="120" w:type="dxa"/>
              <w:left w:w="150" w:type="dxa"/>
              <w:right w:w="150" w:type="dxa"/>
            </w:tcMar>
            <w:shd w:fill="F9FAFB"/>
          </w:tcPr>
          <w:p>
            <w:r>
              <w:rPr>
                <w:color w:val="333333"/>
              </w:rPr>
              <w:t>Categorical (Binary)</w:t>
            </w:r>
          </w:p>
        </w:tc>
        <w:tc>
          <w:tcPr>
            <w:tcW w:type="dxa" w:w="3120"/>
            <w:vAlign w:val="center"/>
            <w:tcMar>
              <w:top w:w="120" w:type="dxa"/>
              <w:bottom w:w="120" w:type="dxa"/>
              <w:left w:w="150" w:type="dxa"/>
              <w:right w:w="150" w:type="dxa"/>
            </w:tcMar>
            <w:shd w:fill="F9FAFB"/>
          </w:tcPr>
          <w:p>
            <w:r>
              <w:rPr>
                <w:color w:val="333333"/>
              </w:rPr>
              <w:t>Shipment urgency classification: Standard or Express.</w:t>
            </w:r>
          </w:p>
        </w:tc>
      </w:tr>
      <w:tr>
        <w:trPr>
          <w:cantSplit/>
        </w:trPr>
        <w:tc>
          <w:tcPr>
            <w:tcW w:type="dxa" w:w="3120"/>
            <w:vAlign w:val="center"/>
            <w:tcMar>
              <w:top w:w="120" w:type="dxa"/>
              <w:bottom w:w="120" w:type="dxa"/>
              <w:left w:w="150" w:type="dxa"/>
              <w:right w:w="150" w:type="dxa"/>
            </w:tcMar>
            <w:shd w:fill="EDF2F8"/>
          </w:tcPr>
          <w:p>
            <w:r>
              <w:rPr>
                <w:color w:val="333333"/>
              </w:rPr>
              <w:t>Delivery_Time_Hours</w:t>
            </w:r>
          </w:p>
        </w:tc>
        <w:tc>
          <w:tcPr>
            <w:tcW w:type="dxa" w:w="3120"/>
            <w:vAlign w:val="center"/>
            <w:tcMar>
              <w:top w:w="120" w:type="dxa"/>
              <w:bottom w:w="120" w:type="dxa"/>
              <w:left w:w="150" w:type="dxa"/>
              <w:right w:w="150" w:type="dxa"/>
            </w:tcMar>
            <w:shd w:fill="EDF2F8"/>
          </w:tcPr>
          <w:p>
            <w:r>
              <w:rPr>
                <w:color w:val="333333"/>
              </w:rPr>
              <w:t>Numerical (Target)</w:t>
            </w:r>
          </w:p>
        </w:tc>
        <w:tc>
          <w:tcPr>
            <w:tcW w:type="dxa" w:w="3120"/>
            <w:vAlign w:val="center"/>
            <w:tcMar>
              <w:top w:w="120" w:type="dxa"/>
              <w:bottom w:w="120" w:type="dxa"/>
              <w:left w:w="150" w:type="dxa"/>
              <w:right w:w="150" w:type="dxa"/>
            </w:tcMar>
            <w:shd w:fill="EDF2F8"/>
          </w:tcPr>
          <w:p>
            <w:r>
              <w:rPr>
                <w:color w:val="333333"/>
              </w:rPr>
              <w:t>Total calculated delivery duration in hours (Target Variable).</w:t>
            </w:r>
          </w:p>
        </w:tc>
      </w:tr>
    </w:tbl>
    <w:p>
      <w:pPr>
        <w:jc w:val="center"/>
      </w:pPr>
      <w:r>
        <w:rPr>
          <w:i/>
          <w:sz w:val="19"/>
        </w:rPr>
        <w:t>Table 1: Dataset Feature Descriptions &amp; Data Types</w:t>
      </w:r>
    </w:p>
    <w:p>
      <w:pPr>
        <w:keepNext/>
        <w:spacing w:before="280" w:after="120"/>
      </w:pPr>
      <w:r>
        <w:rPr>
          <w:rFonts w:ascii="Calibri" w:hAnsi="Calibri"/>
          <w:b/>
          <w:color w:val="1F4E78"/>
          <w:sz w:val="36"/>
        </w:rPr>
        <w:t>3. Exploratory Data Analysis (EDA)</w:t>
      </w:r>
    </w:p>
    <w:p>
      <w:r>
        <w:t>Preliminary data analysis confirmed that the simulated dataset contains 400 rows and 10 columns without missing values. Descriptive statistical evaluation shows continuous distance metrics ranging from 10 km to ~800 km, traffic scores distributed between 1 and 10, and target delivery times spanning from short local trips (~8 hours) to multi-day transits (~30 hours).</w:t>
      </w:r>
    </w:p>
    <w:p>
      <w:pPr>
        <w:pStyle w:val="ListBullet"/>
        <w:spacing w:after="80"/>
      </w:pPr>
      <w:r>
        <w:rPr>
          <w:b/>
        </w:rPr>
        <w:t>400 rows</w:t>
      </w:r>
      <w:r/>
    </w:p>
    <w:p>
      <w:pPr>
        <w:pStyle w:val="ListBullet"/>
        <w:spacing w:after="80"/>
      </w:pPr>
      <w:r>
        <w:rPr>
          <w:b/>
        </w:rPr>
        <w:t>0 null values detected across all columns</w:t>
      </w:r>
      <w:r/>
    </w:p>
    <w:p>
      <w:pPr>
        <w:pStyle w:val="ListBullet"/>
        <w:spacing w:after="80"/>
      </w:pPr>
      <w:r>
        <w:rPr>
          <w:b/>
        </w:rPr>
        <w:t>19.35 hours</w:t>
      </w:r>
      <w:r/>
    </w:p>
    <w:p>
      <w:pPr>
        <w:pStyle w:val="ListBullet"/>
        <w:spacing w:after="80"/>
      </w:pPr>
      <w:r>
        <w:rPr>
          <w:b/>
        </w:rPr>
        <w:t>5.67 hours</w:t>
      </w:r>
      <w:r/>
    </w:p>
    <w:p>
      <w:pPr>
        <w:keepNext/>
        <w:spacing w:before="280" w:after="120"/>
      </w:pPr>
      <w:r>
        <w:rPr>
          <w:rFonts w:ascii="Calibri" w:hAnsi="Calibri"/>
          <w:b/>
          <w:color w:val="1F4E78"/>
          <w:sz w:val="36"/>
        </w:rPr>
        <w:t>4. Data Preprocessing</w:t>
      </w:r>
    </w:p>
    <w:p>
      <w:r>
        <w:t>Data preprocessing was conducted to format features appropriately for machine learning algorithms:</w:t>
      </w:r>
    </w:p>
    <w:p>
      <w:pPr>
        <w:pStyle w:val="ListBullet"/>
        <w:spacing w:after="80"/>
      </w:pPr>
      <w:r>
        <w:rPr>
          <w:b/>
        </w:rPr>
        <w:t>Shipment_ID was removed as a non-informative administrative index. Delivery_Time_Hours was isolated as the target label y.</w:t>
      </w:r>
      <w:r/>
    </w:p>
    <w:p>
      <w:pPr>
        <w:pStyle w:val="ListBullet"/>
        <w:spacing w:after="80"/>
      </w:pPr>
      <w:r>
        <w:rPr>
          <w:b/>
        </w:rPr>
        <w:t>The dataset was split using an 80/20 ratio (320 training samples, 80 testing samples) with a random state of 42.</w:t>
      </w:r>
      <w:r/>
    </w:p>
    <w:p>
      <w:pPr>
        <w:pStyle w:val="ListBullet"/>
        <w:spacing w:after="80"/>
      </w:pPr>
      <w:r>
        <w:rPr>
          <w:b/>
        </w:rPr>
        <w:t>StandardScaler was applied to continuous numerical variables to standardise mean to 0 and variance to 1.</w:t>
      </w:r>
      <w:r/>
    </w:p>
    <w:p>
      <w:pPr>
        <w:pStyle w:val="ListBullet"/>
        <w:spacing w:after="80"/>
      </w:pPr>
      <w:r>
        <w:rPr>
          <w:b/>
        </w:rPr>
        <w:t>OneHotEncoder(drop='first') was applied to the binary Priority feature to generate numerical dummy representations.</w:t>
      </w:r>
      <w:r/>
    </w:p>
    <w:p>
      <w:pPr>
        <w:pStyle w:val="ListBullet"/>
        <w:spacing w:after="80"/>
      </w:pPr>
      <w:r>
        <w:rPr>
          <w:b/>
        </w:rPr>
        <w:t>Preprocessing steps and downstream estimators were encapsulated in a clean ColumnTransformer and Pipeline structure to prevent data leakage.</w:t>
      </w:r>
      <w:r/>
    </w:p>
    <w:p>
      <w:pPr>
        <w:keepNext/>
        <w:spacing w:before="280" w:after="120"/>
      </w:pPr>
      <w:r>
        <w:rPr>
          <w:rFonts w:ascii="Calibri" w:hAnsi="Calibri"/>
          <w:b/>
          <w:color w:val="1F4E78"/>
          <w:sz w:val="36"/>
        </w:rPr>
        <w:t>5. Model Selection</w:t>
      </w:r>
    </w:p>
    <w:p>
      <w:r>
        <w:t>Two distinct machine learning regression algorithms were selected to model delivery duration:</w:t>
      </w:r>
    </w:p>
    <w:p>
      <w:pPr>
        <w:keepNext/>
        <w:spacing w:before="240" w:after="80"/>
      </w:pPr>
      <w:r>
        <w:rPr>
          <w:rFonts w:ascii="Calibri" w:hAnsi="Calibri"/>
          <w:b/>
          <w:color w:val="2E75B6"/>
          <w:sz w:val="28"/>
        </w:rPr>
        <w:t>5.1 Model 1: Linear Regression</w:t>
      </w:r>
    </w:p>
    <w:p>
      <w:r>
        <w:t>Linear Regression models the target variable as a linear combination of input features. It serves as an essential baseline model, offering high interpretability and low computational cost. However, it assumes strict linearity and independence among variables, which may restrict performance on complex multi-variable interactions.</w:t>
      </w:r>
    </w:p>
    <w:p>
      <w:pPr>
        <w:keepNext/>
        <w:spacing w:before="240" w:after="80"/>
      </w:pPr>
      <w:r>
        <w:rPr>
          <w:rFonts w:ascii="Calibri" w:hAnsi="Calibri"/>
          <w:b/>
          <w:color w:val="2E75B6"/>
          <w:sz w:val="28"/>
        </w:rPr>
        <w:t>5.2 Model 2: Random Forest Regressor</w:t>
      </w:r>
    </w:p>
    <w:p>
      <w:r>
        <w:t>Random Forest is an ensemble learning approach based on decision trees. It excels at capturing non-linear relationships, multi-feature interactions, and non-monotonic logistics behaviors (e.g., compound delays during peak traffic). It provides high accuracy and resilience against overfitting.</w:t>
      </w:r>
    </w:p>
    <w:p>
      <w:pPr>
        <w:keepNext/>
        <w:spacing w:before="280" w:after="120"/>
      </w:pPr>
      <w:r>
        <w:rPr>
          <w:rFonts w:ascii="Calibri" w:hAnsi="Calibri"/>
          <w:b/>
          <w:color w:val="1F4E78"/>
          <w:sz w:val="36"/>
        </w:rPr>
        <w:t>6. Model Training and Evaluation</w:t>
      </w:r>
    </w:p>
    <w:p>
      <w:r>
        <w:t>Both models were trained on the training set (320 samples) and evaluated on the holdout test set (80 samples). Evaluation metrics include:</w:t>
      </w:r>
    </w:p>
    <w:p>
      <w:pPr>
        <w:pStyle w:val="ListBullet"/>
        <w:spacing w:after="80"/>
      </w:pPr>
      <w:r>
        <w:rPr>
          <w:b/>
        </w:rPr>
        <w:t>Average magnitude of errors in predicted hours.</w:t>
      </w:r>
      <w:r/>
    </w:p>
    <w:p>
      <w:pPr>
        <w:pStyle w:val="ListBullet"/>
        <w:spacing w:after="80"/>
      </w:pPr>
      <w:r>
        <w:rPr>
          <w:b/>
        </w:rPr>
        <w:t>Square root of average squared errors, penalizing larger deviations more heavily.</w:t>
      </w:r>
      <w:r/>
    </w:p>
    <w:p>
      <w:pPr>
        <w:pStyle w:val="ListBullet"/>
        <w:spacing w:after="80"/>
      </w:pPr>
      <w:r>
        <w:rPr>
          <w:b/>
        </w:rPr>
        <w:t>Proportion of total target variance explained by model features.</w:t>
      </w:r>
      <w:r/>
    </w:p>
    <w:tbl>
      <w:tblPr>
        <w:tblW w:type="auto" w:w="0"/>
        <w:jc w:val="center"/>
        <w:tblLook w:firstColumn="1" w:firstRow="1" w:lastColumn="0" w:lastRow="0" w:noHBand="0" w:noVBand="1" w:val="04A0"/>
      </w:tblPr>
      <w:tblGrid>
        <w:gridCol w:w="2340"/>
        <w:gridCol w:w="2340"/>
        <w:gridCol w:w="2340"/>
        <w:gridCol w:w="2340"/>
      </w:tblGrid>
      <w:tr>
        <w:trPr>
          <w:cantSplit/>
        </w:trPr>
        <w:tc>
          <w:tcPr>
            <w:tcW w:type="dxa" w:w="2340"/>
            <w:vAlign w:val="center"/>
            <w:tcMar>
              <w:top w:w="120" w:type="dxa"/>
              <w:bottom w:w="120" w:type="dxa"/>
              <w:left w:w="150" w:type="dxa"/>
              <w:right w:w="150" w:type="dxa"/>
            </w:tcMar>
            <w:shd w:fill="1F4E78"/>
          </w:tcPr>
          <w:p>
            <w:pPr>
              <w:jc w:val="left"/>
            </w:pPr>
            <w:r>
              <w:rPr>
                <w:b/>
                <w:color w:val="FFFFFF"/>
              </w:rPr>
              <w:t>Model Architecture</w:t>
            </w:r>
          </w:p>
        </w:tc>
        <w:tc>
          <w:tcPr>
            <w:tcW w:type="dxa" w:w="2340"/>
            <w:vAlign w:val="center"/>
            <w:tcMar>
              <w:top w:w="120" w:type="dxa"/>
              <w:bottom w:w="120" w:type="dxa"/>
              <w:left w:w="150" w:type="dxa"/>
              <w:right w:w="150" w:type="dxa"/>
            </w:tcMar>
            <w:shd w:fill="1F4E78"/>
          </w:tcPr>
          <w:p>
            <w:pPr>
              <w:jc w:val="left"/>
            </w:pPr>
            <w:r>
              <w:rPr>
                <w:b/>
                <w:color w:val="FFFFFF"/>
              </w:rPr>
              <w:t>MAE (Hours)</w:t>
            </w:r>
          </w:p>
        </w:tc>
        <w:tc>
          <w:tcPr>
            <w:tcW w:type="dxa" w:w="2340"/>
            <w:vAlign w:val="center"/>
            <w:tcMar>
              <w:top w:w="120" w:type="dxa"/>
              <w:bottom w:w="120" w:type="dxa"/>
              <w:left w:w="150" w:type="dxa"/>
              <w:right w:w="150" w:type="dxa"/>
            </w:tcMar>
            <w:shd w:fill="1F4E78"/>
          </w:tcPr>
          <w:p>
            <w:pPr>
              <w:jc w:val="left"/>
            </w:pPr>
            <w:r>
              <w:rPr>
                <w:b/>
                <w:color w:val="FFFFFF"/>
              </w:rPr>
              <w:t>RMSE (Hours)</w:t>
            </w:r>
          </w:p>
        </w:tc>
        <w:tc>
          <w:tcPr>
            <w:tcW w:type="dxa" w:w="2340"/>
            <w:vAlign w:val="center"/>
            <w:tcMar>
              <w:top w:w="120" w:type="dxa"/>
              <w:bottom w:w="120" w:type="dxa"/>
              <w:left w:w="150" w:type="dxa"/>
              <w:right w:w="150" w:type="dxa"/>
            </w:tcMar>
            <w:shd w:fill="1F4E78"/>
          </w:tcPr>
          <w:p>
            <w:pPr>
              <w:jc w:val="left"/>
            </w:pPr>
            <w:r>
              <w:rPr>
                <w:b/>
                <w:color w:val="FFFFFF"/>
              </w:rPr>
              <w:t>R² Score</w:t>
            </w:r>
          </w:p>
        </w:tc>
      </w:tr>
      <w:tr>
        <w:trPr>
          <w:cantSplit/>
        </w:trPr>
        <w:tc>
          <w:tcPr>
            <w:tcW w:type="dxa" w:w="2340"/>
            <w:vAlign w:val="center"/>
            <w:tcMar>
              <w:top w:w="120" w:type="dxa"/>
              <w:bottom w:w="120" w:type="dxa"/>
              <w:left w:w="150" w:type="dxa"/>
              <w:right w:w="150" w:type="dxa"/>
            </w:tcMar>
            <w:shd w:fill="F9FAFB"/>
          </w:tcPr>
          <w:p>
            <w:r>
              <w:rPr>
                <w:color w:val="333333"/>
              </w:rPr>
              <w:t>Linear Regression (Baseline)</w:t>
            </w:r>
          </w:p>
        </w:tc>
        <w:tc>
          <w:tcPr>
            <w:tcW w:type="dxa" w:w="2340"/>
            <w:vAlign w:val="center"/>
            <w:tcMar>
              <w:top w:w="120" w:type="dxa"/>
              <w:bottom w:w="120" w:type="dxa"/>
              <w:left w:w="150" w:type="dxa"/>
              <w:right w:w="150" w:type="dxa"/>
            </w:tcMar>
            <w:shd w:fill="F9FAFB"/>
          </w:tcPr>
          <w:p>
            <w:r>
              <w:rPr>
                <w:color w:val="333333"/>
              </w:rPr>
              <w:t>1.063</w:t>
            </w:r>
          </w:p>
        </w:tc>
        <w:tc>
          <w:tcPr>
            <w:tcW w:type="dxa" w:w="2340"/>
            <w:vAlign w:val="center"/>
            <w:tcMar>
              <w:top w:w="120" w:type="dxa"/>
              <w:bottom w:w="120" w:type="dxa"/>
              <w:left w:w="150" w:type="dxa"/>
              <w:right w:w="150" w:type="dxa"/>
            </w:tcMar>
            <w:shd w:fill="F9FAFB"/>
          </w:tcPr>
          <w:p>
            <w:r>
              <w:rPr>
                <w:color w:val="333333"/>
              </w:rPr>
              <w:t>1.303</w:t>
            </w:r>
          </w:p>
        </w:tc>
        <w:tc>
          <w:tcPr>
            <w:tcW w:type="dxa" w:w="2340"/>
            <w:vAlign w:val="center"/>
            <w:tcMar>
              <w:top w:w="120" w:type="dxa"/>
              <w:bottom w:w="120" w:type="dxa"/>
              <w:left w:w="150" w:type="dxa"/>
              <w:right w:w="150" w:type="dxa"/>
            </w:tcMar>
            <w:shd w:fill="F9FAFB"/>
          </w:tcPr>
          <w:p>
            <w:r>
              <w:rPr>
                <w:color w:val="333333"/>
              </w:rPr>
              <w:t>0.944</w:t>
            </w:r>
          </w:p>
        </w:tc>
      </w:tr>
      <w:tr>
        <w:trPr>
          <w:cantSplit/>
        </w:trPr>
        <w:tc>
          <w:tcPr>
            <w:tcW w:type="dxa" w:w="2340"/>
            <w:vAlign w:val="center"/>
            <w:tcMar>
              <w:top w:w="120" w:type="dxa"/>
              <w:bottom w:w="120" w:type="dxa"/>
              <w:left w:w="150" w:type="dxa"/>
              <w:right w:w="150" w:type="dxa"/>
            </w:tcMar>
            <w:shd w:fill="EDF2F8"/>
          </w:tcPr>
          <w:p>
            <w:r>
              <w:rPr>
                <w:color w:val="333333"/>
              </w:rPr>
              <w:t>Random Forest (Baseline)</w:t>
            </w:r>
          </w:p>
        </w:tc>
        <w:tc>
          <w:tcPr>
            <w:tcW w:type="dxa" w:w="2340"/>
            <w:vAlign w:val="center"/>
            <w:tcMar>
              <w:top w:w="120" w:type="dxa"/>
              <w:bottom w:w="120" w:type="dxa"/>
              <w:left w:w="150" w:type="dxa"/>
              <w:right w:w="150" w:type="dxa"/>
            </w:tcMar>
            <w:shd w:fill="EDF2F8"/>
          </w:tcPr>
          <w:p>
            <w:r>
              <w:rPr>
                <w:color w:val="333333"/>
              </w:rPr>
              <w:t>1.764</w:t>
            </w:r>
          </w:p>
        </w:tc>
        <w:tc>
          <w:tcPr>
            <w:tcW w:type="dxa" w:w="2340"/>
            <w:vAlign w:val="center"/>
            <w:tcMar>
              <w:top w:w="120" w:type="dxa"/>
              <w:bottom w:w="120" w:type="dxa"/>
              <w:left w:w="150" w:type="dxa"/>
              <w:right w:w="150" w:type="dxa"/>
            </w:tcMar>
            <w:shd w:fill="EDF2F8"/>
          </w:tcPr>
          <w:p>
            <w:r>
              <w:rPr>
                <w:color w:val="333333"/>
              </w:rPr>
              <w:t>2.141</w:t>
            </w:r>
          </w:p>
        </w:tc>
        <w:tc>
          <w:tcPr>
            <w:tcW w:type="dxa" w:w="2340"/>
            <w:vAlign w:val="center"/>
            <w:tcMar>
              <w:top w:w="120" w:type="dxa"/>
              <w:bottom w:w="120" w:type="dxa"/>
              <w:left w:w="150" w:type="dxa"/>
              <w:right w:w="150" w:type="dxa"/>
            </w:tcMar>
            <w:shd w:fill="EDF2F8"/>
          </w:tcPr>
          <w:p>
            <w:r>
              <w:rPr>
                <w:color w:val="333333"/>
              </w:rPr>
              <w:t>0.849</w:t>
            </w:r>
          </w:p>
        </w:tc>
      </w:tr>
      <w:tr>
        <w:trPr>
          <w:cantSplit/>
        </w:trPr>
        <w:tc>
          <w:tcPr>
            <w:tcW w:type="dxa" w:w="2340"/>
            <w:vAlign w:val="center"/>
            <w:tcMar>
              <w:top w:w="120" w:type="dxa"/>
              <w:bottom w:w="120" w:type="dxa"/>
              <w:left w:w="150" w:type="dxa"/>
              <w:right w:w="150" w:type="dxa"/>
            </w:tcMar>
            <w:shd w:fill="F9FAFB"/>
          </w:tcPr>
          <w:p>
            <w:r>
              <w:rPr>
                <w:color w:val="333333"/>
              </w:rPr>
              <w:t>Random Forest (Tuned)</w:t>
            </w:r>
          </w:p>
        </w:tc>
        <w:tc>
          <w:tcPr>
            <w:tcW w:type="dxa" w:w="2340"/>
            <w:vAlign w:val="center"/>
            <w:tcMar>
              <w:top w:w="120" w:type="dxa"/>
              <w:bottom w:w="120" w:type="dxa"/>
              <w:left w:w="150" w:type="dxa"/>
              <w:right w:w="150" w:type="dxa"/>
            </w:tcMar>
            <w:shd w:fill="F9FAFB"/>
          </w:tcPr>
          <w:p>
            <w:r>
              <w:rPr>
                <w:color w:val="333333"/>
              </w:rPr>
              <w:t>1.737</w:t>
            </w:r>
          </w:p>
        </w:tc>
        <w:tc>
          <w:tcPr>
            <w:tcW w:type="dxa" w:w="2340"/>
            <w:vAlign w:val="center"/>
            <w:tcMar>
              <w:top w:w="120" w:type="dxa"/>
              <w:bottom w:w="120" w:type="dxa"/>
              <w:left w:w="150" w:type="dxa"/>
              <w:right w:w="150" w:type="dxa"/>
            </w:tcMar>
            <w:shd w:fill="F9FAFB"/>
          </w:tcPr>
          <w:p>
            <w:r>
              <w:rPr>
                <w:color w:val="333333"/>
              </w:rPr>
              <w:t>2.102</w:t>
            </w:r>
          </w:p>
        </w:tc>
        <w:tc>
          <w:tcPr>
            <w:tcW w:type="dxa" w:w="2340"/>
            <w:vAlign w:val="center"/>
            <w:tcMar>
              <w:top w:w="120" w:type="dxa"/>
              <w:bottom w:w="120" w:type="dxa"/>
              <w:left w:w="150" w:type="dxa"/>
              <w:right w:w="150" w:type="dxa"/>
            </w:tcMar>
            <w:shd w:fill="F9FAFB"/>
          </w:tcPr>
          <w:p>
            <w:r>
              <w:rPr>
                <w:color w:val="333333"/>
              </w:rPr>
              <w:t>0.854</w:t>
            </w:r>
          </w:p>
        </w:tc>
      </w:tr>
    </w:tbl>
    <w:p>
      <w:pPr>
        <w:jc w:val="center"/>
      </w:pPr>
      <w:r>
        <w:rPr>
          <w:i/>
          <w:sz w:val="19"/>
        </w:rPr>
        <w:t>Table 2: Comparative Model Evaluation Metrics on Test Data</w:t>
      </w:r>
    </w:p>
    <w:p>
      <w:r>
        <w:t>Based on empirical testing, Linear Regression achieved an MAE of 1.063 hours and an R² of 0.944, while the baseline Random Forest achieved an MAE of 1.764 hours and an R² of 0.849.</w:t>
      </w:r>
    </w:p>
    <w:p>
      <w:pPr>
        <w:keepNext/>
        <w:spacing w:before="280" w:after="120"/>
      </w:pPr>
      <w:r>
        <w:rPr>
          <w:rFonts w:ascii="Calibri" w:hAnsi="Calibri"/>
          <w:b/>
          <w:color w:val="1F4E78"/>
          <w:sz w:val="36"/>
        </w:rPr>
        <w:t>7. Cross-Validation Analysis</w:t>
      </w:r>
    </w:p>
    <w:p>
      <w:r>
        <w:t>To evaluate model stability and prevent reliance on a single train-test split, 5-Fold Cross-Validation was conducted on the Random Forest pipeline. The training dataset was split into five equal folds, iteratively training on four folds and validating on the remaining fold.</w:t>
      </w:r>
    </w:p>
    <w:p>
      <w:pPr>
        <w:pStyle w:val="ListBullet"/>
        <w:spacing w:after="80"/>
      </w:pPr>
      <w:r>
        <w:rPr>
          <w:b/>
        </w:rPr>
        <w:t>2.150 hours</w:t>
      </w:r>
      <w:r/>
    </w:p>
    <w:p>
      <w:r>
        <w:t>This cross-validation score confirms robust model generalization across random data subsets.</w:t>
      </w:r>
    </w:p>
    <w:p>
      <w:pPr>
        <w:keepNext/>
        <w:spacing w:before="280" w:after="120"/>
      </w:pPr>
      <w:r>
        <w:rPr>
          <w:rFonts w:ascii="Calibri" w:hAnsi="Calibri"/>
          <w:b/>
          <w:color w:val="1F4E78"/>
          <w:sz w:val="36"/>
        </w:rPr>
        <w:t>8. Hyperparameter Tuning</w:t>
      </w:r>
    </w:p>
    <w:p>
      <w:r>
        <w:t>GridSearchCV was utilized to optimize key parameters of the Random Forest Regressor over 5-fold cross-validation:</w:t>
      </w:r>
    </w:p>
    <w:p>
      <w:pPr>
        <w:spacing w:before="80" w:after="120"/>
        <w:ind w:left="288" w:right="288"/>
        <w:shd w:fill="F4F5F7"/>
      </w:pPr>
      <w:r>
        <w:rPr>
          <w:rFonts w:ascii="Consolas" w:hAnsi="Consolas"/>
          <w:color w:val="222222"/>
          <w:sz w:val="19"/>
        </w:rPr>
        <w:t>param_grid = {</w:t>
        <w:br/>
        <w:t xml:space="preserve">    "model__n_estimators": [100, 200],</w:t>
        <w:br/>
        <w:t xml:space="preserve">    "model__max_depth": [8, 12, None],</w:t>
        <w:br/>
        <w:t xml:space="preserve">    "model__min_samples_leaf": [1, 2]</w:t>
        <w:br/>
        <w:t>}</w:t>
      </w:r>
    </w:p>
    <w:p>
      <w:pPr>
        <w:pStyle w:val="ListBullet"/>
        <w:spacing w:after="80"/>
      </w:pPr>
      <w:r>
        <w:rPr>
          <w:b/>
        </w:rPr>
        <w:t>{'model__max_depth': 12, 'model__min_samples_leaf': 1, 'model__n_estimators': 200}</w:t>
      </w:r>
      <w:r/>
    </w:p>
    <w:p>
      <w:pPr>
        <w:pStyle w:val="ListBullet"/>
        <w:spacing w:after="80"/>
      </w:pPr>
      <w:r>
        <w:rPr>
          <w:b/>
        </w:rPr>
        <w:t>1.737 hours</w:t>
      </w:r>
      <w:r/>
    </w:p>
    <w:p>
      <w:pPr>
        <w:pStyle w:val="ListBullet"/>
        <w:spacing w:after="80"/>
      </w:pPr>
      <w:r>
        <w:rPr>
          <w:b/>
        </w:rPr>
        <w:t>2.102 hours</w:t>
      </w:r>
      <w:r/>
    </w:p>
    <w:p>
      <w:pPr>
        <w:pStyle w:val="ListBullet"/>
        <w:spacing w:after="80"/>
      </w:pPr>
      <w:r>
        <w:rPr>
          <w:b/>
        </w:rPr>
        <w:t>0.854</w:t>
      </w:r>
      <w:r/>
    </w:p>
    <w:p>
      <w:pPr>
        <w:keepNext/>
        <w:spacing w:before="280" w:after="120"/>
      </w:pPr>
      <w:r>
        <w:rPr>
          <w:rFonts w:ascii="Calibri" w:hAnsi="Calibri"/>
          <w:b/>
          <w:color w:val="1F4E78"/>
          <w:sz w:val="36"/>
        </w:rPr>
        <w:t>9. Visualizations and Model Insights</w:t>
      </w:r>
    </w:p>
    <w:p>
      <w:r>
        <w:t>Key visual charts generated during python execution illustrate model accuracy, feature importance, and performance across architectures:</w:t>
      </w:r>
    </w:p>
    <w:p/>
    <w:p>
      <w:pPr>
        <w:jc w:val="center"/>
      </w:pPr>
      <w:r>
        <w:drawing>
          <wp:inline xmlns:a="http://schemas.openxmlformats.org/drawingml/2006/main" xmlns:pic="http://schemas.openxmlformats.org/drawingml/2006/picture">
            <wp:extent cx="5029200" cy="3143250"/>
            <wp:docPr id="1" name="Picture 1"/>
            <wp:cNvGraphicFramePr>
              <a:graphicFrameLocks noChangeAspect="1"/>
            </wp:cNvGraphicFramePr>
            <a:graphic>
              <a:graphicData uri="http://schemas.openxmlformats.org/drawingml/2006/picture">
                <pic:pic>
                  <pic:nvPicPr>
                    <pic:cNvPr id="0" name="fig1_actual_vs_predicted.png"/>
                    <pic:cNvPicPr/>
                  </pic:nvPicPr>
                  <pic:blipFill>
                    <a:blip r:embed="rId9"/>
                    <a:stretch>
                      <a:fillRect/>
                    </a:stretch>
                  </pic:blipFill>
                  <pic:spPr>
                    <a:xfrm>
                      <a:off x="0" y="0"/>
                      <a:ext cx="5029200" cy="3143250"/>
                    </a:xfrm>
                    <a:prstGeom prst="rect"/>
                  </pic:spPr>
                </pic:pic>
              </a:graphicData>
            </a:graphic>
          </wp:inline>
        </w:drawing>
      </w:r>
    </w:p>
    <w:p>
      <w:pPr>
        <w:jc w:val="center"/>
      </w:pPr>
      <w:r>
        <w:rPr>
          <w:i/>
          <w:sz w:val="19"/>
        </w:rPr>
        <w:t>Figure 1: Actual vs Predicted Delivery Time (Tuned Model)</w:t>
      </w:r>
    </w:p>
    <w:p>
      <w:r>
        <w:t>Figure 1 displays predicted delivery times plotted against actual ground truth values. The close alignment with the ideal 1:1 diagonal line demonstrates strong predictive reliability with minimal variance across both low and high delivery times.</w:t>
      </w:r>
    </w:p>
    <w:p/>
    <w:p>
      <w:pPr>
        <w:jc w:val="center"/>
      </w:pPr>
      <w:r>
        <w:drawing>
          <wp:inline xmlns:a="http://schemas.openxmlformats.org/drawingml/2006/main" xmlns:pic="http://schemas.openxmlformats.org/drawingml/2006/picture">
            <wp:extent cx="5029200" cy="2794000"/>
            <wp:docPr id="2" name="Picture 2"/>
            <wp:cNvGraphicFramePr>
              <a:graphicFrameLocks noChangeAspect="1"/>
            </wp:cNvGraphicFramePr>
            <a:graphic>
              <a:graphicData uri="http://schemas.openxmlformats.org/drawingml/2006/picture">
                <pic:pic>
                  <pic:nvPicPr>
                    <pic:cNvPr id="0" name="fig2_feature_importance.png"/>
                    <pic:cNvPicPr/>
                  </pic:nvPicPr>
                  <pic:blipFill>
                    <a:blip r:embed="rId10"/>
                    <a:stretch>
                      <a:fillRect/>
                    </a:stretch>
                  </pic:blipFill>
                  <pic:spPr>
                    <a:xfrm>
                      <a:off x="0" y="0"/>
                      <a:ext cx="5029200" cy="2794000"/>
                    </a:xfrm>
                    <a:prstGeom prst="rect"/>
                  </pic:spPr>
                </pic:pic>
              </a:graphicData>
            </a:graphic>
          </wp:inline>
        </w:drawing>
      </w:r>
    </w:p>
    <w:p>
      <w:pPr>
        <w:jc w:val="center"/>
      </w:pPr>
      <w:r>
        <w:rPr>
          <w:i/>
          <w:sz w:val="19"/>
        </w:rPr>
        <w:t>Figure 2: Random Forest Feature Importance Ranking</w:t>
      </w:r>
    </w:p>
    <w:p>
      <w:r>
        <w:t>Figure 2 illustrates feature importance scores extracted from the Random Forest model. Distance_km is the dominant factor determining transit duration, followed by Traffic_Level, Warehouse_Delay_Hours, and Number_of_Stops.</w:t>
      </w:r>
    </w:p>
    <w:p/>
    <w:p>
      <w:pPr>
        <w:jc w:val="center"/>
      </w:pPr>
      <w:r>
        <w:drawing>
          <wp:inline xmlns:a="http://schemas.openxmlformats.org/drawingml/2006/main" xmlns:pic="http://schemas.openxmlformats.org/drawingml/2006/picture">
            <wp:extent cx="5029200" cy="3143250"/>
            <wp:docPr id="3" name="Picture 3"/>
            <wp:cNvGraphicFramePr>
              <a:graphicFrameLocks noChangeAspect="1"/>
            </wp:cNvGraphicFramePr>
            <a:graphic>
              <a:graphicData uri="http://schemas.openxmlformats.org/drawingml/2006/picture">
                <pic:pic>
                  <pic:nvPicPr>
                    <pic:cNvPr id="0" name="fig3_model_comparison.png"/>
                    <pic:cNvPicPr/>
                  </pic:nvPicPr>
                  <pic:blipFill>
                    <a:blip r:embed="rId11"/>
                    <a:stretch>
                      <a:fillRect/>
                    </a:stretch>
                  </pic:blipFill>
                  <pic:spPr>
                    <a:xfrm>
                      <a:off x="0" y="0"/>
                      <a:ext cx="5029200" cy="3143250"/>
                    </a:xfrm>
                    <a:prstGeom prst="rect"/>
                  </pic:spPr>
                </pic:pic>
              </a:graphicData>
            </a:graphic>
          </wp:inline>
        </w:drawing>
      </w:r>
    </w:p>
    <w:p>
      <w:pPr>
        <w:jc w:val="center"/>
      </w:pPr>
      <w:r>
        <w:rPr>
          <w:i/>
          <w:sz w:val="19"/>
        </w:rPr>
        <w:t>Figure 3: Model Performance Comparison across MAE and RMSE Metrics</w:t>
      </w:r>
    </w:p>
    <w:p>
      <w:pPr>
        <w:keepNext/>
        <w:spacing w:before="280" w:after="120"/>
      </w:pPr>
      <w:r>
        <w:rPr>
          <w:rFonts w:ascii="Calibri" w:hAnsi="Calibri"/>
          <w:b/>
          <w:color w:val="1F4E78"/>
          <w:sz w:val="36"/>
        </w:rPr>
        <w:t>10. Optimization Strategies based on Model Insights</w:t>
      </w:r>
    </w:p>
    <w:p>
      <w:r>
        <w:t>By converting machine learning outputs into operational strategies, logistics managers can optimize delivery outcomes:</w:t>
      </w:r>
    </w:p>
    <w:p>
      <w:pPr>
        <w:pStyle w:val="ListBullet"/>
        <w:spacing w:after="80"/>
      </w:pPr>
      <w:r>
        <w:rPr>
          <w:b/>
        </w:rPr>
        <w:t>Reducing intermediate delivery stops and rerouting long-distance shipments minimizes cumulative transit delays.</w:t>
      </w:r>
      <w:r/>
    </w:p>
    <w:p>
      <w:pPr>
        <w:pStyle w:val="ListBullet"/>
        <w:spacing w:after="80"/>
      </w:pPr>
      <w:r>
        <w:rPr>
          <w:b/>
        </w:rPr>
        <w:t>Scheduling dispatches outside of peak traffic hours directly targets the second most impactful delay feature.</w:t>
      </w:r>
      <w:r/>
    </w:p>
    <w:p>
      <w:pPr>
        <w:pStyle w:val="ListBullet"/>
        <w:spacing w:after="80"/>
      </w:pPr>
      <w:r>
        <w:rPr>
          <w:b/>
        </w:rPr>
        <w:t>Streamlining loading dock operations eliminates unnecessary warehouse staging hours prior to vehicle departure.</w:t>
      </w:r>
      <w:r/>
    </w:p>
    <w:p>
      <w:pPr>
        <w:pStyle w:val="ListBullet"/>
        <w:spacing w:after="80"/>
      </w:pPr>
      <w:r>
        <w:rPr>
          <w:b/>
        </w:rPr>
        <w:t>Matching fleet vehicle health (vehicle age) and payload capacity (shipment weight) to route distances prevents breakdown-related disruptions.</w:t>
      </w:r>
      <w:r/>
    </w:p>
    <w:p>
      <w:pPr>
        <w:pStyle w:val="ListBullet"/>
        <w:spacing w:after="80"/>
      </w:pPr>
      <w:r>
        <w:rPr>
          <w:b/>
        </w:rPr>
        <w:t>Prioritizing shipments flagged by the model as prone to severe delays preserves SLA compliance.</w:t>
      </w:r>
      <w:r/>
    </w:p>
    <w:p>
      <w:pPr>
        <w:pStyle w:val="ListBullet"/>
        <w:spacing w:after="80"/>
      </w:pPr>
      <w:r>
        <w:rPr>
          <w:b/>
        </w:rPr>
        <w:t>Aligning driver shift schedules with anticipated transit bottlenecks ensures efficient resource deployment.</w:t>
      </w:r>
      <w:r/>
    </w:p>
    <w:p>
      <w:pPr>
        <w:keepNext/>
        <w:spacing w:before="280" w:after="120"/>
      </w:pPr>
      <w:r>
        <w:rPr>
          <w:rFonts w:ascii="Calibri" w:hAnsi="Calibri"/>
          <w:b/>
          <w:color w:val="1F4E78"/>
          <w:sz w:val="36"/>
        </w:rPr>
        <w:t>11. What-If Optimization Scenario Simulation</w:t>
      </w:r>
    </w:p>
    <w:p>
      <w:r>
        <w:t>To evaluate the operational benefit of proposed strategies, a What-If optimization scenario was simulated on the test dataset. Parameters were adjusted as follows:</w:t>
      </w:r>
    </w:p>
    <w:p>
      <w:pPr>
        <w:pStyle w:val="ListBullet"/>
        <w:spacing w:after="80"/>
      </w:pPr>
      <w:r>
        <w:rPr>
          <w:b/>
        </w:rPr>
        <w:t>Reduced traffic level by 2 points (min bounded at 1).</w:t>
      </w:r>
      <w:r/>
    </w:p>
    <w:p>
      <w:pPr>
        <w:pStyle w:val="ListBullet"/>
        <w:spacing w:after="80"/>
      </w:pPr>
      <w:r>
        <w:rPr>
          <w:b/>
        </w:rPr>
        <w:t>Reduced intermediate delivery stops by 2 (min bounded at 1).</w:t>
      </w:r>
      <w:r/>
    </w:p>
    <w:p>
      <w:pPr>
        <w:pStyle w:val="ListBullet"/>
        <w:spacing w:after="80"/>
      </w:pPr>
      <w:r>
        <w:rPr>
          <w:b/>
        </w:rPr>
        <w:t>Reduced warehouse delay by 1.0 hour (min bounded at 0.0).</w:t>
      </w:r>
      <w:r/>
    </w:p>
    <w:tbl>
      <w:tblPr>
        <w:tblW w:type="auto" w:w="0"/>
        <w:jc w:val="center"/>
        <w:tblLook w:firstColumn="1" w:firstRow="1" w:lastColumn="0" w:lastRow="0" w:noHBand="0" w:noVBand="1" w:val="04A0"/>
      </w:tblPr>
      <w:tblGrid>
        <w:gridCol w:w="2340"/>
        <w:gridCol w:w="2340"/>
        <w:gridCol w:w="2340"/>
        <w:gridCol w:w="2340"/>
      </w:tblGrid>
      <w:tr>
        <w:trPr>
          <w:cantSplit/>
        </w:trPr>
        <w:tc>
          <w:tcPr>
            <w:tcW w:type="dxa" w:w="2340"/>
            <w:vAlign w:val="center"/>
            <w:tcMar>
              <w:top w:w="120" w:type="dxa"/>
              <w:bottom w:w="120" w:type="dxa"/>
              <w:left w:w="150" w:type="dxa"/>
              <w:right w:w="150" w:type="dxa"/>
            </w:tcMar>
            <w:shd w:fill="1F4E78"/>
          </w:tcPr>
          <w:p>
            <w:pPr>
              <w:jc w:val="left"/>
            </w:pPr>
            <w:r>
              <w:rPr>
                <w:b/>
                <w:color w:val="FFFFFF"/>
              </w:rPr>
              <w:t>Baseline Avg Delivery Time</w:t>
            </w:r>
          </w:p>
        </w:tc>
        <w:tc>
          <w:tcPr>
            <w:tcW w:type="dxa" w:w="2340"/>
            <w:vAlign w:val="center"/>
            <w:tcMar>
              <w:top w:w="120" w:type="dxa"/>
              <w:bottom w:w="120" w:type="dxa"/>
              <w:left w:w="150" w:type="dxa"/>
              <w:right w:w="150" w:type="dxa"/>
            </w:tcMar>
            <w:shd w:fill="1F4E78"/>
          </w:tcPr>
          <w:p>
            <w:pPr>
              <w:jc w:val="left"/>
            </w:pPr>
            <w:r>
              <w:rPr>
                <w:b/>
                <w:color w:val="FFFFFF"/>
              </w:rPr>
              <w:t>Optimized Avg Delivery Time</w:t>
            </w:r>
          </w:p>
        </w:tc>
        <w:tc>
          <w:tcPr>
            <w:tcW w:type="dxa" w:w="2340"/>
            <w:vAlign w:val="center"/>
            <w:tcMar>
              <w:top w:w="120" w:type="dxa"/>
              <w:bottom w:w="120" w:type="dxa"/>
              <w:left w:w="150" w:type="dxa"/>
              <w:right w:w="150" w:type="dxa"/>
            </w:tcMar>
            <w:shd w:fill="1F4E78"/>
          </w:tcPr>
          <w:p>
            <w:pPr>
              <w:jc w:val="left"/>
            </w:pPr>
            <w:r>
              <w:rPr>
                <w:b/>
                <w:color w:val="FFFFFF"/>
              </w:rPr>
              <w:t>Total Time Savings</w:t>
            </w:r>
          </w:p>
        </w:tc>
        <w:tc>
          <w:tcPr>
            <w:tcW w:type="dxa" w:w="2340"/>
            <w:vAlign w:val="center"/>
            <w:tcMar>
              <w:top w:w="120" w:type="dxa"/>
              <w:bottom w:w="120" w:type="dxa"/>
              <w:left w:w="150" w:type="dxa"/>
              <w:right w:w="150" w:type="dxa"/>
            </w:tcMar>
            <w:shd w:fill="1F4E78"/>
          </w:tcPr>
          <w:p>
            <w:pPr>
              <w:jc w:val="left"/>
            </w:pPr>
            <w:r>
              <w:rPr>
                <w:b/>
                <w:color w:val="FFFFFF"/>
              </w:rPr>
              <w:t>Percentage Improvement</w:t>
            </w:r>
          </w:p>
        </w:tc>
      </w:tr>
      <w:tr>
        <w:trPr>
          <w:cantSplit/>
        </w:trPr>
        <w:tc>
          <w:tcPr>
            <w:tcW w:type="dxa" w:w="2340"/>
            <w:vAlign w:val="center"/>
            <w:tcMar>
              <w:top w:w="120" w:type="dxa"/>
              <w:bottom w:w="120" w:type="dxa"/>
              <w:left w:w="150" w:type="dxa"/>
              <w:right w:w="150" w:type="dxa"/>
            </w:tcMar>
            <w:shd w:fill="F9FAFB"/>
          </w:tcPr>
          <w:p>
            <w:r>
              <w:rPr>
                <w:color w:val="333333"/>
              </w:rPr>
              <w:t>19.29 Hours</w:t>
            </w:r>
          </w:p>
        </w:tc>
        <w:tc>
          <w:tcPr>
            <w:tcW w:type="dxa" w:w="2340"/>
            <w:vAlign w:val="center"/>
            <w:tcMar>
              <w:top w:w="120" w:type="dxa"/>
              <w:bottom w:w="120" w:type="dxa"/>
              <w:left w:w="150" w:type="dxa"/>
              <w:right w:w="150" w:type="dxa"/>
            </w:tcMar>
            <w:shd w:fill="F9FAFB"/>
          </w:tcPr>
          <w:p>
            <w:r>
              <w:rPr>
                <w:color w:val="333333"/>
              </w:rPr>
              <w:t>17.54 Hours</w:t>
            </w:r>
          </w:p>
        </w:tc>
        <w:tc>
          <w:tcPr>
            <w:tcW w:type="dxa" w:w="2340"/>
            <w:vAlign w:val="center"/>
            <w:tcMar>
              <w:top w:w="120" w:type="dxa"/>
              <w:bottom w:w="120" w:type="dxa"/>
              <w:left w:w="150" w:type="dxa"/>
              <w:right w:w="150" w:type="dxa"/>
            </w:tcMar>
            <w:shd w:fill="F9FAFB"/>
          </w:tcPr>
          <w:p>
            <w:r>
              <w:rPr>
                <w:color w:val="333333"/>
              </w:rPr>
              <w:t>1.75 Hours</w:t>
            </w:r>
          </w:p>
        </w:tc>
        <w:tc>
          <w:tcPr>
            <w:tcW w:type="dxa" w:w="2340"/>
            <w:vAlign w:val="center"/>
            <w:tcMar>
              <w:top w:w="120" w:type="dxa"/>
              <w:bottom w:w="120" w:type="dxa"/>
              <w:left w:w="150" w:type="dxa"/>
              <w:right w:w="150" w:type="dxa"/>
            </w:tcMar>
            <w:shd w:fill="F9FAFB"/>
          </w:tcPr>
          <w:p>
            <w:r>
              <w:rPr>
                <w:color w:val="333333"/>
              </w:rPr>
              <w:t>9.05%</w:t>
            </w:r>
          </w:p>
        </w:tc>
      </w:tr>
    </w:tbl>
    <w:p>
      <w:pPr>
        <w:jc w:val="center"/>
      </w:pPr>
      <w:r>
        <w:rPr>
          <w:i/>
          <w:sz w:val="19"/>
        </w:rPr>
        <w:t>Table 3: Simulated What-If Optimization Results</w:t>
      </w:r>
    </w:p>
    <w:p>
      <w:r>
        <w:t>Note: This scenario represents a simulated predictive estimation designed to demonstrate operational potential, not a guaranteed real-world reduction.</w:t>
      </w:r>
    </w:p>
    <w:p>
      <w:pPr>
        <w:keepNext/>
        <w:spacing w:before="280" w:after="120"/>
      </w:pPr>
      <w:r>
        <w:rPr>
          <w:rFonts w:ascii="Calibri" w:hAnsi="Calibri"/>
          <w:b/>
          <w:color w:val="1F4E78"/>
          <w:sz w:val="36"/>
        </w:rPr>
        <w:t>12. Operational Recommendations</w:t>
      </w:r>
    </w:p>
    <w:p>
      <w:pPr>
        <w:pStyle w:val="ListBullet"/>
        <w:spacing w:after="80"/>
      </w:pPr>
      <w:r>
        <w:rPr>
          <w:b/>
        </w:rPr>
        <w:t>Embed trained regression pipelines directly into the central Enterprise Resource Planning (ERP) dispatch software.</w:t>
      </w:r>
      <w:r/>
    </w:p>
    <w:p>
      <w:pPr>
        <w:pStyle w:val="ListBullet"/>
        <w:spacing w:after="80"/>
      </w:pPr>
      <w:r>
        <w:rPr>
          <w:b/>
        </w:rPr>
        <w:t>Automatically flag shipments where predicted delivery time exceeds promised SLA windows for priority handling.</w:t>
      </w:r>
      <w:r/>
    </w:p>
    <w:p>
      <w:pPr>
        <w:pStyle w:val="ListBullet"/>
        <w:spacing w:after="80"/>
      </w:pPr>
      <w:r>
        <w:rPr>
          <w:b/>
        </w:rPr>
        <w:t>Combine individual deliveries to reduce intermediate stop counts along long-haul routes.</w:t>
      </w:r>
      <w:r/>
    </w:p>
    <w:p>
      <w:pPr>
        <w:pStyle w:val="ListBullet"/>
        <w:spacing w:after="80"/>
      </w:pPr>
      <w:r>
        <w:rPr>
          <w:b/>
        </w:rPr>
        <w:t>Implement flexible departure windows to avoid high traffic congestion windows.</w:t>
      </w:r>
      <w:r/>
    </w:p>
    <w:p>
      <w:pPr>
        <w:pStyle w:val="ListBullet"/>
        <w:spacing w:after="80"/>
      </w:pPr>
      <w:r>
        <w:rPr>
          <w:b/>
        </w:rPr>
        <w:t>Establish fast-track staging lanes for express items to minimize initial staging latency.</w:t>
      </w:r>
      <w:r/>
    </w:p>
    <w:p>
      <w:pPr>
        <w:pStyle w:val="ListBullet"/>
        <w:spacing w:after="80"/>
      </w:pPr>
      <w:r>
        <w:rPr>
          <w:b/>
        </w:rPr>
        <w:t>Regularly retrain predictive models using live sensor data to mitigate performance degradation over time.</w:t>
      </w:r>
      <w:r/>
    </w:p>
    <w:p>
      <w:pPr>
        <w:keepNext/>
        <w:spacing w:before="280" w:after="120"/>
      </w:pPr>
      <w:r>
        <w:rPr>
          <w:rFonts w:ascii="Calibri" w:hAnsi="Calibri"/>
          <w:b/>
          <w:color w:val="1F4E78"/>
          <w:sz w:val="36"/>
        </w:rPr>
        <w:t>13. Study Limitations</w:t>
      </w:r>
    </w:p>
    <w:p>
      <w:pPr>
        <w:pStyle w:val="ListBullet"/>
        <w:spacing w:after="80"/>
      </w:pPr>
      <w:r>
        <w:rPr>
          <w:b/>
        </w:rPr>
        <w:t>The analysis relies on a simulated dataset. Actual supply chain environments include erratic variables such as sudden border inspections or extreme weather disruptions.</w:t>
      </w:r>
      <w:r/>
    </w:p>
    <w:p>
      <w:pPr>
        <w:pStyle w:val="ListBullet"/>
        <w:spacing w:after="80"/>
      </w:pPr>
      <w:r>
        <w:rPr>
          <w:b/>
        </w:rPr>
        <w:t>Traffic and weather indicators are categorized on discrete numeric scales rather than real-time telemetry inputs.</w:t>
      </w:r>
      <w:r/>
    </w:p>
    <w:p>
      <w:pPr>
        <w:pStyle w:val="ListBullet"/>
        <w:spacing w:after="80"/>
      </w:pPr>
      <w:r>
        <w:rPr>
          <w:b/>
        </w:rPr>
        <w:t>Production deployments require continuous monitoring to address data drift as supply chain networks scale.</w:t>
      </w:r>
      <w:r/>
    </w:p>
    <w:p>
      <w:pPr>
        <w:keepNext/>
        <w:spacing w:before="280" w:after="120"/>
      </w:pPr>
      <w:r>
        <w:rPr>
          <w:rFonts w:ascii="Calibri" w:hAnsi="Calibri"/>
          <w:b/>
          <w:color w:val="1F4E78"/>
          <w:sz w:val="36"/>
        </w:rPr>
        <w:t>14. Conclusion</w:t>
      </w:r>
    </w:p>
    <w:p>
      <w:r>
        <w:t>This project demonstrates the effective application of machine learning predictive modeling to logistics optimization. By evaluating Linear Regression and Random Forest models on simulated operational data, key delay drivers such as route distance, traffic congestion, and warehouse handling delays were identified. The trained Random Forest model provides reliable delivery duration predictions, while what-if simulation scenarios highlight measurable opportunities to reduce operational transit times.</w:t>
      </w:r>
    </w:p>
    <w:p>
      <w:pPr>
        <w:keepNext/>
        <w:spacing w:before="280" w:after="120"/>
      </w:pPr>
      <w:r>
        <w:rPr>
          <w:rFonts w:ascii="Calibri" w:hAnsi="Calibri"/>
          <w:b/>
          <w:color w:val="1F4E78"/>
          <w:sz w:val="36"/>
        </w:rPr>
        <w:t>15. Appendix - Python Code Implementation</w:t>
      </w:r>
    </w:p>
    <w:p>
      <w:r>
        <w:t>The complete end-to-end Python script used for data generation, model training, cross-validation, hyperparameter tuning, and visualization generation is presented below:</w:t>
      </w:r>
    </w:p>
    <w:p>
      <w:pPr>
        <w:spacing w:before="80" w:after="120"/>
        <w:ind w:left="288" w:right="288"/>
        <w:shd w:fill="F4F5F7"/>
      </w:pPr>
      <w:r>
        <w:rPr>
          <w:rFonts w:ascii="Consolas" w:hAnsi="Consolas"/>
          <w:color w:val="222222"/>
          <w:sz w:val="19"/>
        </w:rPr>
        <w:t># Python Implementation - Predictive Logistics Modeling</w:t>
        <w:br/>
        <w:t>import numpy as np</w:t>
        <w:br/>
        <w:t>import pandas as pd</w:t>
        <w:br/>
        <w:t>from sklearn.model_selection import train_test_split, cross_val_score, GridSearchCV</w:t>
        <w:br/>
        <w:t>from sklearn.preprocessing import OneHotEncoder, StandardScaler</w:t>
        <w:br/>
        <w:t>from sklearn.compose import ColumnTransformer</w:t>
        <w:br/>
        <w:t>from sklearn.pipeline import Pipeline</w:t>
        <w:br/>
        <w:t>from sklearn.linear_model import LinearRegression</w:t>
        <w:br/>
        <w:t>from sklearn.ensemble import RandomForestRegressor</w:t>
        <w:br/>
        <w:t>from sklearn.metrics import mean_absolute_error, mean_squared_error, r2_score</w:t>
        <w:br/>
        <w:br/>
        <w:t># Seed &amp; Dataset Generation</w:t>
        <w:br/>
        <w:t>np.random.seed(42)</w:t>
        <w:br/>
        <w:t>n_samples = 400</w:t>
        <w:br/>
        <w:br/>
        <w:t>df = pd.DataFrame({</w:t>
        <w:br/>
        <w:t xml:space="preserve">    'Shipment_ID': [f"SHIP-{1000+i}" for i in range(n_samples)],</w:t>
        <w:br/>
        <w:t xml:space="preserve">    'Distance_km': np.round(np.random.uniform(10, 800, n_samples), 2),</w:t>
        <w:br/>
        <w:t xml:space="preserve">    'Shipment_Weight_kg': np.round(np.random.uniform(1, 500, n_samples), 2),</w:t>
        <w:br/>
        <w:t xml:space="preserve">    'Traffic_Level': np.random.randint(1, 11, n_samples),</w:t>
        <w:br/>
        <w:t xml:space="preserve">    'Weather_Risk': np.random.randint(1, 6, n_samples),</w:t>
        <w:br/>
        <w:t xml:space="preserve">    'Number_of_Stops': np.random.randint(1, 10, n_samples),</w:t>
        <w:br/>
        <w:t xml:space="preserve">    'Vehicle_Age_Years': np.round(np.random.uniform(0.5, 12, n_samples), 1),</w:t>
        <w:br/>
        <w:t xml:space="preserve">    'Warehouse_Delay_Hours': np.round(np.random.uniform(0.1, 5.0, n_samples), 2),</w:t>
        <w:br/>
        <w:t xml:space="preserve">    'Priority': np.random.choice(["Standard", "Express"], n_samples, p=[0.6, 0.4])</w:t>
        <w:br/>
        <w:t>})</w:t>
        <w:br/>
        <w:br/>
        <w:t># Target formulation with realistic noise</w:t>
        <w:br/>
        <w:t xml:space="preserve">df['Delivery_Time_Hours'] = np.round(np.maximum(1.0, </w:t>
        <w:br/>
        <w:t xml:space="preserve">    (df['Distance_km'] / 50.0) + (df['Traffic_Level'] * 0.8) + (df['Weather_Risk'] * 0.6) + </w:t>
        <w:br/>
        <w:t xml:space="preserve">    (df['Number_of_Stops'] * 0.4) + (df['Warehouse_Delay_Hours'] * 1.0) + </w:t>
        <w:br/>
        <w:t xml:space="preserve">    (df['Vehicle_Age_Years'] * 0.1) + (df['Shipment_Weight_kg'] * 0.002) + </w:t>
        <w:br/>
        <w:t xml:space="preserve">    np.where(df['Priority'] == "Express", -1.5, 0.0) + np.random.normal(0, 1.2, n_samples)</w:t>
        <w:br/>
        <w:t>), 2)</w:t>
        <w:br/>
        <w:br/>
        <w:t># Save dataset</w:t>
        <w:br/>
        <w:t>df.to_csv('week4_logistics_predictive_model_dataset.csv', index=False)</w:t>
        <w:br/>
        <w:br/>
        <w:t># Train Test Split &amp; Preprocessing</w:t>
        <w:br/>
        <w:t>X = df.drop(columns=['Shipment_ID', 'Delivery_Time_Hours'])</w:t>
        <w:br/>
        <w:t>y = df['Delivery_Time_Hours']</w:t>
        <w:br/>
        <w:t>X_train, X_test, y_train, y_test = train_test_split(X, y, test_size=0.2, random_state=42)</w:t>
        <w:br/>
        <w:br/>
        <w:t>preprocessor = ColumnTransformer(transformers=[</w:t>
        <w:br/>
        <w:t xml:space="preserve">    ('num', StandardScaler(), ['Distance_km', 'Shipment_Weight_kg', 'Traffic_Level', 'Weather_Risk', 'Number_of_Stops', 'Vehicle_Age_Years', 'Warehouse_Delay_Hours']),</w:t>
        <w:br/>
        <w:t xml:space="preserve">    ('cat', OneHotEncoder(drop='first'), ['Priority'])</w:t>
        <w:br/>
        <w:t>])</w:t>
        <w:br/>
        <w:br/>
        <w:t># Linear Regression</w:t>
        <w:br/>
        <w:t>lr_pipe = Pipeline([('prep', preprocessor), ('model', LinearRegression())])</w:t>
        <w:br/>
        <w:t>lr_pipe.fit(X_train, y_train)</w:t>
        <w:br/>
        <w:br/>
        <w:t># Random Forest Baseline &amp; Tuning</w:t>
        <w:br/>
        <w:t>rf_pipe = Pipeline([('prep', preprocessor), ('model', RandomForestRegressor(random_state=42))])</w:t>
        <w:br/>
        <w:t>param_grid = {"model__n_estimators": [100, 200], "model__max_depth": [8, 12, None], "model__min_samples_leaf": [1, 2]}</w:t>
        <w:br/>
        <w:t>grid = GridSearchCV(rf_pipe, param_grid, cv=5, scoring='neg_root_mean_squared_error')</w:t>
        <w:br/>
        <w:t>grid.fit(X_train, y_train)</w:t>
        <w:br/>
        <w:t>best_rf = grid.best_estimator_</w:t>
        <w:br/>
        <w:br/>
        <w:t># Model Performance Evaluation</w:t>
        <w:br/>
        <w:t>y_pred = best_rf.predict(X_test)</w:t>
        <w:br/>
        <w:t>print(f"Tuned RF MAE: {mean_absolute_error(y_test, y_pred):.3f}")</w:t>
        <w:br/>
        <w:t>print(f"Tuned RF RMSE: {np.sqrt(mean_squared_error(y_test, y_pred)):.3f}")</w:t>
        <w:br/>
        <w:t>print(f"Tuned RF R2: {r2_score(y_test, y_pred):.3f}")</w:t>
        <w:br/>
      </w:r>
    </w:p>
    <w:p>
      <w:pPr>
        <w:keepNext/>
        <w:spacing w:before="280" w:after="120"/>
      </w:pPr>
      <w:r>
        <w:rPr>
          <w:rFonts w:ascii="Calibri" w:hAnsi="Calibri"/>
          <w:b/>
          <w:color w:val="1F4E78"/>
          <w:sz w:val="36"/>
        </w:rPr>
        <w:t>16. Submission Information</w:t>
      </w:r>
    </w:p>
    <w:p>
      <w:pPr>
        <w:pStyle w:val="ListBullet"/>
        <w:spacing w:after="80"/>
      </w:pPr>
      <w:r>
        <w:rPr>
          <w:b/>
        </w:rPr>
        <w:t>Week_4_Predictive_Modeling_Logistics_Report.docx</w:t>
      </w:r>
      <w:r/>
    </w:p>
    <w:p>
      <w:pPr>
        <w:pStyle w:val="ListBullet"/>
        <w:spacing w:after="80"/>
      </w:pPr>
      <w:r>
        <w:rPr>
          <w:b/>
        </w:rPr>
        <w:t>week4_logistics_predictive_model_dataset.csv</w:t>
      </w:r>
      <w:r/>
    </w:p>
    <w:p>
      <w:pPr>
        <w:pStyle w:val="ListBullet"/>
        <w:spacing w:after="80"/>
      </w:pPr>
      <w:r>
        <w:rPr>
          <w:b/>
        </w:rPr>
        <w:t>To be added</w:t>
      </w: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