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Migration HLD — {{ CUSTOMER }}</w:t>
      </w:r>
    </w:p>
    <w:p>
      <w:pPr>
        <w:jc w:val="center"/>
      </w:pPr>
      <w:r>
        <w:t>Project Aurora | High-Level Design</w:t>
      </w:r>
    </w:p>
    <w:p>
      <w:pPr>
        <w:jc w:val="center"/>
      </w:pPr>
      <w:r>
        <w:rPr>
          <w:b/>
          <w:color w:val="C00000"/>
        </w:rPr>
        <w:t>FICTIONAL DEMONSTRATION — NOT A CUSTOMER DOCUMENT</w:t>
      </w:r>
    </w:p>
    <w:p>
      <w:pPr>
        <w:jc w:val="center"/>
      </w:pPr>
      <w:r>
        <w:t>This source DOCX is the authoritative template. DocXUnravel populates only contract-bound elements.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5184"/>
            <w:shd w:fill="D9EAF7"/>
          </w:tcPr>
          <w:p>
            <w:r>
              <w:rPr>
                <w:b w:val="0"/>
                <w:sz w:val="16"/>
              </w:rPr>
              <w:t>Template customer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Project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Template project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Sponsor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Template sponsor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Document owner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Template owner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Target start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YYYY-MM-DD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6"/>
              </w:rPr>
              <w:t>Target completion</w:t>
            </w:r>
          </w:p>
        </w:tc>
        <w:tc>
          <w:tcPr>
            <w:tcW w:type="dxa" w:w="5184"/>
          </w:tcPr>
          <w:p>
            <w:r>
              <w:rPr>
                <w:b w:val="0"/>
                <w:sz w:val="16"/>
              </w:rPr>
              <w:t>YYYY-MM-DD</w:t>
            </w:r>
          </w:p>
        </w:tc>
      </w:tr>
    </w:tbl>
    <w:p>
      <w:pPr>
        <w:pStyle w:val="Heading1"/>
      </w:pPr>
      <w:r>
        <w:t>Executive Summary</w:t>
      </w:r>
    </w:p>
    <w:p>
      <w:r>
        <w:t>Template executive summary — replace with approved migration scope.</w:t>
      </w:r>
    </w:p>
    <w:p>
      <w:r>
        <w:br w:type="page"/>
      </w:r>
    </w:p>
    <w:p>
      <w:pPr>
        <w:pStyle w:val="Heading1"/>
      </w:pPr>
      <w:r>
        <w:t>Current-State Assessment</w:t>
      </w:r>
    </w:p>
    <w:p>
      <w:r>
        <w:t>The observations below are populated from validated migration-discovery records.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Template category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Template observation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Template impact</w:t>
            </w:r>
          </w:p>
        </w:tc>
      </w:tr>
    </w:tbl>
    <w:p>
      <w:pPr>
        <w:pStyle w:val="Heading1"/>
      </w:pPr>
      <w:r>
        <w:t>Application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Criticality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Current hosting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Data class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APP-ID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Template application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Template owner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Template hosting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internal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rehost</w:t>
            </w:r>
          </w:p>
        </w:tc>
      </w:tr>
    </w:tbl>
    <w:p>
      <w:r>
        <w:br w:type="page"/>
      </w:r>
    </w:p>
    <w:p>
      <w:pPr>
        <w:pStyle w:val="Heading1"/>
      </w:pPr>
      <w:r>
        <w:t>Target Architecture</w:t>
      </w:r>
    </w:p>
    <w:p>
      <w:r>
        <w:t>The existing illustration is a read-only package asset retained during population.</w:t>
      </w:r>
    </w:p>
    <w:p>
      <w:r>
        <w:drawing>
          <wp:inline xmlns:a="http://schemas.openxmlformats.org/drawingml/2006/main" xmlns:pic="http://schemas.openxmlformats.org/drawingml/2006/picture">
            <wp:extent cx="6309360" cy="2760345"/>
            <wp:docPr id="1" name="Picture 1" descr="Fictional Azure target architectur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tional-architecture-illu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moCaption"/>
      </w:pPr>
      <w:r>
        <w:t>Figure 1 — Fictional Azure target architecture (pre-existing template asset)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Workload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Azure service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Template workload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Template service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Template region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Template rationale</w:t>
            </w:r>
          </w:p>
        </w:tc>
      </w:tr>
    </w:tbl>
    <w:p>
      <w:r>
        <w:br w:type="page"/>
      </w:r>
    </w:p>
    <w:p>
      <w:pPr>
        <w:pStyle w:val="Heading1"/>
      </w:pPr>
      <w:r>
        <w:t>Migration Strategy</w:t>
      </w:r>
    </w:p>
    <w:p>
      <w:r>
        <w:t>Migration waves are sequenced by dependency, risk and operational readiness.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Applications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End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Template wave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APP-ID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YYYY-MM-DD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YYYY-MM-DD</w:t>
            </w:r>
          </w:p>
        </w:tc>
        <w:tc>
          <w:tcPr>
            <w:tcW w:type="dxa" w:w="1728"/>
            <w:shd w:fill="D9EAF7"/>
          </w:tcPr>
          <w:p>
            <w:r>
              <w:rPr>
                <w:b w:val="0"/>
                <w:sz w:val="16"/>
              </w:rPr>
              <w:t>Template criteria</w:t>
            </w:r>
          </w:p>
        </w:tc>
      </w:tr>
    </w:tbl>
    <w:p>
      <w:r>
        <w:br w:type="page"/>
      </w:r>
    </w:p>
    <w:p>
      <w:pPr>
        <w:pStyle w:val="Heading1"/>
      </w:pPr>
      <w:r>
        <w:t>Security Considerations</w:t>
      </w:r>
    </w:p>
    <w:p>
      <w:pPr>
        <w:pStyle w:val="Heading2"/>
      </w:pPr>
      <w:r>
        <w:t>Security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SEC-ID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Template security requirement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must</w:t>
            </w:r>
          </w:p>
        </w:tc>
      </w:tr>
    </w:tbl>
    <w:p>
      <w:pPr>
        <w:pStyle w:val="Heading2"/>
      </w:pPr>
      <w:r>
        <w:t>Networking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NET-ID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Template networking requirement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must</w:t>
            </w:r>
          </w:p>
        </w:tc>
      </w:tr>
    </w:tbl>
    <w:p>
      <w:r>
        <w:br w:type="page"/>
      </w:r>
    </w:p>
    <w:p>
      <w:pPr>
        <w:pStyle w:val="Heading1"/>
      </w:pPr>
      <w:r>
        <w:t>Risks and Assumptions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RISK-ID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Template risk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Template mitigation</w:t>
            </w:r>
          </w:p>
        </w:tc>
      </w:tr>
    </w:tbl>
    <w:p>
      <w:pPr>
        <w:pStyle w:val="Heading2"/>
      </w:pPr>
      <w:r>
        <w:t>Assumptions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  <w:sz w:val="16"/>
              </w:rPr>
              <w:t>Validation owner</w:t>
            </w:r>
          </w:p>
        </w:tc>
      </w:tr>
      <w:tr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ASM-ID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Template assumption</w:t>
            </w:r>
          </w:p>
        </w:tc>
        <w:tc>
          <w:tcPr>
            <w:tcW w:type="dxa" w:w="3456"/>
            <w:shd w:fill="D9EAF7"/>
          </w:tcPr>
          <w:p>
            <w:r>
              <w:rPr>
                <w:b w:val="0"/>
                <w:sz w:val="16"/>
              </w:rPr>
              <w:t>Template owner</w:t>
            </w:r>
          </w:p>
        </w:tc>
      </w:tr>
    </w:tbl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Outstanding design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DD-ID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Template decision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Template owner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YYYY-MM-DD</w:t>
            </w:r>
          </w:p>
        </w:tc>
        <w:tc>
          <w:tcPr>
            <w:tcW w:type="dxa" w:w="2074"/>
            <w:shd w:fill="D9EAF7"/>
          </w:tcPr>
          <w:p>
            <w:r>
              <w:rPr>
                <w:b w:val="0"/>
                <w:sz w:val="16"/>
              </w:rPr>
              <w:t>open</w:t>
            </w:r>
          </w:p>
        </w:tc>
      </w:tr>
    </w:tbl>
    <w:p>
      <w:pPr>
        <w:pStyle w:val="Heading2"/>
      </w:pPr>
      <w:r>
        <w:t>Source infrastructure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Quantity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OS</w:t>
            </w:r>
          </w:p>
        </w:tc>
        <w:tc>
          <w:tcPr>
            <w:tcW w:type="dxa" w:w="1481"/>
            <w:shd w:fill="1F4E78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INF-ID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Template asset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compute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Template location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Template OS</w:t>
            </w:r>
          </w:p>
        </w:tc>
        <w:tc>
          <w:tcPr>
            <w:tcW w:type="dxa" w:w="1481"/>
            <w:shd w:fill="D9EAF7"/>
          </w:tcPr>
          <w:p>
            <w:r>
              <w:rPr>
                <w:b w:val="0"/>
                <w:sz w:val="16"/>
              </w:rPr>
              <w:t>Template specification</w:t>
            </w:r>
          </w:p>
        </w:tc>
      </w:tr>
    </w:tbl>
    <w:p>
      <w:pPr>
        <w:pStyle w:val="Heading2"/>
      </w:pPr>
      <w:r>
        <w:t>Application dependencies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APP-A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APP-B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synchronous</w:t>
            </w:r>
          </w:p>
        </w:tc>
        <w:tc>
          <w:tcPr>
            <w:tcW w:type="dxa" w:w="2592"/>
            <w:shd w:fill="D9EAF7"/>
          </w:tcPr>
          <w:p>
            <w:r>
              <w:rPr>
                <w:b w:val="0"/>
                <w:sz w:val="16"/>
              </w:rPr>
              <w:t>Template dependency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FICTIONAL DEMONSTRATION — NOT A CUSTOMER DOCUMENT | </w:t>
    </w: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DocXUnravel v0.4 | Fictional Azure Migration High-Level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Caption">
    <w:name w:val="Demo Caption"/>
    <w:rPr>
      <w:i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Azure Migration High-Level Design</dc:title>
  <dc:subject>DocXUnravel v0.4 semantic template demonstration</dc:subject>
  <dc:creator>DocXUnravel demonstration generator</dc:creator>
  <cp:keywords/>
  <dc:description>FICTIONAL DEMONSTRATION — NOT A CUSTOMER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