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color w:val="666666"/>
          <w:sz w:val="24"/>
          <w:szCs w:val="24"/>
        </w:rPr>
        <w:t xml:space="preserve">OSDBMS-V-2026-T038</w:t>
      </w:r>
    </w:p>
    <w:p>
      <w:pPr>
        <w:spacing w:before="600"/>
        <w:jc w:val="center"/>
      </w:pPr>
      <w:r>
        <w:rPr>
          <w:b/>
          <w:bCs/>
          <w:color w:val="1F3864"/>
          <w:sz w:val="30"/>
          <w:szCs w:val="30"/>
        </w:rPr>
        <w:t xml:space="preserve">WORK BREAKDOWN &amp; DIVISION OF LABOR</w:t>
      </w:r>
    </w:p>
    <w:p>
      <w:pPr>
        <w:spacing w:after="200" w:before="400"/>
        <w:jc w:val="center"/>
      </w:pPr>
      <w:r>
        <w:rPr>
          <w:b/>
          <w:bCs/>
          <w:color w:val="1F3864"/>
          <w:sz w:val="56"/>
          <w:szCs w:val="56"/>
        </w:rPr>
        <w:t xml:space="preserve">WALnut</w:t>
      </w:r>
    </w:p>
    <w:p>
      <w:pPr>
        <w:jc w:val="center"/>
      </w:pPr>
      <w:r>
        <w:rPr>
          <w:i/>
          <w:iCs/>
          <w:color w:val="2E5C8A"/>
          <w:sz w:val="26"/>
          <w:szCs w:val="26"/>
        </w:rPr>
        <w:t xml:space="preserve">A Concurrent Auction Engine with Deadlock Detection &amp; Recovery</w:t>
      </w:r>
    </w:p>
    <w:p>
      <w:pPr>
        <w:spacing w:before="900"/>
        <w:jc w:val="center"/>
      </w:pPr>
      <w:r>
        <w:rPr>
          <w:sz w:val="22"/>
          <w:szCs w:val="22"/>
        </w:rPr>
        <w:t xml:space="preserve">Team: The Acid Mechanics  –  T038</w:t>
      </w:r>
    </w:p>
    <w:p>
      <w:pPr>
        <w:spacing w:before="120"/>
        <w:jc w:val="center"/>
      </w:pPr>
      <w:r>
        <w:rPr>
          <w:color w:val="666666"/>
          <w:sz w:val="20"/>
          <w:szCs w:val="20"/>
        </w:rPr>
        <w:t xml:space="preserve">Vinayak Suyal · Sushmit Singh Rawat · Kanak Rawat · Suhavi Jugran</w:t>
      </w:r>
    </w:p>
    <w:p>
      <w:pPr>
        <w:spacing w:before="1600"/>
        <w:jc w:val="center"/>
      </w:pPr>
      <w:r>
        <w:rPr>
          <w:sz w:val="20"/>
          <w:szCs w:val="20"/>
        </w:rPr>
        <w:t xml:space="preserve">Version 1.0  ·  Companion to the WALnut PRD, Architecture Doc, API Spec &amp; Test Plan</w:t>
      </w:r>
    </w:p>
    <w:p>
      <w:pPr>
        <w:jc w:val="center"/>
      </w:pPr>
      <w:r>
        <w:rPr>
          <w:color w:val="666666"/>
          <w:sz w:val="20"/>
          <w:szCs w:val="20"/>
        </w:rPr>
        <w:t xml:space="preserve">Status: Draft for Review</w:t>
      </w:r>
    </w:p>
    <w:p>
      <w:r>
        <w:br w:type="page"/>
      </w:r>
    </w:p>
    <w:p>
      <w:pPr>
        <w:pStyle w:val="Heading1"/>
        <w:pBdr>
          <w:bottom w:val="single" w:color="1F3864" w:sz="6" w:space="4"/>
        </w:pBdr>
        <w:spacing w:after="160" w:before="360"/>
      </w:pPr>
      <w:r>
        <w:t xml:space="preserve">1. Introduction</w:t>
      </w:r>
    </w:p>
    <w:p>
      <w:pPr>
        <w:spacing w:after="160" w:line="276"/>
      </w:pPr>
      <w:r>
        <w:t xml:space="preserve">This document assigns concrete, week-by-week ownership across the four team members, building on the primary-subsystem ownership already set out in the PRD (§11) and the testing ownership in the Test Plan (§3). Its purpose is to make it obvious, at any point in the eight weeks, exactly who is building what, who each person is blocked on, and who reviews or tests whose work.</w:t>
      </w:r>
    </w:p>
    <w:p>
      <w:pPr>
        <w:spacing w:after="160" w:line="276"/>
      </w:pPr>
      <w:r>
        <w:t xml:space="preserve">Ownership below is primary, not exclusive — every member is expected to understand the whole architecture (PRD §11) and pairs up where subsystems interlock (Section 5).</w:t>
      </w:r>
    </w:p>
    <w:p>
      <w:pPr>
        <w:pStyle w:val="Heading1"/>
        <w:pBdr>
          <w:bottom w:val="single" w:color="1F3864" w:sz="6" w:space="4"/>
        </w:pBdr>
        <w:spacing w:after="160" w:before="360"/>
      </w:pPr>
      <w:r>
        <w:t xml:space="preserve">2. Roles &amp; Primary Subsystem Ownership</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40"/>
      </w:tblGrid>
      <w:tr>
        <w:trPr>
          <w:tblHeader/>
        </w:trPr>
        <w:tc>
          <w:tcPr>
            <w:tcW w:type="dxa" w:w="2400"/>
            <w:shd w:fill="1F3864" w:val="clear"/>
            <w:tcMar>
              <w:top w:type="dxa" w:w="80"/>
              <w:left w:type="dxa" w:w="120"/>
              <w:bottom w:type="dxa" w:w="80"/>
              <w:right w:type="dxa" w:w="120"/>
            </w:tcMar>
          </w:tcPr>
          <w:p>
            <w:r>
              <w:rPr>
                <w:b/>
                <w:bCs/>
                <w:color w:val="FFFFFF"/>
                <w:sz w:val="19"/>
                <w:szCs w:val="19"/>
              </w:rPr>
              <w:t xml:space="preserve">Member</w:t>
            </w:r>
          </w:p>
        </w:tc>
        <w:tc>
          <w:tcPr>
            <w:tcW w:type="dxa" w:w="3800"/>
            <w:shd w:fill="1F3864" w:val="clear"/>
            <w:tcMar>
              <w:top w:type="dxa" w:w="80"/>
              <w:left w:type="dxa" w:w="120"/>
              <w:bottom w:type="dxa" w:w="80"/>
              <w:right w:type="dxa" w:w="120"/>
            </w:tcMar>
          </w:tcPr>
          <w:p>
            <w:r>
              <w:rPr>
                <w:b/>
                <w:bCs/>
                <w:color w:val="FFFFFF"/>
                <w:sz w:val="19"/>
                <w:szCs w:val="19"/>
              </w:rPr>
              <w:t xml:space="preserve">Primary Subsystem</w:t>
            </w:r>
          </w:p>
        </w:tc>
        <w:tc>
          <w:tcPr>
            <w:tcW w:type="dxa" w:w="3140"/>
            <w:shd w:fill="1F3864" w:val="clear"/>
            <w:tcMar>
              <w:top w:type="dxa" w:w="80"/>
              <w:left w:type="dxa" w:w="120"/>
              <w:bottom w:type="dxa" w:w="80"/>
              <w:right w:type="dxa" w:w="120"/>
            </w:tcMar>
          </w:tcPr>
          <w:p>
            <w:r>
              <w:rPr>
                <w:b/>
                <w:bCs/>
                <w:color w:val="FFFFFF"/>
                <w:sz w:val="19"/>
                <w:szCs w:val="19"/>
              </w:rPr>
              <w:t xml:space="preserve">Also Owns (from Test Plan)</w:t>
            </w:r>
          </w:p>
        </w:tc>
      </w:tr>
      <w:tr>
        <w:tc>
          <w:tcPr>
            <w:tcW w:type="dxa" w:w="2400"/>
            <w:tcMar>
              <w:top w:type="dxa" w:w="80"/>
              <w:left w:type="dxa" w:w="120"/>
              <w:bottom w:type="dxa" w:w="80"/>
              <w:right w:type="dxa" w:w="120"/>
            </w:tcMar>
          </w:tcPr>
          <w:p>
            <w:r>
              <w:rPr>
                <w:b w:val="false"/>
                <w:bCs w:val="false"/>
                <w:sz w:val="19"/>
                <w:szCs w:val="19"/>
              </w:rPr>
              <w:t xml:space="preserve">Vinayak Suyal (Lead)</w:t>
            </w:r>
          </w:p>
        </w:tc>
        <w:tc>
          <w:tcPr>
            <w:tcW w:type="dxa" w:w="3800"/>
            <w:tcMar>
              <w:top w:type="dxa" w:w="80"/>
              <w:left w:type="dxa" w:w="120"/>
              <w:bottom w:type="dxa" w:w="80"/>
              <w:right w:type="dxa" w:w="120"/>
            </w:tcMar>
          </w:tcPr>
          <w:p>
            <w:r>
              <w:rPr>
                <w:b w:val="false"/>
                <w:bCs w:val="false"/>
                <w:sz w:val="19"/>
                <w:szCs w:val="19"/>
              </w:rPr>
              <w:t xml:space="preserve">Storage manager, page format, buffer pool, page replacement policy</w:t>
            </w:r>
          </w:p>
        </w:tc>
        <w:tc>
          <w:tcPr>
            <w:tcW w:type="dxa" w:w="3140"/>
            <w:tcMar>
              <w:top w:type="dxa" w:w="80"/>
              <w:left w:type="dxa" w:w="120"/>
              <w:bottom w:type="dxa" w:w="80"/>
              <w:right w:type="dxa" w:w="120"/>
            </w:tcMar>
          </w:tcPr>
          <w:p>
            <w:r>
              <w:rPr>
                <w:b w:val="false"/>
                <w:bCs w:val="false"/>
                <w:sz w:val="19"/>
                <w:szCs w:val="19"/>
              </w:rPr>
              <w:t xml:space="preserve">TC-STO-*, TC-BUF-* test cases; final PRD/Architecture doc consistency review</w:t>
            </w:r>
          </w:p>
        </w:tc>
      </w:tr>
      <w:tr>
        <w:tc>
          <w:tcPr>
            <w:tcW w:type="dxa" w:w="2400"/>
            <w:shd w:fill="F5F8FB" w:val="clear"/>
            <w:tcMar>
              <w:top w:type="dxa" w:w="80"/>
              <w:left w:type="dxa" w:w="120"/>
              <w:bottom w:type="dxa" w:w="80"/>
              <w:right w:type="dxa" w:w="120"/>
            </w:tcMar>
          </w:tcPr>
          <w:p>
            <w:r>
              <w:rPr>
                <w:b w:val="false"/>
                <w:bCs w:val="false"/>
                <w:sz w:val="19"/>
                <w:szCs w:val="19"/>
              </w:rPr>
              <w:t xml:space="preserve">Sushmit Singh Rawat</w:t>
            </w:r>
          </w:p>
        </w:tc>
        <w:tc>
          <w:tcPr>
            <w:tcW w:type="dxa" w:w="3800"/>
            <w:shd w:fill="F5F8FB" w:val="clear"/>
            <w:tcMar>
              <w:top w:type="dxa" w:w="80"/>
              <w:left w:type="dxa" w:w="120"/>
              <w:bottom w:type="dxa" w:w="80"/>
              <w:right w:type="dxa" w:w="120"/>
            </w:tcMar>
          </w:tcPr>
          <w:p>
            <w:r>
              <w:rPr>
                <w:b w:val="false"/>
                <w:bCs w:val="false"/>
                <w:sz w:val="19"/>
                <w:szCs w:val="19"/>
              </w:rPr>
              <w:t xml:space="preserve">Transaction manager, lock manager, Strict 2PL, wait-for-graph deadlock detector</w:t>
            </w:r>
          </w:p>
        </w:tc>
        <w:tc>
          <w:tcPr>
            <w:tcW w:type="dxa" w:w="3140"/>
            <w:shd w:fill="F5F8FB" w:val="clear"/>
            <w:tcMar>
              <w:top w:type="dxa" w:w="80"/>
              <w:left w:type="dxa" w:w="120"/>
              <w:bottom w:type="dxa" w:w="80"/>
              <w:right w:type="dxa" w:w="120"/>
            </w:tcMar>
          </w:tcPr>
          <w:p>
            <w:r>
              <w:rPr>
                <w:b w:val="false"/>
                <w:bCs w:val="false"/>
                <w:sz w:val="19"/>
                <w:szCs w:val="19"/>
              </w:rPr>
              <w:t xml:space="preserve">TC-LCK-*, TC-DLK-* test cases</w:t>
            </w:r>
          </w:p>
        </w:tc>
      </w:tr>
      <w:tr>
        <w:tc>
          <w:tcPr>
            <w:tcW w:type="dxa" w:w="2400"/>
            <w:tcMar>
              <w:top w:type="dxa" w:w="80"/>
              <w:left w:type="dxa" w:w="120"/>
              <w:bottom w:type="dxa" w:w="80"/>
              <w:right w:type="dxa" w:w="120"/>
            </w:tcMar>
          </w:tcPr>
          <w:p>
            <w:r>
              <w:rPr>
                <w:b w:val="false"/>
                <w:bCs w:val="false"/>
                <w:sz w:val="19"/>
                <w:szCs w:val="19"/>
              </w:rPr>
              <w:t xml:space="preserve">Kanak Rawat</w:t>
            </w:r>
          </w:p>
        </w:tc>
        <w:tc>
          <w:tcPr>
            <w:tcW w:type="dxa" w:w="3800"/>
            <w:tcMar>
              <w:top w:type="dxa" w:w="80"/>
              <w:left w:type="dxa" w:w="120"/>
              <w:bottom w:type="dxa" w:w="80"/>
              <w:right w:type="dxa" w:w="120"/>
            </w:tcMar>
          </w:tcPr>
          <w:p>
            <w:r>
              <w:rPr>
                <w:b w:val="false"/>
                <w:bCs w:val="false"/>
                <w:sz w:val="19"/>
                <w:szCs w:val="19"/>
              </w:rPr>
              <w:t xml:space="preserve">Write-Ahead Logging, recovery manager, hash index, test workloads</w:t>
            </w:r>
          </w:p>
        </w:tc>
        <w:tc>
          <w:tcPr>
            <w:tcW w:type="dxa" w:w="3140"/>
            <w:tcMar>
              <w:top w:type="dxa" w:w="80"/>
              <w:left w:type="dxa" w:w="120"/>
              <w:bottom w:type="dxa" w:w="80"/>
              <w:right w:type="dxa" w:w="120"/>
            </w:tcMar>
          </w:tcPr>
          <w:p>
            <w:r>
              <w:rPr>
                <w:b w:val="false"/>
                <w:bCs w:val="false"/>
                <w:sz w:val="19"/>
                <w:szCs w:val="19"/>
              </w:rPr>
              <w:t xml:space="preserve">TC-REC-* test cases; fault-injection harness; requirements traceability matrix</w:t>
            </w:r>
          </w:p>
        </w:tc>
      </w:tr>
      <w:tr>
        <w:tc>
          <w:tcPr>
            <w:tcW w:type="dxa" w:w="2400"/>
            <w:shd w:fill="F5F8FB" w:val="clear"/>
            <w:tcMar>
              <w:top w:type="dxa" w:w="80"/>
              <w:left w:type="dxa" w:w="120"/>
              <w:bottom w:type="dxa" w:w="80"/>
              <w:right w:type="dxa" w:w="120"/>
            </w:tcMar>
          </w:tcPr>
          <w:p>
            <w:r>
              <w:rPr>
                <w:b w:val="false"/>
                <w:bCs w:val="false"/>
                <w:sz w:val="19"/>
                <w:szCs w:val="19"/>
              </w:rPr>
              <w:t xml:space="preserve">Suhavi Jugran</w:t>
            </w:r>
          </w:p>
        </w:tc>
        <w:tc>
          <w:tcPr>
            <w:tcW w:type="dxa" w:w="3800"/>
            <w:shd w:fill="F5F8FB" w:val="clear"/>
            <w:tcMar>
              <w:top w:type="dxa" w:w="80"/>
              <w:left w:type="dxa" w:w="120"/>
              <w:bottom w:type="dxa" w:w="80"/>
              <w:right w:type="dxa" w:w="120"/>
            </w:tcMar>
          </w:tcPr>
          <w:p>
            <w:r>
              <w:rPr>
                <w:b w:val="false"/>
                <w:bCs w:val="false"/>
                <w:sz w:val="19"/>
                <w:szCs w:val="19"/>
              </w:rPr>
              <w:t xml:space="preserve">Fixed operation API, embedded REST server, dashboard, performance visualization</w:t>
            </w:r>
          </w:p>
        </w:tc>
        <w:tc>
          <w:tcPr>
            <w:tcW w:type="dxa" w:w="3140"/>
            <w:shd w:fill="F5F8FB" w:val="clear"/>
            <w:tcMar>
              <w:top w:type="dxa" w:w="80"/>
              <w:left w:type="dxa" w:w="120"/>
              <w:bottom w:type="dxa" w:w="80"/>
              <w:right w:type="dxa" w:w="120"/>
            </w:tcMar>
          </w:tcPr>
          <w:p>
            <w:r>
              <w:rPr>
                <w:b w:val="false"/>
                <w:bCs w:val="false"/>
                <w:sz w:val="19"/>
                <w:szCs w:val="19"/>
              </w:rPr>
              <w:t xml:space="preserve">TC-API-*, TC-UI-* test cases; API Specification document owner</w:t>
            </w:r>
          </w:p>
        </w:tc>
      </w:tr>
    </w:tbl>
    <w:p>
      <w:pPr>
        <w:pStyle w:val="Heading1"/>
        <w:pBdr>
          <w:bottom w:val="single" w:color="1F3864" w:sz="6" w:space="4"/>
        </w:pBdr>
        <w:spacing w:after="160" w:before="360"/>
      </w:pPr>
      <w:r>
        <w:t xml:space="preserve">3. Week-by-Week Task Assignment</w:t>
      </w:r>
    </w:p>
    <w:p>
      <w:pPr>
        <w:spacing w:after="160" w:line="276"/>
      </w:pPr>
      <w:r>
        <w:t xml:space="preserve">Each row corresponds to the milestone of the same week in the PRD (§10) and the acceptance gate in the Test Plan (§14).</w:t>
      </w:r>
    </w:p>
    <w:p>
      <w:pPr>
        <w:pStyle w:val="Heading2"/>
        <w:spacing w:after="120" w:before="260"/>
      </w:pPr>
      <w:r>
        <w:t xml:space="preserve">Week 1 — Design Freeze</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600"/>
        <w:gridCol w:w="7740"/>
      </w:tblGrid>
      <w:tr>
        <w:trPr>
          <w:tblHeader/>
        </w:trPr>
        <w:tc>
          <w:tcPr>
            <w:tcW w:type="dxa" w:w="1600"/>
            <w:shd w:fill="1F3864" w:val="clear"/>
            <w:tcMar>
              <w:top w:type="dxa" w:w="80"/>
              <w:left w:type="dxa" w:w="120"/>
              <w:bottom w:type="dxa" w:w="80"/>
              <w:right w:type="dxa" w:w="120"/>
            </w:tcMar>
          </w:tcPr>
          <w:p>
            <w:r>
              <w:rPr>
                <w:b/>
                <w:bCs/>
                <w:color w:val="FFFFFF"/>
                <w:sz w:val="19"/>
                <w:szCs w:val="19"/>
              </w:rPr>
              <w:t xml:space="preserve">Member</w:t>
            </w:r>
          </w:p>
        </w:tc>
        <w:tc>
          <w:tcPr>
            <w:tcW w:type="dxa" w:w="7740"/>
            <w:shd w:fill="1F3864" w:val="clear"/>
            <w:tcMar>
              <w:top w:type="dxa" w:w="80"/>
              <w:left w:type="dxa" w:w="120"/>
              <w:bottom w:type="dxa" w:w="80"/>
              <w:right w:type="dxa" w:w="120"/>
            </w:tcMar>
          </w:tcPr>
          <w:p>
            <w:r>
              <w:rPr>
                <w:b/>
                <w:bCs/>
                <w:color w:val="FFFFFF"/>
                <w:sz w:val="19"/>
                <w:szCs w:val="19"/>
              </w:rPr>
              <w:t xml:space="preserve">Tasks</w:t>
            </w:r>
          </w:p>
        </w:tc>
      </w:tr>
      <w:tr>
        <w:tc>
          <w:tcPr>
            <w:tcW w:type="dxa" w:w="1600"/>
            <w:tcMar>
              <w:top w:type="dxa" w:w="80"/>
              <w:left w:type="dxa" w:w="120"/>
              <w:bottom w:type="dxa" w:w="80"/>
              <w:right w:type="dxa" w:w="120"/>
            </w:tcMar>
          </w:tcPr>
          <w:p>
            <w:r>
              <w:rPr>
                <w:b w:val="false"/>
                <w:bCs w:val="false"/>
                <w:sz w:val="19"/>
                <w:szCs w:val="19"/>
              </w:rPr>
              <w:t xml:space="preserve">Vinayak</w:t>
            </w:r>
          </w:p>
        </w:tc>
        <w:tc>
          <w:tcPr>
            <w:tcW w:type="dxa" w:w="7740"/>
            <w:tcMar>
              <w:top w:type="dxa" w:w="80"/>
              <w:left w:type="dxa" w:w="120"/>
              <w:bottom w:type="dxa" w:w="80"/>
              <w:right w:type="dxa" w:w="120"/>
            </w:tcMar>
          </w:tcPr>
          <w:p>
            <w:r>
              <w:rPr>
                <w:b w:val="false"/>
                <w:bCs w:val="false"/>
                <w:sz w:val="19"/>
                <w:szCs w:val="19"/>
              </w:rPr>
              <w:t xml:space="preserve">Own the high-level architecture diagram; draft the on-disk page format spec.</w:t>
            </w:r>
          </w:p>
        </w:tc>
      </w:tr>
      <w:tr>
        <w:tc>
          <w:tcPr>
            <w:tcW w:type="dxa" w:w="1600"/>
            <w:shd w:fill="F5F8FB" w:val="clear"/>
            <w:tcMar>
              <w:top w:type="dxa" w:w="80"/>
              <w:left w:type="dxa" w:w="120"/>
              <w:bottom w:type="dxa" w:w="80"/>
              <w:right w:type="dxa" w:w="120"/>
            </w:tcMar>
          </w:tcPr>
          <w:p>
            <w:r>
              <w:rPr>
                <w:b w:val="false"/>
                <w:bCs w:val="false"/>
                <w:sz w:val="19"/>
                <w:szCs w:val="19"/>
              </w:rPr>
              <w:t xml:space="preserve">Sushmit</w:t>
            </w:r>
          </w:p>
        </w:tc>
        <w:tc>
          <w:tcPr>
            <w:tcW w:type="dxa" w:w="7740"/>
            <w:shd w:fill="F5F8FB" w:val="clear"/>
            <w:tcMar>
              <w:top w:type="dxa" w:w="80"/>
              <w:left w:type="dxa" w:w="120"/>
              <w:bottom w:type="dxa" w:w="80"/>
              <w:right w:type="dxa" w:w="120"/>
            </w:tcMar>
          </w:tcPr>
          <w:p>
            <w:r>
              <w:rPr>
                <w:b w:val="false"/>
                <w:bCs w:val="false"/>
                <w:sz w:val="19"/>
                <w:szCs w:val="19"/>
              </w:rPr>
              <w:t xml:space="preserve">Draft the lock table structure and Strict 2PL protocol notes that will drive the lock manager.</w:t>
            </w:r>
          </w:p>
        </w:tc>
      </w:tr>
      <w:tr>
        <w:tc>
          <w:tcPr>
            <w:tcW w:type="dxa" w:w="1600"/>
            <w:tcMar>
              <w:top w:type="dxa" w:w="80"/>
              <w:left w:type="dxa" w:w="120"/>
              <w:bottom w:type="dxa" w:w="80"/>
              <w:right w:type="dxa" w:w="120"/>
            </w:tcMar>
          </w:tcPr>
          <w:p>
            <w:r>
              <w:rPr>
                <w:b w:val="false"/>
                <w:bCs w:val="false"/>
                <w:sz w:val="19"/>
                <w:szCs w:val="19"/>
              </w:rPr>
              <w:t xml:space="preserve">Kanak</w:t>
            </w:r>
          </w:p>
        </w:tc>
        <w:tc>
          <w:tcPr>
            <w:tcW w:type="dxa" w:w="7740"/>
            <w:tcMar>
              <w:top w:type="dxa" w:w="80"/>
              <w:left w:type="dxa" w:w="120"/>
              <w:bottom w:type="dxa" w:w="80"/>
              <w:right w:type="dxa" w:w="120"/>
            </w:tcMar>
          </w:tcPr>
          <w:p>
            <w:r>
              <w:rPr>
                <w:b w:val="false"/>
                <w:bCs w:val="false"/>
                <w:sz w:val="19"/>
                <w:szCs w:val="19"/>
              </w:rPr>
              <w:t xml:space="preserve">Finalize the Users / Items / Bids schema, ER diagram, and functional dependencies; draft the WAL record format.</w:t>
            </w:r>
          </w:p>
        </w:tc>
      </w:tr>
      <w:tr>
        <w:tc>
          <w:tcPr>
            <w:tcW w:type="dxa" w:w="1600"/>
            <w:shd w:fill="F5F8FB" w:val="clear"/>
            <w:tcMar>
              <w:top w:type="dxa" w:w="80"/>
              <w:left w:type="dxa" w:w="120"/>
              <w:bottom w:type="dxa" w:w="80"/>
              <w:right w:type="dxa" w:w="120"/>
            </w:tcMar>
          </w:tcPr>
          <w:p>
            <w:r>
              <w:rPr>
                <w:b w:val="false"/>
                <w:bCs w:val="false"/>
                <w:sz w:val="19"/>
                <w:szCs w:val="19"/>
              </w:rPr>
              <w:t xml:space="preserve">Suhavi</w:t>
            </w:r>
          </w:p>
        </w:tc>
        <w:tc>
          <w:tcPr>
            <w:tcW w:type="dxa" w:w="7740"/>
            <w:shd w:fill="F5F8FB" w:val="clear"/>
            <w:tcMar>
              <w:top w:type="dxa" w:w="80"/>
              <w:left w:type="dxa" w:w="120"/>
              <w:bottom w:type="dxa" w:w="80"/>
              <w:right w:type="dxa" w:w="120"/>
            </w:tcMar>
          </w:tcPr>
          <w:p>
            <w:r>
              <w:rPr>
                <w:b w:val="false"/>
                <w:bCs w:val="false"/>
                <w:sz w:val="19"/>
                <w:szCs w:val="19"/>
              </w:rPr>
              <w:t xml:space="preserve">Finalize the fixed operation API signatures (createUser, createItem, placeBid, getHighestBid, listBids, closeAuction, reserveBundle); low-fidelity dashboard wireframes.</w:t>
            </w:r>
          </w:p>
        </w:tc>
      </w:tr>
    </w:tbl>
    <w:p>
      <w:pPr>
        <w:pStyle w:val="Heading2"/>
        <w:spacing w:after="120" w:before="260"/>
      </w:pPr>
      <w:r>
        <w:t xml:space="preserve">Week 2 — Storage Foundation</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600"/>
        <w:gridCol w:w="7740"/>
      </w:tblGrid>
      <w:tr>
        <w:trPr>
          <w:tblHeader/>
        </w:trPr>
        <w:tc>
          <w:tcPr>
            <w:tcW w:type="dxa" w:w="1600"/>
            <w:shd w:fill="1F3864" w:val="clear"/>
            <w:tcMar>
              <w:top w:type="dxa" w:w="80"/>
              <w:left w:type="dxa" w:w="120"/>
              <w:bottom w:type="dxa" w:w="80"/>
              <w:right w:type="dxa" w:w="120"/>
            </w:tcMar>
          </w:tcPr>
          <w:p>
            <w:r>
              <w:rPr>
                <w:b/>
                <w:bCs/>
                <w:color w:val="FFFFFF"/>
                <w:sz w:val="19"/>
                <w:szCs w:val="19"/>
              </w:rPr>
              <w:t xml:space="preserve">Member</w:t>
            </w:r>
          </w:p>
        </w:tc>
        <w:tc>
          <w:tcPr>
            <w:tcW w:type="dxa" w:w="7740"/>
            <w:shd w:fill="1F3864" w:val="clear"/>
            <w:tcMar>
              <w:top w:type="dxa" w:w="80"/>
              <w:left w:type="dxa" w:w="120"/>
              <w:bottom w:type="dxa" w:w="80"/>
              <w:right w:type="dxa" w:w="120"/>
            </w:tcMar>
          </w:tcPr>
          <w:p>
            <w:r>
              <w:rPr>
                <w:b/>
                <w:bCs/>
                <w:color w:val="FFFFFF"/>
                <w:sz w:val="19"/>
                <w:szCs w:val="19"/>
              </w:rPr>
              <w:t xml:space="preserve">Tasks</w:t>
            </w:r>
          </w:p>
        </w:tc>
      </w:tr>
      <w:tr>
        <w:tc>
          <w:tcPr>
            <w:tcW w:type="dxa" w:w="1600"/>
            <w:tcMar>
              <w:top w:type="dxa" w:w="80"/>
              <w:left w:type="dxa" w:w="120"/>
              <w:bottom w:type="dxa" w:w="80"/>
              <w:right w:type="dxa" w:w="120"/>
            </w:tcMar>
          </w:tcPr>
          <w:p>
            <w:r>
              <w:rPr>
                <w:b w:val="false"/>
                <w:bCs w:val="false"/>
                <w:sz w:val="19"/>
                <w:szCs w:val="19"/>
              </w:rPr>
              <w:t xml:space="preserve">Vinayak</w:t>
            </w:r>
          </w:p>
        </w:tc>
        <w:tc>
          <w:tcPr>
            <w:tcW w:type="dxa" w:w="7740"/>
            <w:tcMar>
              <w:top w:type="dxa" w:w="80"/>
              <w:left w:type="dxa" w:w="120"/>
              <w:bottom w:type="dxa" w:w="80"/>
              <w:right w:type="dxa" w:w="120"/>
            </w:tcMar>
          </w:tcPr>
          <w:p>
            <w:r>
              <w:rPr>
                <w:b w:val="false"/>
                <w:bCs w:val="false"/>
                <w:sz w:val="19"/>
                <w:szCs w:val="19"/>
              </w:rPr>
              <w:t xml:space="preserve">Lead: implement the page format, file manager, record layout, and database initialization (walnut.db).</w:t>
            </w:r>
          </w:p>
        </w:tc>
      </w:tr>
      <w:tr>
        <w:tc>
          <w:tcPr>
            <w:tcW w:type="dxa" w:w="1600"/>
            <w:shd w:fill="F5F8FB" w:val="clear"/>
            <w:tcMar>
              <w:top w:type="dxa" w:w="80"/>
              <w:left w:type="dxa" w:w="120"/>
              <w:bottom w:type="dxa" w:w="80"/>
              <w:right w:type="dxa" w:w="120"/>
            </w:tcMar>
          </w:tcPr>
          <w:p>
            <w:r>
              <w:rPr>
                <w:b w:val="false"/>
                <w:bCs w:val="false"/>
                <w:sz w:val="19"/>
                <w:szCs w:val="19"/>
              </w:rPr>
              <w:t xml:space="preserve">Sushmit</w:t>
            </w:r>
          </w:p>
        </w:tc>
        <w:tc>
          <w:tcPr>
            <w:tcW w:type="dxa" w:w="7740"/>
            <w:shd w:fill="F5F8FB" w:val="clear"/>
            <w:tcMar>
              <w:top w:type="dxa" w:w="80"/>
              <w:left w:type="dxa" w:w="120"/>
              <w:bottom w:type="dxa" w:w="80"/>
              <w:right w:type="dxa" w:w="120"/>
            </w:tcMar>
          </w:tcPr>
          <w:p>
            <w:r>
              <w:rPr>
                <w:b w:val="false"/>
                <w:bCs w:val="false"/>
                <w:sz w:val="19"/>
                <w:szCs w:val="19"/>
              </w:rPr>
              <w:t xml:space="preserve">Stub an in-memory lock table (no persistence yet) against the finalized schema.</w:t>
            </w:r>
          </w:p>
        </w:tc>
      </w:tr>
      <w:tr>
        <w:tc>
          <w:tcPr>
            <w:tcW w:type="dxa" w:w="1600"/>
            <w:tcMar>
              <w:top w:type="dxa" w:w="80"/>
              <w:left w:type="dxa" w:w="120"/>
              <w:bottom w:type="dxa" w:w="80"/>
              <w:right w:type="dxa" w:w="120"/>
            </w:tcMar>
          </w:tcPr>
          <w:p>
            <w:r>
              <w:rPr>
                <w:b w:val="false"/>
                <w:bCs w:val="false"/>
                <w:sz w:val="19"/>
                <w:szCs w:val="19"/>
              </w:rPr>
              <w:t xml:space="preserve">Kanak</w:t>
            </w:r>
          </w:p>
        </w:tc>
        <w:tc>
          <w:tcPr>
            <w:tcW w:type="dxa" w:w="7740"/>
            <w:tcMar>
              <w:top w:type="dxa" w:w="80"/>
              <w:left w:type="dxa" w:w="120"/>
              <w:bottom w:type="dxa" w:w="80"/>
              <w:right w:type="dxa" w:w="120"/>
            </w:tcMar>
          </w:tcPr>
          <w:p>
            <w:r>
              <w:rPr>
                <w:b w:val="false"/>
                <w:bCs w:val="false"/>
                <w:sz w:val="19"/>
                <w:szCs w:val="19"/>
              </w:rPr>
              <w:t xml:space="preserve">Stand up the walnut.wal file format and a minimal append-only writer.</w:t>
            </w:r>
          </w:p>
        </w:tc>
      </w:tr>
      <w:tr>
        <w:tc>
          <w:tcPr>
            <w:tcW w:type="dxa" w:w="1600"/>
            <w:shd w:fill="F5F8FB" w:val="clear"/>
            <w:tcMar>
              <w:top w:type="dxa" w:w="80"/>
              <w:left w:type="dxa" w:w="120"/>
              <w:bottom w:type="dxa" w:w="80"/>
              <w:right w:type="dxa" w:w="120"/>
            </w:tcMar>
          </w:tcPr>
          <w:p>
            <w:r>
              <w:rPr>
                <w:b w:val="false"/>
                <w:bCs w:val="false"/>
                <w:sz w:val="19"/>
                <w:szCs w:val="19"/>
              </w:rPr>
              <w:t xml:space="preserve">Suhavi</w:t>
            </w:r>
          </w:p>
        </w:tc>
        <w:tc>
          <w:tcPr>
            <w:tcW w:type="dxa" w:w="7740"/>
            <w:shd w:fill="F5F8FB" w:val="clear"/>
            <w:tcMar>
              <w:top w:type="dxa" w:w="80"/>
              <w:left w:type="dxa" w:w="120"/>
              <w:bottom w:type="dxa" w:w="80"/>
              <w:right w:type="dxa" w:w="120"/>
            </w:tcMar>
          </w:tcPr>
          <w:p>
            <w:r>
              <w:rPr>
                <w:b w:val="false"/>
                <w:bCs w:val="false"/>
                <w:sz w:val="19"/>
                <w:szCs w:val="19"/>
              </w:rPr>
              <w:t xml:space="preserve">Scaffold the embedded REST server (cpp-httplib) and the dashboard project (React + TypeScript + Vite).</w:t>
            </w:r>
          </w:p>
        </w:tc>
      </w:tr>
    </w:tbl>
    <w:p>
      <w:pPr>
        <w:pStyle w:val="Heading2"/>
        <w:spacing w:after="120" w:before="260"/>
      </w:pPr>
      <w:r>
        <w:t xml:space="preserve">Week 3 — Buffer &amp; Indexing</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600"/>
        <w:gridCol w:w="7740"/>
      </w:tblGrid>
      <w:tr>
        <w:trPr>
          <w:tblHeader/>
        </w:trPr>
        <w:tc>
          <w:tcPr>
            <w:tcW w:type="dxa" w:w="1600"/>
            <w:shd w:fill="1F3864" w:val="clear"/>
            <w:tcMar>
              <w:top w:type="dxa" w:w="80"/>
              <w:left w:type="dxa" w:w="120"/>
              <w:bottom w:type="dxa" w:w="80"/>
              <w:right w:type="dxa" w:w="120"/>
            </w:tcMar>
          </w:tcPr>
          <w:p>
            <w:r>
              <w:rPr>
                <w:b/>
                <w:bCs/>
                <w:color w:val="FFFFFF"/>
                <w:sz w:val="19"/>
                <w:szCs w:val="19"/>
              </w:rPr>
              <w:t xml:space="preserve">Member</w:t>
            </w:r>
          </w:p>
        </w:tc>
        <w:tc>
          <w:tcPr>
            <w:tcW w:type="dxa" w:w="7740"/>
            <w:shd w:fill="1F3864" w:val="clear"/>
            <w:tcMar>
              <w:top w:type="dxa" w:w="80"/>
              <w:left w:type="dxa" w:w="120"/>
              <w:bottom w:type="dxa" w:w="80"/>
              <w:right w:type="dxa" w:w="120"/>
            </w:tcMar>
          </w:tcPr>
          <w:p>
            <w:r>
              <w:rPr>
                <w:b/>
                <w:bCs/>
                <w:color w:val="FFFFFF"/>
                <w:sz w:val="19"/>
                <w:szCs w:val="19"/>
              </w:rPr>
              <w:t xml:space="preserve">Tasks</w:t>
            </w:r>
          </w:p>
        </w:tc>
      </w:tr>
      <w:tr>
        <w:tc>
          <w:tcPr>
            <w:tcW w:type="dxa" w:w="1600"/>
            <w:tcMar>
              <w:top w:type="dxa" w:w="80"/>
              <w:left w:type="dxa" w:w="120"/>
              <w:bottom w:type="dxa" w:w="80"/>
              <w:right w:type="dxa" w:w="120"/>
            </w:tcMar>
          </w:tcPr>
          <w:p>
            <w:r>
              <w:rPr>
                <w:b w:val="false"/>
                <w:bCs w:val="false"/>
                <w:sz w:val="19"/>
                <w:szCs w:val="19"/>
              </w:rPr>
              <w:t xml:space="preserve">Vinayak</w:t>
            </w:r>
          </w:p>
        </w:tc>
        <w:tc>
          <w:tcPr>
            <w:tcW w:type="dxa" w:w="7740"/>
            <w:tcMar>
              <w:top w:type="dxa" w:w="80"/>
              <w:left w:type="dxa" w:w="120"/>
              <w:bottom w:type="dxa" w:w="80"/>
              <w:right w:type="dxa" w:w="120"/>
            </w:tcMar>
          </w:tcPr>
          <w:p>
            <w:r>
              <w:rPr>
                <w:b w:val="false"/>
                <w:bCs w:val="false"/>
                <w:sz w:val="19"/>
                <w:szCs w:val="19"/>
              </w:rPr>
              <w:t xml:space="preserve">Lead: implement the buffer pool — pin/unpin, dirty-page tracking, Clock/LRU replacement.</w:t>
            </w:r>
          </w:p>
        </w:tc>
      </w:tr>
      <w:tr>
        <w:tc>
          <w:tcPr>
            <w:tcW w:type="dxa" w:w="1600"/>
            <w:shd w:fill="F5F8FB" w:val="clear"/>
            <w:tcMar>
              <w:top w:type="dxa" w:w="80"/>
              <w:left w:type="dxa" w:w="120"/>
              <w:bottom w:type="dxa" w:w="80"/>
              <w:right w:type="dxa" w:w="120"/>
            </w:tcMar>
          </w:tcPr>
          <w:p>
            <w:r>
              <w:rPr>
                <w:b w:val="false"/>
                <w:bCs w:val="false"/>
                <w:sz w:val="19"/>
                <w:szCs w:val="19"/>
              </w:rPr>
              <w:t xml:space="preserve">Kanak</w:t>
            </w:r>
          </w:p>
        </w:tc>
        <w:tc>
          <w:tcPr>
            <w:tcW w:type="dxa" w:w="7740"/>
            <w:shd w:fill="F5F8FB" w:val="clear"/>
            <w:tcMar>
              <w:top w:type="dxa" w:w="80"/>
              <w:left w:type="dxa" w:w="120"/>
              <w:bottom w:type="dxa" w:w="80"/>
              <w:right w:type="dxa" w:w="120"/>
            </w:tcMar>
          </w:tcPr>
          <w:p>
            <w:r>
              <w:rPr>
                <w:b w:val="false"/>
                <w:bCs w:val="false"/>
                <w:sz w:val="19"/>
                <w:szCs w:val="19"/>
              </w:rPr>
              <w:t xml:space="preserve">Lead: implement the hash index on item_id.</w:t>
            </w:r>
          </w:p>
        </w:tc>
      </w:tr>
      <w:tr>
        <w:tc>
          <w:tcPr>
            <w:tcW w:type="dxa" w:w="1600"/>
            <w:tcMar>
              <w:top w:type="dxa" w:w="80"/>
              <w:left w:type="dxa" w:w="120"/>
              <w:bottom w:type="dxa" w:w="80"/>
              <w:right w:type="dxa" w:w="120"/>
            </w:tcMar>
          </w:tcPr>
          <w:p>
            <w:r>
              <w:rPr>
                <w:b w:val="false"/>
                <w:bCs w:val="false"/>
                <w:sz w:val="19"/>
                <w:szCs w:val="19"/>
              </w:rPr>
              <w:t xml:space="preserve">Sushmit</w:t>
            </w:r>
          </w:p>
        </w:tc>
        <w:tc>
          <w:tcPr>
            <w:tcW w:type="dxa" w:w="7740"/>
            <w:tcMar>
              <w:top w:type="dxa" w:w="80"/>
              <w:left w:type="dxa" w:w="120"/>
              <w:bottom w:type="dxa" w:w="80"/>
              <w:right w:type="dxa" w:w="120"/>
            </w:tcMar>
          </w:tcPr>
          <w:p>
            <w:r>
              <w:rPr>
                <w:b w:val="false"/>
                <w:bCs w:val="false"/>
                <w:sz w:val="19"/>
                <w:szCs w:val="19"/>
              </w:rPr>
              <w:t xml:space="preserve">Integrate buffer-pool page access hooks into the transaction manager skeleton.</w:t>
            </w:r>
          </w:p>
        </w:tc>
      </w:tr>
      <w:tr>
        <w:tc>
          <w:tcPr>
            <w:tcW w:type="dxa" w:w="1600"/>
            <w:shd w:fill="F5F8FB" w:val="clear"/>
            <w:tcMar>
              <w:top w:type="dxa" w:w="80"/>
              <w:left w:type="dxa" w:w="120"/>
              <w:bottom w:type="dxa" w:w="80"/>
              <w:right w:type="dxa" w:w="120"/>
            </w:tcMar>
          </w:tcPr>
          <w:p>
            <w:r>
              <w:rPr>
                <w:b w:val="false"/>
                <w:bCs w:val="false"/>
                <w:sz w:val="19"/>
                <w:szCs w:val="19"/>
              </w:rPr>
              <w:t xml:space="preserve">Suhavi</w:t>
            </w:r>
          </w:p>
        </w:tc>
        <w:tc>
          <w:tcPr>
            <w:tcW w:type="dxa" w:w="7740"/>
            <w:shd w:fill="F5F8FB" w:val="clear"/>
            <w:tcMar>
              <w:top w:type="dxa" w:w="80"/>
              <w:left w:type="dxa" w:w="120"/>
              <w:bottom w:type="dxa" w:w="80"/>
              <w:right w:type="dxa" w:w="120"/>
            </w:tcMar>
          </w:tcPr>
          <w:p>
            <w:r>
              <w:rPr>
                <w:b w:val="false"/>
                <w:bCs w:val="false"/>
                <w:sz w:val="19"/>
                <w:szCs w:val="19"/>
              </w:rPr>
              <w:t xml:space="preserve">Wire read-only endpoints (getHighestBid, listBids) against the storage/index stubs.</w:t>
            </w:r>
          </w:p>
        </w:tc>
      </w:tr>
    </w:tbl>
    <w:p>
      <w:pPr>
        <w:pStyle w:val="Heading2"/>
        <w:spacing w:after="120" w:before="260"/>
      </w:pPr>
      <w:r>
        <w:t xml:space="preserve">Week 4 — Single-threaded Operations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600"/>
        <w:gridCol w:w="7740"/>
      </w:tblGrid>
      <w:tr>
        <w:trPr>
          <w:tblHeader/>
        </w:trPr>
        <w:tc>
          <w:tcPr>
            <w:tcW w:type="dxa" w:w="1600"/>
            <w:shd w:fill="1F3864" w:val="clear"/>
            <w:tcMar>
              <w:top w:type="dxa" w:w="80"/>
              <w:left w:type="dxa" w:w="120"/>
              <w:bottom w:type="dxa" w:w="80"/>
              <w:right w:type="dxa" w:w="120"/>
            </w:tcMar>
          </w:tcPr>
          <w:p>
            <w:r>
              <w:rPr>
                <w:b/>
                <w:bCs/>
                <w:color w:val="FFFFFF"/>
                <w:sz w:val="19"/>
                <w:szCs w:val="19"/>
              </w:rPr>
              <w:t xml:space="preserve">Member</w:t>
            </w:r>
          </w:p>
        </w:tc>
        <w:tc>
          <w:tcPr>
            <w:tcW w:type="dxa" w:w="7740"/>
            <w:shd w:fill="1F3864" w:val="clear"/>
            <w:tcMar>
              <w:top w:type="dxa" w:w="80"/>
              <w:left w:type="dxa" w:w="120"/>
              <w:bottom w:type="dxa" w:w="80"/>
              <w:right w:type="dxa" w:w="120"/>
            </w:tcMar>
          </w:tcPr>
          <w:p>
            <w:r>
              <w:rPr>
                <w:b/>
                <w:bCs/>
                <w:color w:val="FFFFFF"/>
                <w:sz w:val="19"/>
                <w:szCs w:val="19"/>
              </w:rPr>
              <w:t xml:space="preserve">Tasks</w:t>
            </w:r>
          </w:p>
        </w:tc>
      </w:tr>
      <w:tr>
        <w:tc>
          <w:tcPr>
            <w:tcW w:type="dxa" w:w="1600"/>
            <w:tcMar>
              <w:top w:type="dxa" w:w="80"/>
              <w:left w:type="dxa" w:w="120"/>
              <w:bottom w:type="dxa" w:w="80"/>
              <w:right w:type="dxa" w:w="120"/>
            </w:tcMar>
          </w:tcPr>
          <w:p>
            <w:r>
              <w:rPr>
                <w:b w:val="false"/>
                <w:bCs w:val="false"/>
                <w:sz w:val="19"/>
                <w:szCs w:val="19"/>
              </w:rPr>
              <w:t xml:space="preserve">Suhavi</w:t>
            </w:r>
          </w:p>
        </w:tc>
        <w:tc>
          <w:tcPr>
            <w:tcW w:type="dxa" w:w="7740"/>
            <w:tcMar>
              <w:top w:type="dxa" w:w="80"/>
              <w:left w:type="dxa" w:w="120"/>
              <w:bottom w:type="dxa" w:w="80"/>
              <w:right w:type="dxa" w:w="120"/>
            </w:tcMar>
          </w:tcPr>
          <w:p>
            <w:r>
              <w:rPr>
                <w:b w:val="false"/>
                <w:bCs w:val="false"/>
                <w:sz w:val="19"/>
                <w:szCs w:val="19"/>
              </w:rPr>
              <w:t xml:space="preserve">Lead: wire all fixed operations end-to-end through the REST API, single-threaded.</w:t>
            </w:r>
          </w:p>
        </w:tc>
      </w:tr>
      <w:tr>
        <w:tc>
          <w:tcPr>
            <w:tcW w:type="dxa" w:w="1600"/>
            <w:shd w:fill="F5F8FB" w:val="clear"/>
            <w:tcMar>
              <w:top w:type="dxa" w:w="80"/>
              <w:left w:type="dxa" w:w="120"/>
              <w:bottom w:type="dxa" w:w="80"/>
              <w:right w:type="dxa" w:w="120"/>
            </w:tcMar>
          </w:tcPr>
          <w:p>
            <w:r>
              <w:rPr>
                <w:b w:val="false"/>
                <w:bCs w:val="false"/>
                <w:sz w:val="19"/>
                <w:szCs w:val="19"/>
              </w:rPr>
              <w:t xml:space="preserve">Vinayak</w:t>
            </w:r>
          </w:p>
        </w:tc>
        <w:tc>
          <w:tcPr>
            <w:tcW w:type="dxa" w:w="7740"/>
            <w:shd w:fill="F5F8FB" w:val="clear"/>
            <w:tcMar>
              <w:top w:type="dxa" w:w="80"/>
              <w:left w:type="dxa" w:w="120"/>
              <w:bottom w:type="dxa" w:w="80"/>
              <w:right w:type="dxa" w:w="120"/>
            </w:tcMar>
          </w:tcPr>
          <w:p>
            <w:r>
              <w:rPr>
                <w:b w:val="false"/>
                <w:bCs w:val="false"/>
                <w:sz w:val="19"/>
                <w:szCs w:val="19"/>
              </w:rPr>
              <w:t xml:space="preserve">Support storage/buffer-pool calls needed by each operation; fix integration bugs as they surface.</w:t>
            </w:r>
          </w:p>
        </w:tc>
      </w:tr>
      <w:tr>
        <w:tc>
          <w:tcPr>
            <w:tcW w:type="dxa" w:w="1600"/>
            <w:tcMar>
              <w:top w:type="dxa" w:w="80"/>
              <w:left w:type="dxa" w:w="120"/>
              <w:bottom w:type="dxa" w:w="80"/>
              <w:right w:type="dxa" w:w="120"/>
            </w:tcMar>
          </w:tcPr>
          <w:p>
            <w:r>
              <w:rPr>
                <w:b w:val="false"/>
                <w:bCs w:val="false"/>
                <w:sz w:val="19"/>
                <w:szCs w:val="19"/>
              </w:rPr>
              <w:t xml:space="preserve">Kanak</w:t>
            </w:r>
          </w:p>
        </w:tc>
        <w:tc>
          <w:tcPr>
            <w:tcW w:type="dxa" w:w="7740"/>
            <w:tcMar>
              <w:top w:type="dxa" w:w="80"/>
              <w:left w:type="dxa" w:w="120"/>
              <w:bottom w:type="dxa" w:w="80"/>
              <w:right w:type="dxa" w:w="120"/>
            </w:tcMar>
          </w:tcPr>
          <w:p>
            <w:r>
              <w:rPr>
                <w:b w:val="false"/>
                <w:bCs w:val="false"/>
                <w:sz w:val="19"/>
                <w:szCs w:val="19"/>
              </w:rPr>
              <w:t xml:space="preserve">Support index lookups needed by each operation; begin the fault-injection test harness design.</w:t>
            </w:r>
          </w:p>
        </w:tc>
      </w:tr>
      <w:tr>
        <w:tc>
          <w:tcPr>
            <w:tcW w:type="dxa" w:w="1600"/>
            <w:shd w:fill="F5F8FB" w:val="clear"/>
            <w:tcMar>
              <w:top w:type="dxa" w:w="80"/>
              <w:left w:type="dxa" w:w="120"/>
              <w:bottom w:type="dxa" w:w="80"/>
              <w:right w:type="dxa" w:w="120"/>
            </w:tcMar>
          </w:tcPr>
          <w:p>
            <w:r>
              <w:rPr>
                <w:b w:val="false"/>
                <w:bCs w:val="false"/>
                <w:sz w:val="19"/>
                <w:szCs w:val="19"/>
              </w:rPr>
              <w:t xml:space="preserve">Sushmit</w:t>
            </w:r>
          </w:p>
        </w:tc>
        <w:tc>
          <w:tcPr>
            <w:tcW w:type="dxa" w:w="7740"/>
            <w:shd w:fill="F5F8FB" w:val="clear"/>
            <w:tcMar>
              <w:top w:type="dxa" w:w="80"/>
              <w:left w:type="dxa" w:w="120"/>
              <w:bottom w:type="dxa" w:w="80"/>
              <w:right w:type="dxa" w:w="120"/>
            </w:tcMar>
          </w:tcPr>
          <w:p>
            <w:r>
              <w:rPr>
                <w:b w:val="false"/>
                <w:bCs w:val="false"/>
                <w:sz w:val="19"/>
                <w:szCs w:val="19"/>
              </w:rPr>
              <w:t xml:space="preserve">Build single-threaded BEGIN/COMMIT transaction lifecycle scaffolding (no concurrency yet).</w:t>
            </w:r>
          </w:p>
        </w:tc>
      </w:tr>
    </w:tbl>
    <w:p>
      <w:pPr>
        <w:pStyle w:val="Heading2"/>
        <w:spacing w:after="120" w:before="260"/>
      </w:pPr>
      <w:r>
        <w:t xml:space="preserve">Week 5 — Concurrency Core (MVP)</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600"/>
        <w:gridCol w:w="7740"/>
      </w:tblGrid>
      <w:tr>
        <w:trPr>
          <w:tblHeader/>
        </w:trPr>
        <w:tc>
          <w:tcPr>
            <w:tcW w:type="dxa" w:w="1600"/>
            <w:shd w:fill="1F3864" w:val="clear"/>
            <w:tcMar>
              <w:top w:type="dxa" w:w="80"/>
              <w:left w:type="dxa" w:w="120"/>
              <w:bottom w:type="dxa" w:w="80"/>
              <w:right w:type="dxa" w:w="120"/>
            </w:tcMar>
          </w:tcPr>
          <w:p>
            <w:r>
              <w:rPr>
                <w:b/>
                <w:bCs/>
                <w:color w:val="FFFFFF"/>
                <w:sz w:val="19"/>
                <w:szCs w:val="19"/>
              </w:rPr>
              <w:t xml:space="preserve">Member</w:t>
            </w:r>
          </w:p>
        </w:tc>
        <w:tc>
          <w:tcPr>
            <w:tcW w:type="dxa" w:w="7740"/>
            <w:shd w:fill="1F3864" w:val="clear"/>
            <w:tcMar>
              <w:top w:type="dxa" w:w="80"/>
              <w:left w:type="dxa" w:w="120"/>
              <w:bottom w:type="dxa" w:w="80"/>
              <w:right w:type="dxa" w:w="120"/>
            </w:tcMar>
          </w:tcPr>
          <w:p>
            <w:r>
              <w:rPr>
                <w:b/>
                <w:bCs/>
                <w:color w:val="FFFFFF"/>
                <w:sz w:val="19"/>
                <w:szCs w:val="19"/>
              </w:rPr>
              <w:t xml:space="preserve">Tasks</w:t>
            </w:r>
          </w:p>
        </w:tc>
      </w:tr>
      <w:tr>
        <w:tc>
          <w:tcPr>
            <w:tcW w:type="dxa" w:w="1600"/>
            <w:tcMar>
              <w:top w:type="dxa" w:w="80"/>
              <w:left w:type="dxa" w:w="120"/>
              <w:bottom w:type="dxa" w:w="80"/>
              <w:right w:type="dxa" w:w="120"/>
            </w:tcMar>
          </w:tcPr>
          <w:p>
            <w:r>
              <w:rPr>
                <w:b w:val="false"/>
                <w:bCs w:val="false"/>
                <w:sz w:val="19"/>
                <w:szCs w:val="19"/>
              </w:rPr>
              <w:t xml:space="preserve">Sushmit</w:t>
            </w:r>
          </w:p>
        </w:tc>
        <w:tc>
          <w:tcPr>
            <w:tcW w:type="dxa" w:w="7740"/>
            <w:tcMar>
              <w:top w:type="dxa" w:w="80"/>
              <w:left w:type="dxa" w:w="120"/>
              <w:bottom w:type="dxa" w:w="80"/>
              <w:right w:type="dxa" w:w="120"/>
            </w:tcMar>
          </w:tcPr>
          <w:p>
            <w:r>
              <w:rPr>
                <w:b w:val="false"/>
                <w:bCs w:val="false"/>
                <w:sz w:val="19"/>
                <w:szCs w:val="19"/>
              </w:rPr>
              <w:t xml:space="preserve">Lead: POSIX thread pool, lock manager, Strict 2PL — make placeBid fully atomic under concurrency.</w:t>
            </w:r>
          </w:p>
        </w:tc>
      </w:tr>
      <w:tr>
        <w:tc>
          <w:tcPr>
            <w:tcW w:type="dxa" w:w="1600"/>
            <w:shd w:fill="F5F8FB" w:val="clear"/>
            <w:tcMar>
              <w:top w:type="dxa" w:w="80"/>
              <w:left w:type="dxa" w:w="120"/>
              <w:bottom w:type="dxa" w:w="80"/>
              <w:right w:type="dxa" w:w="120"/>
            </w:tcMar>
          </w:tcPr>
          <w:p>
            <w:r>
              <w:rPr>
                <w:b w:val="false"/>
                <w:bCs w:val="false"/>
                <w:sz w:val="19"/>
                <w:szCs w:val="19"/>
              </w:rPr>
              <w:t xml:space="preserve">Vinayak</w:t>
            </w:r>
          </w:p>
        </w:tc>
        <w:tc>
          <w:tcPr>
            <w:tcW w:type="dxa" w:w="7740"/>
            <w:shd w:fill="F5F8FB" w:val="clear"/>
            <w:tcMar>
              <w:top w:type="dxa" w:w="80"/>
              <w:left w:type="dxa" w:w="120"/>
              <w:bottom w:type="dxa" w:w="80"/>
              <w:right w:type="dxa" w:w="120"/>
            </w:tcMar>
          </w:tcPr>
          <w:p>
            <w:r>
              <w:rPr>
                <w:b w:val="false"/>
                <w:bCs w:val="false"/>
                <w:sz w:val="19"/>
                <w:szCs w:val="19"/>
              </w:rPr>
              <w:t xml:space="preserve">Make the buffer pool thread-safe under concurrent pin/unpin from multiple transactions.</w:t>
            </w:r>
          </w:p>
        </w:tc>
      </w:tr>
      <w:tr>
        <w:tc>
          <w:tcPr>
            <w:tcW w:type="dxa" w:w="1600"/>
            <w:tcMar>
              <w:top w:type="dxa" w:w="80"/>
              <w:left w:type="dxa" w:w="120"/>
              <w:bottom w:type="dxa" w:w="80"/>
              <w:right w:type="dxa" w:w="120"/>
            </w:tcMar>
          </w:tcPr>
          <w:p>
            <w:r>
              <w:rPr>
                <w:b w:val="false"/>
                <w:bCs w:val="false"/>
                <w:sz w:val="19"/>
                <w:szCs w:val="19"/>
              </w:rPr>
              <w:t xml:space="preserve">Kanak</w:t>
            </w:r>
          </w:p>
        </w:tc>
        <w:tc>
          <w:tcPr>
            <w:tcW w:type="dxa" w:w="7740"/>
            <w:tcMar>
              <w:top w:type="dxa" w:w="80"/>
              <w:left w:type="dxa" w:w="120"/>
              <w:bottom w:type="dxa" w:w="80"/>
              <w:right w:type="dxa" w:w="120"/>
            </w:tcMar>
          </w:tcPr>
          <w:p>
            <w:r>
              <w:rPr>
                <w:b w:val="false"/>
                <w:bCs w:val="false"/>
                <w:sz w:val="19"/>
                <w:szCs w:val="19"/>
              </w:rPr>
              <w:t xml:space="preserve">Hook the write-ahead rule into the commit path (log before flush).</w:t>
            </w:r>
          </w:p>
        </w:tc>
      </w:tr>
      <w:tr>
        <w:tc>
          <w:tcPr>
            <w:tcW w:type="dxa" w:w="1600"/>
            <w:shd w:fill="F5F8FB" w:val="clear"/>
            <w:tcMar>
              <w:top w:type="dxa" w:w="80"/>
              <w:left w:type="dxa" w:w="120"/>
              <w:bottom w:type="dxa" w:w="80"/>
              <w:right w:type="dxa" w:w="120"/>
            </w:tcMar>
          </w:tcPr>
          <w:p>
            <w:r>
              <w:rPr>
                <w:b w:val="false"/>
                <w:bCs w:val="false"/>
                <w:sz w:val="19"/>
                <w:szCs w:val="19"/>
              </w:rPr>
              <w:t xml:space="preserve">Suhavi</w:t>
            </w:r>
          </w:p>
        </w:tc>
        <w:tc>
          <w:tcPr>
            <w:tcW w:type="dxa" w:w="7740"/>
            <w:shd w:fill="F5F8FB" w:val="clear"/>
            <w:tcMar>
              <w:top w:type="dxa" w:w="80"/>
              <w:left w:type="dxa" w:w="120"/>
              <w:bottom w:type="dxa" w:w="80"/>
              <w:right w:type="dxa" w:w="120"/>
            </w:tcMar>
          </w:tcPr>
          <w:p>
            <w:r>
              <w:rPr>
                <w:b w:val="false"/>
                <w:bCs w:val="false"/>
                <w:sz w:val="19"/>
                <w:szCs w:val="19"/>
              </w:rPr>
              <w:t xml:space="preserve">Expose concurrent placeBid over the API; build the dashboard's manual “Place Bid” control (FR-11) and bidder selector.</w:t>
            </w:r>
          </w:p>
        </w:tc>
      </w:tr>
    </w:tbl>
    <w:p>
      <w:pPr>
        <w:spacing w:after="160" w:line="276"/>
      </w:pPr>
      <w:r>
        <w:rPr>
          <w:i/>
          <w:iCs/>
          <w:sz w:val="20"/>
          <w:szCs w:val="20"/>
        </w:rPr>
        <w:t xml:space="preserve">MVP gate (PRD §13): persistent engine safely processing concurrent bids. Whole team runs TC-LCK-01–04 together before declaring the gate met.</w:t>
      </w:r>
    </w:p>
    <w:p>
      <w:pPr>
        <w:pStyle w:val="Heading2"/>
        <w:spacing w:after="120" w:before="260"/>
      </w:pPr>
      <w:r>
        <w:t xml:space="preserve">Week 6 — Deadlock Handling</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600"/>
        <w:gridCol w:w="7740"/>
      </w:tblGrid>
      <w:tr>
        <w:trPr>
          <w:tblHeader/>
        </w:trPr>
        <w:tc>
          <w:tcPr>
            <w:tcW w:type="dxa" w:w="1600"/>
            <w:shd w:fill="1F3864" w:val="clear"/>
            <w:tcMar>
              <w:top w:type="dxa" w:w="80"/>
              <w:left w:type="dxa" w:w="120"/>
              <w:bottom w:type="dxa" w:w="80"/>
              <w:right w:type="dxa" w:w="120"/>
            </w:tcMar>
          </w:tcPr>
          <w:p>
            <w:r>
              <w:rPr>
                <w:b/>
                <w:bCs/>
                <w:color w:val="FFFFFF"/>
                <w:sz w:val="19"/>
                <w:szCs w:val="19"/>
              </w:rPr>
              <w:t xml:space="preserve">Member</w:t>
            </w:r>
          </w:p>
        </w:tc>
        <w:tc>
          <w:tcPr>
            <w:tcW w:type="dxa" w:w="7740"/>
            <w:shd w:fill="1F3864" w:val="clear"/>
            <w:tcMar>
              <w:top w:type="dxa" w:w="80"/>
              <w:left w:type="dxa" w:w="120"/>
              <w:bottom w:type="dxa" w:w="80"/>
              <w:right w:type="dxa" w:w="120"/>
            </w:tcMar>
          </w:tcPr>
          <w:p>
            <w:r>
              <w:rPr>
                <w:b/>
                <w:bCs/>
                <w:color w:val="FFFFFF"/>
                <w:sz w:val="19"/>
                <w:szCs w:val="19"/>
              </w:rPr>
              <w:t xml:space="preserve">Tasks</w:t>
            </w:r>
          </w:p>
        </w:tc>
      </w:tr>
      <w:tr>
        <w:tc>
          <w:tcPr>
            <w:tcW w:type="dxa" w:w="1600"/>
            <w:tcMar>
              <w:top w:type="dxa" w:w="80"/>
              <w:left w:type="dxa" w:w="120"/>
              <w:bottom w:type="dxa" w:w="80"/>
              <w:right w:type="dxa" w:w="120"/>
            </w:tcMar>
          </w:tcPr>
          <w:p>
            <w:r>
              <w:rPr>
                <w:b w:val="false"/>
                <w:bCs w:val="false"/>
                <w:sz w:val="19"/>
                <w:szCs w:val="19"/>
              </w:rPr>
              <w:t xml:space="preserve">Sushmit</w:t>
            </w:r>
          </w:p>
        </w:tc>
        <w:tc>
          <w:tcPr>
            <w:tcW w:type="dxa" w:w="7740"/>
            <w:tcMar>
              <w:top w:type="dxa" w:w="80"/>
              <w:left w:type="dxa" w:w="120"/>
              <w:bottom w:type="dxa" w:w="80"/>
              <w:right w:type="dxa" w:w="120"/>
            </w:tcMar>
          </w:tcPr>
          <w:p>
            <w:r>
              <w:rPr>
                <w:b w:val="false"/>
                <w:bCs w:val="false"/>
                <w:sz w:val="19"/>
                <w:szCs w:val="19"/>
              </w:rPr>
              <w:t xml:space="preserve">Lead: wait-for graph, cycle detection, victim selection, rollback, automatic retry.</w:t>
            </w:r>
          </w:p>
        </w:tc>
      </w:tr>
      <w:tr>
        <w:tc>
          <w:tcPr>
            <w:tcW w:type="dxa" w:w="1600"/>
            <w:shd w:fill="F5F8FB" w:val="clear"/>
            <w:tcMar>
              <w:top w:type="dxa" w:w="80"/>
              <w:left w:type="dxa" w:w="120"/>
              <w:bottom w:type="dxa" w:w="80"/>
              <w:right w:type="dxa" w:w="120"/>
            </w:tcMar>
          </w:tcPr>
          <w:p>
            <w:r>
              <w:rPr>
                <w:b w:val="false"/>
                <w:bCs w:val="false"/>
                <w:sz w:val="19"/>
                <w:szCs w:val="19"/>
              </w:rPr>
              <w:t xml:space="preserve">Kanak</w:t>
            </w:r>
          </w:p>
        </w:tc>
        <w:tc>
          <w:tcPr>
            <w:tcW w:type="dxa" w:w="7740"/>
            <w:shd w:fill="F5F8FB" w:val="clear"/>
            <w:tcMar>
              <w:top w:type="dxa" w:w="80"/>
              <w:left w:type="dxa" w:w="120"/>
              <w:bottom w:type="dxa" w:w="80"/>
              <w:right w:type="dxa" w:w="120"/>
            </w:tcMar>
          </w:tcPr>
          <w:p>
            <w:r>
              <w:rPr>
                <w:b w:val="false"/>
                <w:bCs w:val="false"/>
                <w:sz w:val="19"/>
                <w:szCs w:val="19"/>
              </w:rPr>
              <w:t xml:space="preserve">Build the reserveBundle test harness that deterministically produces the mixed-order deadlock scenario.</w:t>
            </w:r>
          </w:p>
        </w:tc>
      </w:tr>
      <w:tr>
        <w:tc>
          <w:tcPr>
            <w:tcW w:type="dxa" w:w="1600"/>
            <w:tcMar>
              <w:top w:type="dxa" w:w="80"/>
              <w:left w:type="dxa" w:w="120"/>
              <w:bottom w:type="dxa" w:w="80"/>
              <w:right w:type="dxa" w:w="120"/>
            </w:tcMar>
          </w:tcPr>
          <w:p>
            <w:r>
              <w:rPr>
                <w:b w:val="false"/>
                <w:bCs w:val="false"/>
                <w:sz w:val="19"/>
                <w:szCs w:val="19"/>
              </w:rPr>
              <w:t xml:space="preserve">Vinayak</w:t>
            </w:r>
          </w:p>
        </w:tc>
        <w:tc>
          <w:tcPr>
            <w:tcW w:type="dxa" w:w="7740"/>
            <w:tcMar>
              <w:top w:type="dxa" w:w="80"/>
              <w:left w:type="dxa" w:w="120"/>
              <w:bottom w:type="dxa" w:w="80"/>
              <w:right w:type="dxa" w:w="120"/>
            </w:tcMar>
          </w:tcPr>
          <w:p>
            <w:r>
              <w:rPr>
                <w:b w:val="false"/>
                <w:bCs w:val="false"/>
                <w:sz w:val="19"/>
                <w:szCs w:val="19"/>
              </w:rPr>
              <w:t xml:space="preserve">Debug lock/buffer-pool interplay under the deadlock test scenario.</w:t>
            </w:r>
          </w:p>
        </w:tc>
      </w:tr>
      <w:tr>
        <w:tc>
          <w:tcPr>
            <w:tcW w:type="dxa" w:w="1600"/>
            <w:shd w:fill="F5F8FB" w:val="clear"/>
            <w:tcMar>
              <w:top w:type="dxa" w:w="80"/>
              <w:left w:type="dxa" w:w="120"/>
              <w:bottom w:type="dxa" w:w="80"/>
              <w:right w:type="dxa" w:w="120"/>
            </w:tcMar>
          </w:tcPr>
          <w:p>
            <w:r>
              <w:rPr>
                <w:b w:val="false"/>
                <w:bCs w:val="false"/>
                <w:sz w:val="19"/>
                <w:szCs w:val="19"/>
              </w:rPr>
              <w:t xml:space="preserve">Suhavi</w:t>
            </w:r>
          </w:p>
        </w:tc>
        <w:tc>
          <w:tcPr>
            <w:tcW w:type="dxa" w:w="7740"/>
            <w:shd w:fill="F5F8FB" w:val="clear"/>
            <w:tcMar>
              <w:top w:type="dxa" w:w="80"/>
              <w:left w:type="dxa" w:w="120"/>
              <w:bottom w:type="dxa" w:w="80"/>
              <w:right w:type="dxa" w:w="120"/>
            </w:tcMar>
          </w:tcPr>
          <w:p>
            <w:r>
              <w:rPr>
                <w:b w:val="false"/>
                <w:bCs w:val="false"/>
                <w:sz w:val="19"/>
                <w:szCs w:val="19"/>
              </w:rPr>
              <w:t xml:space="preserve">Wire the dashboard's live wait-for-graph visualization and deadlock.detected / deadlock.resolved SSE events.</w:t>
            </w:r>
          </w:p>
        </w:tc>
      </w:tr>
    </w:tbl>
    <w:p>
      <w:pPr>
        <w:pStyle w:val="Heading2"/>
        <w:spacing w:after="120" w:before="260"/>
      </w:pPr>
      <w:r>
        <w:t xml:space="preserve">Week 7 — Recovery</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600"/>
        <w:gridCol w:w="7740"/>
      </w:tblGrid>
      <w:tr>
        <w:trPr>
          <w:tblHeader/>
        </w:trPr>
        <w:tc>
          <w:tcPr>
            <w:tcW w:type="dxa" w:w="1600"/>
            <w:shd w:fill="1F3864" w:val="clear"/>
            <w:tcMar>
              <w:top w:type="dxa" w:w="80"/>
              <w:left w:type="dxa" w:w="120"/>
              <w:bottom w:type="dxa" w:w="80"/>
              <w:right w:type="dxa" w:w="120"/>
            </w:tcMar>
          </w:tcPr>
          <w:p>
            <w:r>
              <w:rPr>
                <w:b/>
                <w:bCs/>
                <w:color w:val="FFFFFF"/>
                <w:sz w:val="19"/>
                <w:szCs w:val="19"/>
              </w:rPr>
              <w:t xml:space="preserve">Member</w:t>
            </w:r>
          </w:p>
        </w:tc>
        <w:tc>
          <w:tcPr>
            <w:tcW w:type="dxa" w:w="7740"/>
            <w:shd w:fill="1F3864" w:val="clear"/>
            <w:tcMar>
              <w:top w:type="dxa" w:w="80"/>
              <w:left w:type="dxa" w:w="120"/>
              <w:bottom w:type="dxa" w:w="80"/>
              <w:right w:type="dxa" w:w="120"/>
            </w:tcMar>
          </w:tcPr>
          <w:p>
            <w:r>
              <w:rPr>
                <w:b/>
                <w:bCs/>
                <w:color w:val="FFFFFF"/>
                <w:sz w:val="19"/>
                <w:szCs w:val="19"/>
              </w:rPr>
              <w:t xml:space="preserve">Tasks</w:t>
            </w:r>
          </w:p>
        </w:tc>
      </w:tr>
      <w:tr>
        <w:tc>
          <w:tcPr>
            <w:tcW w:type="dxa" w:w="1600"/>
            <w:tcMar>
              <w:top w:type="dxa" w:w="80"/>
              <w:left w:type="dxa" w:w="120"/>
              <w:bottom w:type="dxa" w:w="80"/>
              <w:right w:type="dxa" w:w="120"/>
            </w:tcMar>
          </w:tcPr>
          <w:p>
            <w:r>
              <w:rPr>
                <w:b w:val="false"/>
                <w:bCs w:val="false"/>
                <w:sz w:val="19"/>
                <w:szCs w:val="19"/>
              </w:rPr>
              <w:t xml:space="preserve">Kanak</w:t>
            </w:r>
          </w:p>
        </w:tc>
        <w:tc>
          <w:tcPr>
            <w:tcW w:type="dxa" w:w="7740"/>
            <w:tcMar>
              <w:top w:type="dxa" w:w="80"/>
              <w:left w:type="dxa" w:w="120"/>
              <w:bottom w:type="dxa" w:w="80"/>
              <w:right w:type="dxa" w:w="120"/>
            </w:tcMar>
          </w:tcPr>
          <w:p>
            <w:r>
              <w:rPr>
                <w:b w:val="false"/>
                <w:bCs w:val="false"/>
                <w:sz w:val="19"/>
                <w:szCs w:val="19"/>
              </w:rPr>
              <w:t xml:space="preserve">Lead: full WAL (commit/abort records, checkpointing) and the fault-injection recovery tests.</w:t>
            </w:r>
          </w:p>
        </w:tc>
      </w:tr>
      <w:tr>
        <w:tc>
          <w:tcPr>
            <w:tcW w:type="dxa" w:w="1600"/>
            <w:shd w:fill="F5F8FB" w:val="clear"/>
            <w:tcMar>
              <w:top w:type="dxa" w:w="80"/>
              <w:left w:type="dxa" w:w="120"/>
              <w:bottom w:type="dxa" w:w="80"/>
              <w:right w:type="dxa" w:w="120"/>
            </w:tcMar>
          </w:tcPr>
          <w:p>
            <w:r>
              <w:rPr>
                <w:b w:val="false"/>
                <w:bCs w:val="false"/>
                <w:sz w:val="19"/>
                <w:szCs w:val="19"/>
              </w:rPr>
              <w:t xml:space="preserve">Vinayak</w:t>
            </w:r>
          </w:p>
        </w:tc>
        <w:tc>
          <w:tcPr>
            <w:tcW w:type="dxa" w:w="7740"/>
            <w:shd w:fill="F5F8FB" w:val="clear"/>
            <w:tcMar>
              <w:top w:type="dxa" w:w="80"/>
              <w:left w:type="dxa" w:w="120"/>
              <w:bottom w:type="dxa" w:w="80"/>
              <w:right w:type="dxa" w:w="120"/>
            </w:tcMar>
          </w:tcPr>
          <w:p>
            <w:r>
              <w:rPr>
                <w:b w:val="false"/>
                <w:bCs w:val="false"/>
                <w:sz w:val="19"/>
                <w:szCs w:val="19"/>
              </w:rPr>
              <w:t xml:space="preserve">Confirm buffer-pool flush ordering strictly respects the write-ahead rule under fault injection.</w:t>
            </w:r>
          </w:p>
        </w:tc>
      </w:tr>
      <w:tr>
        <w:tc>
          <w:tcPr>
            <w:tcW w:type="dxa" w:w="1600"/>
            <w:tcMar>
              <w:top w:type="dxa" w:w="80"/>
              <w:left w:type="dxa" w:w="120"/>
              <w:bottom w:type="dxa" w:w="80"/>
              <w:right w:type="dxa" w:w="120"/>
            </w:tcMar>
          </w:tcPr>
          <w:p>
            <w:r>
              <w:rPr>
                <w:b w:val="false"/>
                <w:bCs w:val="false"/>
                <w:sz w:val="19"/>
                <w:szCs w:val="19"/>
              </w:rPr>
              <w:t xml:space="preserve">Sushmit</w:t>
            </w:r>
          </w:p>
        </w:tc>
        <w:tc>
          <w:tcPr>
            <w:tcW w:type="dxa" w:w="7740"/>
            <w:tcMar>
              <w:top w:type="dxa" w:w="80"/>
              <w:left w:type="dxa" w:w="120"/>
              <w:bottom w:type="dxa" w:w="80"/>
              <w:right w:type="dxa" w:w="120"/>
            </w:tcMar>
          </w:tcPr>
          <w:p>
            <w:r>
              <w:rPr>
                <w:b w:val="false"/>
                <w:bCs w:val="false"/>
                <w:sz w:val="19"/>
                <w:szCs w:val="19"/>
              </w:rPr>
              <w:t xml:space="preserve">Ensure abort/rollback paths correctly trigger WAL undo for victim and manually-aborted transactions.</w:t>
            </w:r>
          </w:p>
        </w:tc>
      </w:tr>
      <w:tr>
        <w:tc>
          <w:tcPr>
            <w:tcW w:type="dxa" w:w="1600"/>
            <w:shd w:fill="F5F8FB" w:val="clear"/>
            <w:tcMar>
              <w:top w:type="dxa" w:w="80"/>
              <w:left w:type="dxa" w:w="120"/>
              <w:bottom w:type="dxa" w:w="80"/>
              <w:right w:type="dxa" w:w="120"/>
            </w:tcMar>
          </w:tcPr>
          <w:p>
            <w:r>
              <w:rPr>
                <w:b w:val="false"/>
                <w:bCs w:val="false"/>
                <w:sz w:val="19"/>
                <w:szCs w:val="19"/>
              </w:rPr>
              <w:t xml:space="preserve">Suhavi</w:t>
            </w:r>
          </w:p>
        </w:tc>
        <w:tc>
          <w:tcPr>
            <w:tcW w:type="dxa" w:w="7740"/>
            <w:shd w:fill="F5F8FB" w:val="clear"/>
            <w:tcMar>
              <w:top w:type="dxa" w:w="80"/>
              <w:left w:type="dxa" w:w="120"/>
              <w:bottom w:type="dxa" w:w="80"/>
              <w:right w:type="dxa" w:w="120"/>
            </w:tcMar>
          </w:tcPr>
          <w:p>
            <w:r>
              <w:rPr>
                <w:b w:val="false"/>
                <w:bCs w:val="false"/>
                <w:sz w:val="19"/>
                <w:szCs w:val="19"/>
              </w:rPr>
              <w:t xml:space="preserve">Wire the dashboard's WAL-activity view (wal.write, checkpoint.complete events).</w:t>
            </w:r>
          </w:p>
        </w:tc>
      </w:tr>
    </w:tbl>
    <w:p>
      <w:pPr>
        <w:pStyle w:val="Heading2"/>
        <w:spacing w:after="120" w:before="260"/>
      </w:pPr>
      <w:r>
        <w:t xml:space="preserve">Week 8 — Integration &amp; Demo</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600"/>
        <w:gridCol w:w="7740"/>
      </w:tblGrid>
      <w:tr>
        <w:trPr>
          <w:tblHeader/>
        </w:trPr>
        <w:tc>
          <w:tcPr>
            <w:tcW w:type="dxa" w:w="1600"/>
            <w:shd w:fill="1F3864" w:val="clear"/>
            <w:tcMar>
              <w:top w:type="dxa" w:w="80"/>
              <w:left w:type="dxa" w:w="120"/>
              <w:bottom w:type="dxa" w:w="80"/>
              <w:right w:type="dxa" w:w="120"/>
            </w:tcMar>
          </w:tcPr>
          <w:p>
            <w:r>
              <w:rPr>
                <w:b/>
                <w:bCs/>
                <w:color w:val="FFFFFF"/>
                <w:sz w:val="19"/>
                <w:szCs w:val="19"/>
              </w:rPr>
              <w:t xml:space="preserve">Member</w:t>
            </w:r>
          </w:p>
        </w:tc>
        <w:tc>
          <w:tcPr>
            <w:tcW w:type="dxa" w:w="7740"/>
            <w:shd w:fill="1F3864" w:val="clear"/>
            <w:tcMar>
              <w:top w:type="dxa" w:w="80"/>
              <w:left w:type="dxa" w:w="120"/>
              <w:bottom w:type="dxa" w:w="80"/>
              <w:right w:type="dxa" w:w="120"/>
            </w:tcMar>
          </w:tcPr>
          <w:p>
            <w:r>
              <w:rPr>
                <w:b/>
                <w:bCs/>
                <w:color w:val="FFFFFF"/>
                <w:sz w:val="19"/>
                <w:szCs w:val="19"/>
              </w:rPr>
              <w:t xml:space="preserve">Tasks</w:t>
            </w:r>
          </w:p>
        </w:tc>
      </w:tr>
      <w:tr>
        <w:tc>
          <w:tcPr>
            <w:tcW w:type="dxa" w:w="1600"/>
            <w:tcMar>
              <w:top w:type="dxa" w:w="80"/>
              <w:left w:type="dxa" w:w="120"/>
              <w:bottom w:type="dxa" w:w="80"/>
              <w:right w:type="dxa" w:w="120"/>
            </w:tcMar>
          </w:tcPr>
          <w:p>
            <w:r>
              <w:rPr>
                <w:b w:val="false"/>
                <w:bCs w:val="false"/>
                <w:sz w:val="19"/>
                <w:szCs w:val="19"/>
              </w:rPr>
              <w:t xml:space="preserve">Suhavi</w:t>
            </w:r>
          </w:p>
        </w:tc>
        <w:tc>
          <w:tcPr>
            <w:tcW w:type="dxa" w:w="7740"/>
            <w:tcMar>
              <w:top w:type="dxa" w:w="80"/>
              <w:left w:type="dxa" w:w="120"/>
              <w:bottom w:type="dxa" w:w="80"/>
              <w:right w:type="dxa" w:w="120"/>
            </w:tcMar>
          </w:tcPr>
          <w:p>
            <w:r>
              <w:rPr>
                <w:b w:val="false"/>
                <w:bCs w:val="false"/>
                <w:sz w:val="19"/>
                <w:szCs w:val="19"/>
              </w:rPr>
              <w:t xml:space="preserve">Lead: finish the embedded REST API, complete the dashboard, finalize SSE wiring end-to-end.</w:t>
            </w:r>
          </w:p>
        </w:tc>
      </w:tr>
      <w:tr>
        <w:tc>
          <w:tcPr>
            <w:tcW w:type="dxa" w:w="1600"/>
            <w:shd w:fill="F5F8FB" w:val="clear"/>
            <w:tcMar>
              <w:top w:type="dxa" w:w="80"/>
              <w:left w:type="dxa" w:w="120"/>
              <w:bottom w:type="dxa" w:w="80"/>
              <w:right w:type="dxa" w:w="120"/>
            </w:tcMar>
          </w:tcPr>
          <w:p>
            <w:r>
              <w:rPr>
                <w:b w:val="false"/>
                <w:bCs w:val="false"/>
                <w:sz w:val="19"/>
                <w:szCs w:val="19"/>
              </w:rPr>
              <w:t xml:space="preserve">Vinayak</w:t>
            </w:r>
          </w:p>
        </w:tc>
        <w:tc>
          <w:tcPr>
            <w:tcW w:type="dxa" w:w="7740"/>
            <w:shd w:fill="F5F8FB" w:val="clear"/>
            <w:tcMar>
              <w:top w:type="dxa" w:w="80"/>
              <w:left w:type="dxa" w:w="120"/>
              <w:bottom w:type="dxa" w:w="80"/>
              <w:right w:type="dxa" w:w="120"/>
            </w:tcMar>
          </w:tcPr>
          <w:p>
            <w:r>
              <w:rPr>
                <w:b w:val="false"/>
                <w:bCs w:val="false"/>
                <w:sz w:val="19"/>
                <w:szCs w:val="19"/>
              </w:rPr>
              <w:t xml:space="preserve">Run and report buffer-pool benchmarks (hit rate vs. frame count); final Architecture Doc pass.</w:t>
            </w:r>
          </w:p>
        </w:tc>
      </w:tr>
      <w:tr>
        <w:tc>
          <w:tcPr>
            <w:tcW w:type="dxa" w:w="1600"/>
            <w:tcMar>
              <w:top w:type="dxa" w:w="80"/>
              <w:left w:type="dxa" w:w="120"/>
              <w:bottom w:type="dxa" w:w="80"/>
              <w:right w:type="dxa" w:w="120"/>
            </w:tcMar>
          </w:tcPr>
          <w:p>
            <w:r>
              <w:rPr>
                <w:b w:val="false"/>
                <w:bCs w:val="false"/>
                <w:sz w:val="19"/>
                <w:szCs w:val="19"/>
              </w:rPr>
              <w:t xml:space="preserve">Sushmit</w:t>
            </w:r>
          </w:p>
        </w:tc>
        <w:tc>
          <w:tcPr>
            <w:tcW w:type="dxa" w:w="7740"/>
            <w:tcMar>
              <w:top w:type="dxa" w:w="80"/>
              <w:left w:type="dxa" w:w="120"/>
              <w:bottom w:type="dxa" w:w="80"/>
              <w:right w:type="dxa" w:w="120"/>
            </w:tcMar>
          </w:tcPr>
          <w:p>
            <w:r>
              <w:rPr>
                <w:b w:val="false"/>
                <w:bCs w:val="false"/>
                <w:sz w:val="19"/>
                <w:szCs w:val="19"/>
              </w:rPr>
              <w:t xml:space="preserve">Run and report concurrency benchmarks (latency, throughput, deadlock frequency).</w:t>
            </w:r>
          </w:p>
        </w:tc>
      </w:tr>
      <w:tr>
        <w:tc>
          <w:tcPr>
            <w:tcW w:type="dxa" w:w="1600"/>
            <w:shd w:fill="F5F8FB" w:val="clear"/>
            <w:tcMar>
              <w:top w:type="dxa" w:w="80"/>
              <w:left w:type="dxa" w:w="120"/>
              <w:bottom w:type="dxa" w:w="80"/>
              <w:right w:type="dxa" w:w="120"/>
            </w:tcMar>
          </w:tcPr>
          <w:p>
            <w:r>
              <w:rPr>
                <w:b w:val="false"/>
                <w:bCs w:val="false"/>
                <w:sz w:val="19"/>
                <w:szCs w:val="19"/>
              </w:rPr>
              <w:t xml:space="preserve">Kanak</w:t>
            </w:r>
          </w:p>
        </w:tc>
        <w:tc>
          <w:tcPr>
            <w:tcW w:type="dxa" w:w="7740"/>
            <w:shd w:fill="F5F8FB" w:val="clear"/>
            <w:tcMar>
              <w:top w:type="dxa" w:w="80"/>
              <w:left w:type="dxa" w:w="120"/>
              <w:bottom w:type="dxa" w:w="80"/>
              <w:right w:type="dxa" w:w="120"/>
            </w:tcMar>
          </w:tcPr>
          <w:p>
            <w:r>
              <w:rPr>
                <w:b w:val="false"/>
                <w:bCs w:val="false"/>
                <w:sz w:val="19"/>
                <w:szCs w:val="19"/>
              </w:rPr>
              <w:t xml:space="preserve">Run and report recovery benchmarks (recovery time); finalize the requirements traceability matrix.</w:t>
            </w:r>
          </w:p>
        </w:tc>
      </w:tr>
      <w:tr>
        <w:tc>
          <w:tcPr>
            <w:tcW w:type="dxa" w:w="1600"/>
            <w:tcMar>
              <w:top w:type="dxa" w:w="80"/>
              <w:left w:type="dxa" w:w="120"/>
              <w:bottom w:type="dxa" w:w="80"/>
              <w:right w:type="dxa" w:w="120"/>
            </w:tcMar>
          </w:tcPr>
          <w:p>
            <w:r>
              <w:rPr>
                <w:b w:val="false"/>
                <w:bCs w:val="false"/>
                <w:sz w:val="19"/>
                <w:szCs w:val="19"/>
              </w:rPr>
              <w:t xml:space="preserve">Whole team</w:t>
            </w:r>
          </w:p>
        </w:tc>
        <w:tc>
          <w:tcPr>
            <w:tcW w:type="dxa" w:w="7740"/>
            <w:tcMar>
              <w:top w:type="dxa" w:w="80"/>
              <w:left w:type="dxa" w:w="120"/>
              <w:bottom w:type="dxa" w:w="80"/>
              <w:right w:type="dxa" w:w="120"/>
            </w:tcMar>
          </w:tcPr>
          <w:p>
            <w:r>
              <w:rPr>
                <w:b w:val="false"/>
                <w:bCs w:val="false"/>
                <w:sz w:val="19"/>
                <w:szCs w:val="19"/>
              </w:rPr>
              <w:t xml:space="preserve">Final documentation pass, demo script rehearsal, Q&amp;A prep.</w:t>
            </w:r>
          </w:p>
        </w:tc>
      </w:tr>
    </w:tbl>
    <w:p>
      <w:pPr>
        <w:pStyle w:val="Heading1"/>
        <w:pBdr>
          <w:bottom w:val="single" w:color="1F3864" w:sz="6" w:space="4"/>
        </w:pBdr>
        <w:spacing w:after="160" w:before="360"/>
      </w:pPr>
      <w:r>
        <w:t xml:space="preserve">4. Testing Ownership</w:t>
      </w:r>
    </w:p>
    <w:p>
      <w:pPr>
        <w:spacing w:after="160" w:line="276"/>
      </w:pPr>
      <w:r>
        <w:t xml:space="preserve">Mirrors the Test Plan's traceability matrix (§5) and level-ownership table (§3); each member writes and maintains the tests for their own subsystem, but any member may run any test suite.</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40"/>
      </w:tblGrid>
      <w:tr>
        <w:trPr>
          <w:tblHeader/>
        </w:trPr>
        <w:tc>
          <w:tcPr>
            <w:tcW w:type="dxa" w:w="3000"/>
            <w:shd w:fill="1F3864" w:val="clear"/>
            <w:tcMar>
              <w:top w:type="dxa" w:w="80"/>
              <w:left w:type="dxa" w:w="120"/>
              <w:bottom w:type="dxa" w:w="80"/>
              <w:right w:type="dxa" w:w="120"/>
            </w:tcMar>
          </w:tcPr>
          <w:p>
            <w:r>
              <w:rPr>
                <w:b/>
                <w:bCs/>
                <w:color w:val="FFFFFF"/>
                <w:sz w:val="19"/>
                <w:szCs w:val="19"/>
              </w:rPr>
              <w:t xml:space="preserve">Test Category</w:t>
            </w:r>
          </w:p>
        </w:tc>
        <w:tc>
          <w:tcPr>
            <w:tcW w:type="dxa" w:w="3400"/>
            <w:shd w:fill="1F3864" w:val="clear"/>
            <w:tcMar>
              <w:top w:type="dxa" w:w="80"/>
              <w:left w:type="dxa" w:w="120"/>
              <w:bottom w:type="dxa" w:w="80"/>
              <w:right w:type="dxa" w:w="120"/>
            </w:tcMar>
          </w:tcPr>
          <w:p>
            <w:r>
              <w:rPr>
                <w:b/>
                <w:bCs/>
                <w:color w:val="FFFFFF"/>
                <w:sz w:val="19"/>
                <w:szCs w:val="19"/>
              </w:rPr>
              <w:t xml:space="preserve">Primary Owner</w:t>
            </w:r>
          </w:p>
        </w:tc>
        <w:tc>
          <w:tcPr>
            <w:tcW w:type="dxa" w:w="2940"/>
            <w:shd w:fill="1F3864" w:val="clear"/>
            <w:tcMar>
              <w:top w:type="dxa" w:w="80"/>
              <w:left w:type="dxa" w:w="120"/>
              <w:bottom w:type="dxa" w:w="80"/>
              <w:right w:type="dxa" w:w="120"/>
            </w:tcMar>
          </w:tcPr>
          <w:p>
            <w:r>
              <w:rPr>
                <w:b/>
                <w:bCs/>
                <w:color w:val="FFFFFF"/>
                <w:sz w:val="19"/>
                <w:szCs w:val="19"/>
              </w:rPr>
              <w:t xml:space="preserve">Test IDs</w:t>
            </w:r>
          </w:p>
        </w:tc>
      </w:tr>
      <w:tr>
        <w:tc>
          <w:tcPr>
            <w:tcW w:type="dxa" w:w="3000"/>
            <w:tcMar>
              <w:top w:type="dxa" w:w="80"/>
              <w:left w:type="dxa" w:w="120"/>
              <w:bottom w:type="dxa" w:w="80"/>
              <w:right w:type="dxa" w:w="120"/>
            </w:tcMar>
          </w:tcPr>
          <w:p>
            <w:r>
              <w:rPr>
                <w:b w:val="false"/>
                <w:bCs w:val="false"/>
                <w:sz w:val="19"/>
                <w:szCs w:val="19"/>
              </w:rPr>
              <w:t xml:space="preserve">Storage &amp; Buffer Pool</w:t>
            </w:r>
          </w:p>
        </w:tc>
        <w:tc>
          <w:tcPr>
            <w:tcW w:type="dxa" w:w="3400"/>
            <w:tcMar>
              <w:top w:type="dxa" w:w="80"/>
              <w:left w:type="dxa" w:w="120"/>
              <w:bottom w:type="dxa" w:w="80"/>
              <w:right w:type="dxa" w:w="120"/>
            </w:tcMar>
          </w:tcPr>
          <w:p>
            <w:r>
              <w:rPr>
                <w:b w:val="false"/>
                <w:bCs w:val="false"/>
                <w:sz w:val="19"/>
                <w:szCs w:val="19"/>
              </w:rPr>
              <w:t xml:space="preserve">Vinayak</w:t>
            </w:r>
          </w:p>
        </w:tc>
        <w:tc>
          <w:tcPr>
            <w:tcW w:type="dxa" w:w="2940"/>
            <w:tcMar>
              <w:top w:type="dxa" w:w="80"/>
              <w:left w:type="dxa" w:w="120"/>
              <w:bottom w:type="dxa" w:w="80"/>
              <w:right w:type="dxa" w:w="120"/>
            </w:tcMar>
          </w:tcPr>
          <w:p>
            <w:r>
              <w:rPr>
                <w:b w:val="false"/>
                <w:bCs w:val="false"/>
                <w:sz w:val="19"/>
                <w:szCs w:val="19"/>
              </w:rPr>
              <w:t xml:space="preserve">TC-STO-01–03, TC-BUF-01–04</w:t>
            </w:r>
          </w:p>
        </w:tc>
      </w:tr>
      <w:tr>
        <w:tc>
          <w:tcPr>
            <w:tcW w:type="dxa" w:w="3000"/>
            <w:shd w:fill="F5F8FB" w:val="clear"/>
            <w:tcMar>
              <w:top w:type="dxa" w:w="80"/>
              <w:left w:type="dxa" w:w="120"/>
              <w:bottom w:type="dxa" w:w="80"/>
              <w:right w:type="dxa" w:w="120"/>
            </w:tcMar>
          </w:tcPr>
          <w:p>
            <w:r>
              <w:rPr>
                <w:b w:val="false"/>
                <w:bCs w:val="false"/>
                <w:sz w:val="19"/>
                <w:szCs w:val="19"/>
              </w:rPr>
              <w:t xml:space="preserve">Concurrency &amp; Lock Manager</w:t>
            </w:r>
          </w:p>
        </w:tc>
        <w:tc>
          <w:tcPr>
            <w:tcW w:type="dxa" w:w="3400"/>
            <w:shd w:fill="F5F8FB" w:val="clear"/>
            <w:tcMar>
              <w:top w:type="dxa" w:w="80"/>
              <w:left w:type="dxa" w:w="120"/>
              <w:bottom w:type="dxa" w:w="80"/>
              <w:right w:type="dxa" w:w="120"/>
            </w:tcMar>
          </w:tcPr>
          <w:p>
            <w:r>
              <w:rPr>
                <w:b w:val="false"/>
                <w:bCs w:val="false"/>
                <w:sz w:val="19"/>
                <w:szCs w:val="19"/>
              </w:rPr>
              <w:t xml:space="preserve">Sushmit</w:t>
            </w:r>
          </w:p>
        </w:tc>
        <w:tc>
          <w:tcPr>
            <w:tcW w:type="dxa" w:w="2940"/>
            <w:shd w:fill="F5F8FB" w:val="clear"/>
            <w:tcMar>
              <w:top w:type="dxa" w:w="80"/>
              <w:left w:type="dxa" w:w="120"/>
              <w:bottom w:type="dxa" w:w="80"/>
              <w:right w:type="dxa" w:w="120"/>
            </w:tcMar>
          </w:tcPr>
          <w:p>
            <w:r>
              <w:rPr>
                <w:b w:val="false"/>
                <w:bCs w:val="false"/>
                <w:sz w:val="19"/>
                <w:szCs w:val="19"/>
              </w:rPr>
              <w:t xml:space="preserve">TC-LCK-01–04</w:t>
            </w:r>
          </w:p>
        </w:tc>
      </w:tr>
      <w:tr>
        <w:tc>
          <w:tcPr>
            <w:tcW w:type="dxa" w:w="3000"/>
            <w:tcMar>
              <w:top w:type="dxa" w:w="80"/>
              <w:left w:type="dxa" w:w="120"/>
              <w:bottom w:type="dxa" w:w="80"/>
              <w:right w:type="dxa" w:w="120"/>
            </w:tcMar>
          </w:tcPr>
          <w:p>
            <w:r>
              <w:rPr>
                <w:b w:val="false"/>
                <w:bCs w:val="false"/>
                <w:sz w:val="19"/>
                <w:szCs w:val="19"/>
              </w:rPr>
              <w:t xml:space="preserve">Deadlock Detection</w:t>
            </w:r>
          </w:p>
        </w:tc>
        <w:tc>
          <w:tcPr>
            <w:tcW w:type="dxa" w:w="3400"/>
            <w:tcMar>
              <w:top w:type="dxa" w:w="80"/>
              <w:left w:type="dxa" w:w="120"/>
              <w:bottom w:type="dxa" w:w="80"/>
              <w:right w:type="dxa" w:w="120"/>
            </w:tcMar>
          </w:tcPr>
          <w:p>
            <w:r>
              <w:rPr>
                <w:b w:val="false"/>
                <w:bCs w:val="false"/>
                <w:sz w:val="19"/>
                <w:szCs w:val="19"/>
              </w:rPr>
              <w:t xml:space="preserve">Sushmit (impl.) + Kanak (harness)</w:t>
            </w:r>
          </w:p>
        </w:tc>
        <w:tc>
          <w:tcPr>
            <w:tcW w:type="dxa" w:w="2940"/>
            <w:tcMar>
              <w:top w:type="dxa" w:w="80"/>
              <w:left w:type="dxa" w:w="120"/>
              <w:bottom w:type="dxa" w:w="80"/>
              <w:right w:type="dxa" w:w="120"/>
            </w:tcMar>
          </w:tcPr>
          <w:p>
            <w:r>
              <w:rPr>
                <w:b w:val="false"/>
                <w:bCs w:val="false"/>
                <w:sz w:val="19"/>
                <w:szCs w:val="19"/>
              </w:rPr>
              <w:t xml:space="preserve">TC-DLK-01–04</w:t>
            </w:r>
          </w:p>
        </w:tc>
      </w:tr>
      <w:tr>
        <w:tc>
          <w:tcPr>
            <w:tcW w:type="dxa" w:w="3000"/>
            <w:shd w:fill="F5F8FB" w:val="clear"/>
            <w:tcMar>
              <w:top w:type="dxa" w:w="80"/>
              <w:left w:type="dxa" w:w="120"/>
              <w:bottom w:type="dxa" w:w="80"/>
              <w:right w:type="dxa" w:w="120"/>
            </w:tcMar>
          </w:tcPr>
          <w:p>
            <w:r>
              <w:rPr>
                <w:b w:val="false"/>
                <w:bCs w:val="false"/>
                <w:sz w:val="19"/>
                <w:szCs w:val="19"/>
              </w:rPr>
              <w:t xml:space="preserve">WAL &amp; Recovery</w:t>
            </w:r>
          </w:p>
        </w:tc>
        <w:tc>
          <w:tcPr>
            <w:tcW w:type="dxa" w:w="3400"/>
            <w:shd w:fill="F5F8FB" w:val="clear"/>
            <w:tcMar>
              <w:top w:type="dxa" w:w="80"/>
              <w:left w:type="dxa" w:w="120"/>
              <w:bottom w:type="dxa" w:w="80"/>
              <w:right w:type="dxa" w:w="120"/>
            </w:tcMar>
          </w:tcPr>
          <w:p>
            <w:r>
              <w:rPr>
                <w:b w:val="false"/>
                <w:bCs w:val="false"/>
                <w:sz w:val="19"/>
                <w:szCs w:val="19"/>
              </w:rPr>
              <w:t xml:space="preserve">Kanak</w:t>
            </w:r>
          </w:p>
        </w:tc>
        <w:tc>
          <w:tcPr>
            <w:tcW w:type="dxa" w:w="2940"/>
            <w:shd w:fill="F5F8FB" w:val="clear"/>
            <w:tcMar>
              <w:top w:type="dxa" w:w="80"/>
              <w:left w:type="dxa" w:w="120"/>
              <w:bottom w:type="dxa" w:w="80"/>
              <w:right w:type="dxa" w:w="120"/>
            </w:tcMar>
          </w:tcPr>
          <w:p>
            <w:r>
              <w:rPr>
                <w:b w:val="false"/>
                <w:bCs w:val="false"/>
                <w:sz w:val="19"/>
                <w:szCs w:val="19"/>
              </w:rPr>
              <w:t xml:space="preserve">TC-REC-01–04</w:t>
            </w:r>
          </w:p>
        </w:tc>
      </w:tr>
      <w:tr>
        <w:tc>
          <w:tcPr>
            <w:tcW w:type="dxa" w:w="3000"/>
            <w:tcMar>
              <w:top w:type="dxa" w:w="80"/>
              <w:left w:type="dxa" w:w="120"/>
              <w:bottom w:type="dxa" w:w="80"/>
              <w:right w:type="dxa" w:w="120"/>
            </w:tcMar>
          </w:tcPr>
          <w:p>
            <w:r>
              <w:rPr>
                <w:b w:val="false"/>
                <w:bCs w:val="false"/>
                <w:sz w:val="19"/>
                <w:szCs w:val="19"/>
              </w:rPr>
              <w:t xml:space="preserve">API Contract</w:t>
            </w:r>
          </w:p>
        </w:tc>
        <w:tc>
          <w:tcPr>
            <w:tcW w:type="dxa" w:w="3400"/>
            <w:tcMar>
              <w:top w:type="dxa" w:w="80"/>
              <w:left w:type="dxa" w:w="120"/>
              <w:bottom w:type="dxa" w:w="80"/>
              <w:right w:type="dxa" w:w="120"/>
            </w:tcMar>
          </w:tcPr>
          <w:p>
            <w:r>
              <w:rPr>
                <w:b w:val="false"/>
                <w:bCs w:val="false"/>
                <w:sz w:val="19"/>
                <w:szCs w:val="19"/>
              </w:rPr>
              <w:t xml:space="preserve">Suhavi</w:t>
            </w:r>
          </w:p>
        </w:tc>
        <w:tc>
          <w:tcPr>
            <w:tcW w:type="dxa" w:w="2940"/>
            <w:tcMar>
              <w:top w:type="dxa" w:w="80"/>
              <w:left w:type="dxa" w:w="120"/>
              <w:bottom w:type="dxa" w:w="80"/>
              <w:right w:type="dxa" w:w="120"/>
            </w:tcMar>
          </w:tcPr>
          <w:p>
            <w:r>
              <w:rPr>
                <w:b w:val="false"/>
                <w:bCs w:val="false"/>
                <w:sz w:val="19"/>
                <w:szCs w:val="19"/>
              </w:rPr>
              <w:t xml:space="preserve">TC-API-01–04</w:t>
            </w:r>
          </w:p>
        </w:tc>
      </w:tr>
      <w:tr>
        <w:tc>
          <w:tcPr>
            <w:tcW w:type="dxa" w:w="3000"/>
            <w:shd w:fill="F5F8FB" w:val="clear"/>
            <w:tcMar>
              <w:top w:type="dxa" w:w="80"/>
              <w:left w:type="dxa" w:w="120"/>
              <w:bottom w:type="dxa" w:w="80"/>
              <w:right w:type="dxa" w:w="120"/>
            </w:tcMar>
          </w:tcPr>
          <w:p>
            <w:r>
              <w:rPr>
                <w:b w:val="false"/>
                <w:bCs w:val="false"/>
                <w:sz w:val="19"/>
                <w:szCs w:val="19"/>
              </w:rPr>
              <w:t xml:space="preserve">Dashboard (manual/exploratory)</w:t>
            </w:r>
          </w:p>
        </w:tc>
        <w:tc>
          <w:tcPr>
            <w:tcW w:type="dxa" w:w="3400"/>
            <w:shd w:fill="F5F8FB" w:val="clear"/>
            <w:tcMar>
              <w:top w:type="dxa" w:w="80"/>
              <w:left w:type="dxa" w:w="120"/>
              <w:bottom w:type="dxa" w:w="80"/>
              <w:right w:type="dxa" w:w="120"/>
            </w:tcMar>
          </w:tcPr>
          <w:p>
            <w:r>
              <w:rPr>
                <w:b w:val="false"/>
                <w:bCs w:val="false"/>
                <w:sz w:val="19"/>
                <w:szCs w:val="19"/>
              </w:rPr>
              <w:t xml:space="preserve">Suhavi</w:t>
            </w:r>
          </w:p>
        </w:tc>
        <w:tc>
          <w:tcPr>
            <w:tcW w:type="dxa" w:w="2940"/>
            <w:shd w:fill="F5F8FB" w:val="clear"/>
            <w:tcMar>
              <w:top w:type="dxa" w:w="80"/>
              <w:left w:type="dxa" w:w="120"/>
              <w:bottom w:type="dxa" w:w="80"/>
              <w:right w:type="dxa" w:w="120"/>
            </w:tcMar>
          </w:tcPr>
          <w:p>
            <w:r>
              <w:rPr>
                <w:b w:val="false"/>
                <w:bCs w:val="false"/>
                <w:sz w:val="19"/>
                <w:szCs w:val="19"/>
              </w:rPr>
              <w:t xml:space="preserve">TC-UI-01–03</w:t>
            </w:r>
          </w:p>
        </w:tc>
      </w:tr>
      <w:tr>
        <w:tc>
          <w:tcPr>
            <w:tcW w:type="dxa" w:w="3000"/>
            <w:tcMar>
              <w:top w:type="dxa" w:w="80"/>
              <w:left w:type="dxa" w:w="120"/>
              <w:bottom w:type="dxa" w:w="80"/>
              <w:right w:type="dxa" w:w="120"/>
            </w:tcMar>
          </w:tcPr>
          <w:p>
            <w:r>
              <w:rPr>
                <w:b w:val="false"/>
                <w:bCs w:val="false"/>
                <w:sz w:val="19"/>
                <w:szCs w:val="19"/>
              </w:rPr>
              <w:t xml:space="preserve">Performance benchmarks</w:t>
            </w:r>
          </w:p>
        </w:tc>
        <w:tc>
          <w:tcPr>
            <w:tcW w:type="dxa" w:w="3400"/>
            <w:tcMar>
              <w:top w:type="dxa" w:w="80"/>
              <w:left w:type="dxa" w:w="120"/>
              <w:bottom w:type="dxa" w:w="80"/>
              <w:right w:type="dxa" w:w="120"/>
            </w:tcMar>
          </w:tcPr>
          <w:p>
            <w:r>
              <w:rPr>
                <w:b w:val="false"/>
                <w:bCs w:val="false"/>
                <w:sz w:val="19"/>
                <w:szCs w:val="19"/>
              </w:rPr>
              <w:t xml:space="preserve">Owning member per metric (§3 above)</w:t>
            </w:r>
          </w:p>
        </w:tc>
        <w:tc>
          <w:tcPr>
            <w:tcW w:type="dxa" w:w="2940"/>
            <w:tcMar>
              <w:top w:type="dxa" w:w="80"/>
              <w:left w:type="dxa" w:w="120"/>
              <w:bottom w:type="dxa" w:w="80"/>
              <w:right w:type="dxa" w:w="120"/>
            </w:tcMar>
          </w:tcPr>
          <w:p>
            <w:r>
              <w:rPr>
                <w:b w:val="false"/>
                <w:bCs w:val="false"/>
                <w:sz w:val="19"/>
                <w:szCs w:val="19"/>
              </w:rPr>
              <w:t xml:space="preserve">TC-PERF-01–03</w:t>
            </w:r>
          </w:p>
        </w:tc>
      </w:tr>
    </w:tbl>
    <w:p>
      <w:pPr>
        <w:pStyle w:val="Heading1"/>
        <w:pBdr>
          <w:bottom w:val="single" w:color="1F3864" w:sz="6" w:space="4"/>
        </w:pBdr>
        <w:spacing w:after="160" w:before="360"/>
      </w:pPr>
      <w:r>
        <w:t xml:space="preserve">5. Documentation Ownership</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600"/>
        <w:gridCol w:w="3540"/>
        <w:gridCol w:w="3200"/>
      </w:tblGrid>
      <w:tr>
        <w:trPr>
          <w:tblHeader/>
        </w:trPr>
        <w:tc>
          <w:tcPr>
            <w:tcW w:type="dxa" w:w="2600"/>
            <w:shd w:fill="1F3864" w:val="clear"/>
            <w:tcMar>
              <w:top w:type="dxa" w:w="80"/>
              <w:left w:type="dxa" w:w="120"/>
              <w:bottom w:type="dxa" w:w="80"/>
              <w:right w:type="dxa" w:w="120"/>
            </w:tcMar>
          </w:tcPr>
          <w:p>
            <w:r>
              <w:rPr>
                <w:b/>
                <w:bCs/>
                <w:color w:val="FFFFFF"/>
                <w:sz w:val="19"/>
                <w:szCs w:val="19"/>
              </w:rPr>
              <w:t xml:space="preserve">Document</w:t>
            </w:r>
          </w:p>
        </w:tc>
        <w:tc>
          <w:tcPr>
            <w:tcW w:type="dxa" w:w="3540"/>
            <w:shd w:fill="1F3864" w:val="clear"/>
            <w:tcMar>
              <w:top w:type="dxa" w:w="80"/>
              <w:left w:type="dxa" w:w="120"/>
              <w:bottom w:type="dxa" w:w="80"/>
              <w:right w:type="dxa" w:w="120"/>
            </w:tcMar>
          </w:tcPr>
          <w:p>
            <w:r>
              <w:rPr>
                <w:b/>
                <w:bCs/>
                <w:color w:val="FFFFFF"/>
                <w:sz w:val="19"/>
                <w:szCs w:val="19"/>
              </w:rPr>
              <w:t xml:space="preserve">Primary Author</w:t>
            </w:r>
          </w:p>
        </w:tc>
        <w:tc>
          <w:tcPr>
            <w:tcW w:type="dxa" w:w="3200"/>
            <w:shd w:fill="1F3864" w:val="clear"/>
            <w:tcMar>
              <w:top w:type="dxa" w:w="80"/>
              <w:left w:type="dxa" w:w="120"/>
              <w:bottom w:type="dxa" w:w="80"/>
              <w:right w:type="dxa" w:w="120"/>
            </w:tcMar>
          </w:tcPr>
          <w:p>
            <w:r>
              <w:rPr>
                <w:b/>
                <w:bCs/>
                <w:color w:val="FFFFFF"/>
                <w:sz w:val="19"/>
                <w:szCs w:val="19"/>
              </w:rPr>
              <w:t xml:space="preserve">Notes</w:t>
            </w:r>
          </w:p>
        </w:tc>
      </w:tr>
      <w:tr>
        <w:tc>
          <w:tcPr>
            <w:tcW w:type="dxa" w:w="2600"/>
            <w:tcMar>
              <w:top w:type="dxa" w:w="80"/>
              <w:left w:type="dxa" w:w="120"/>
              <w:bottom w:type="dxa" w:w="80"/>
              <w:right w:type="dxa" w:w="120"/>
            </w:tcMar>
          </w:tcPr>
          <w:p>
            <w:r>
              <w:rPr>
                <w:b w:val="false"/>
                <w:bCs w:val="false"/>
                <w:sz w:val="19"/>
                <w:szCs w:val="19"/>
              </w:rPr>
              <w:t xml:space="preserve">PRD</w:t>
            </w:r>
          </w:p>
        </w:tc>
        <w:tc>
          <w:tcPr>
            <w:tcW w:type="dxa" w:w="3540"/>
            <w:tcMar>
              <w:top w:type="dxa" w:w="80"/>
              <w:left w:type="dxa" w:w="120"/>
              <w:bottom w:type="dxa" w:w="80"/>
              <w:right w:type="dxa" w:w="120"/>
            </w:tcMar>
          </w:tcPr>
          <w:p>
            <w:r>
              <w:rPr>
                <w:b w:val="false"/>
                <w:bCs w:val="false"/>
                <w:sz w:val="19"/>
                <w:szCs w:val="19"/>
              </w:rPr>
              <w:t xml:space="preserve">Whole team, final edit by Vinayak (Lead)</w:t>
            </w:r>
          </w:p>
        </w:tc>
        <w:tc>
          <w:tcPr>
            <w:tcW w:type="dxa" w:w="3200"/>
            <w:tcMar>
              <w:top w:type="dxa" w:w="80"/>
              <w:left w:type="dxa" w:w="120"/>
              <w:bottom w:type="dxa" w:w="80"/>
              <w:right w:type="dxa" w:w="120"/>
            </w:tcMar>
          </w:tcPr>
          <w:p>
            <w:r>
              <w:rPr>
                <w:b w:val="false"/>
                <w:bCs w:val="false"/>
                <w:sz w:val="19"/>
                <w:szCs w:val="19"/>
              </w:rPr>
              <w:t xml:space="preserve">Living document; update if scope shifts.</w:t>
            </w:r>
          </w:p>
        </w:tc>
      </w:tr>
      <w:tr>
        <w:tc>
          <w:tcPr>
            <w:tcW w:type="dxa" w:w="2600"/>
            <w:shd w:fill="F5F8FB" w:val="clear"/>
            <w:tcMar>
              <w:top w:type="dxa" w:w="80"/>
              <w:left w:type="dxa" w:w="120"/>
              <w:bottom w:type="dxa" w:w="80"/>
              <w:right w:type="dxa" w:w="120"/>
            </w:tcMar>
          </w:tcPr>
          <w:p>
            <w:r>
              <w:rPr>
                <w:b w:val="false"/>
                <w:bCs w:val="false"/>
                <w:sz w:val="19"/>
                <w:szCs w:val="19"/>
              </w:rPr>
              <w:t xml:space="preserve">Architecture &amp; Design Doc</w:t>
            </w:r>
          </w:p>
        </w:tc>
        <w:tc>
          <w:tcPr>
            <w:tcW w:type="dxa" w:w="3540"/>
            <w:shd w:fill="F5F8FB" w:val="clear"/>
            <w:tcMar>
              <w:top w:type="dxa" w:w="80"/>
              <w:left w:type="dxa" w:w="120"/>
              <w:bottom w:type="dxa" w:w="80"/>
              <w:right w:type="dxa" w:w="120"/>
            </w:tcMar>
          </w:tcPr>
          <w:p>
            <w:r>
              <w:rPr>
                <w:b w:val="false"/>
                <w:bCs w:val="false"/>
                <w:sz w:val="19"/>
                <w:szCs w:val="19"/>
              </w:rPr>
              <w:t xml:space="preserve">Vinayak (storage/buffer) + Sushmit (concurrency/deadlock) + Kanak (WAL section)</w:t>
            </w:r>
          </w:p>
        </w:tc>
        <w:tc>
          <w:tcPr>
            <w:tcW w:type="dxa" w:w="3200"/>
            <w:shd w:fill="F5F8FB" w:val="clear"/>
            <w:tcMar>
              <w:top w:type="dxa" w:w="80"/>
              <w:left w:type="dxa" w:w="120"/>
              <w:bottom w:type="dxa" w:w="80"/>
              <w:right w:type="dxa" w:w="120"/>
            </w:tcMar>
          </w:tcPr>
          <w:p>
            <w:r>
              <w:rPr>
                <w:b w:val="false"/>
                <w:bCs w:val="false"/>
                <w:sz w:val="19"/>
                <w:szCs w:val="19"/>
              </w:rPr>
              <w:t xml:space="preserve">Each contributes their own section; Vinayak assembles.</w:t>
            </w:r>
          </w:p>
        </w:tc>
      </w:tr>
      <w:tr>
        <w:tc>
          <w:tcPr>
            <w:tcW w:type="dxa" w:w="2600"/>
            <w:tcMar>
              <w:top w:type="dxa" w:w="80"/>
              <w:left w:type="dxa" w:w="120"/>
              <w:bottom w:type="dxa" w:w="80"/>
              <w:right w:type="dxa" w:w="120"/>
            </w:tcMar>
          </w:tcPr>
          <w:p>
            <w:r>
              <w:rPr>
                <w:b w:val="false"/>
                <w:bCs w:val="false"/>
                <w:sz w:val="19"/>
                <w:szCs w:val="19"/>
              </w:rPr>
              <w:t xml:space="preserve">API Specification</w:t>
            </w:r>
          </w:p>
        </w:tc>
        <w:tc>
          <w:tcPr>
            <w:tcW w:type="dxa" w:w="3540"/>
            <w:tcMar>
              <w:top w:type="dxa" w:w="80"/>
              <w:left w:type="dxa" w:w="120"/>
              <w:bottom w:type="dxa" w:w="80"/>
              <w:right w:type="dxa" w:w="120"/>
            </w:tcMar>
          </w:tcPr>
          <w:p>
            <w:r>
              <w:rPr>
                <w:b w:val="false"/>
                <w:bCs w:val="false"/>
                <w:sz w:val="19"/>
                <w:szCs w:val="19"/>
              </w:rPr>
              <w:t xml:space="preserve">Suhavi</w:t>
            </w:r>
          </w:p>
        </w:tc>
        <w:tc>
          <w:tcPr>
            <w:tcW w:type="dxa" w:w="3200"/>
            <w:tcMar>
              <w:top w:type="dxa" w:w="80"/>
              <w:left w:type="dxa" w:w="120"/>
              <w:bottom w:type="dxa" w:w="80"/>
              <w:right w:type="dxa" w:w="120"/>
            </w:tcMar>
          </w:tcPr>
          <w:p>
            <w:r>
              <w:rPr>
                <w:b w:val="false"/>
                <w:bCs w:val="false"/>
                <w:sz w:val="19"/>
                <w:szCs w:val="19"/>
              </w:rPr>
              <w:t xml:space="preserve">Kept in sync with the actual REST server — update this doc in the same PR as any endpoint change.</w:t>
            </w:r>
          </w:p>
        </w:tc>
      </w:tr>
      <w:tr>
        <w:tc>
          <w:tcPr>
            <w:tcW w:type="dxa" w:w="2600"/>
            <w:shd w:fill="F5F8FB" w:val="clear"/>
            <w:tcMar>
              <w:top w:type="dxa" w:w="80"/>
              <w:left w:type="dxa" w:w="120"/>
              <w:bottom w:type="dxa" w:w="80"/>
              <w:right w:type="dxa" w:w="120"/>
            </w:tcMar>
          </w:tcPr>
          <w:p>
            <w:r>
              <w:rPr>
                <w:b w:val="false"/>
                <w:bCs w:val="false"/>
                <w:sz w:val="19"/>
                <w:szCs w:val="19"/>
              </w:rPr>
              <w:t xml:space="preserve">Test Plan</w:t>
            </w:r>
          </w:p>
        </w:tc>
        <w:tc>
          <w:tcPr>
            <w:tcW w:type="dxa" w:w="3540"/>
            <w:shd w:fill="F5F8FB" w:val="clear"/>
            <w:tcMar>
              <w:top w:type="dxa" w:w="80"/>
              <w:left w:type="dxa" w:w="120"/>
              <w:bottom w:type="dxa" w:w="80"/>
              <w:right w:type="dxa" w:w="120"/>
            </w:tcMar>
          </w:tcPr>
          <w:p>
            <w:r>
              <w:rPr>
                <w:b w:val="false"/>
                <w:bCs w:val="false"/>
                <w:sz w:val="19"/>
                <w:szCs w:val="19"/>
              </w:rPr>
              <w:t xml:space="preserve">Kanak assembles; each member supplies their own subsystem's test cases</w:t>
            </w:r>
          </w:p>
        </w:tc>
        <w:tc>
          <w:tcPr>
            <w:tcW w:type="dxa" w:w="3200"/>
            <w:shd w:fill="F5F8FB" w:val="clear"/>
            <w:tcMar>
              <w:top w:type="dxa" w:w="80"/>
              <w:left w:type="dxa" w:w="120"/>
              <w:bottom w:type="dxa" w:w="80"/>
              <w:right w:type="dxa" w:w="120"/>
            </w:tcMar>
          </w:tcPr>
          <w:p>
            <w:r>
              <w:rPr>
                <w:b w:val="false"/>
                <w:bCs w:val="false"/>
                <w:sz w:val="19"/>
                <w:szCs w:val="19"/>
              </w:rPr>
              <w:t xml:space="preserve">Kanak also owns the requirements traceability matrix.</w:t>
            </w:r>
          </w:p>
        </w:tc>
      </w:tr>
      <w:tr>
        <w:tc>
          <w:tcPr>
            <w:tcW w:type="dxa" w:w="2600"/>
            <w:tcMar>
              <w:top w:type="dxa" w:w="80"/>
              <w:left w:type="dxa" w:w="120"/>
              <w:bottom w:type="dxa" w:w="80"/>
              <w:right w:type="dxa" w:w="120"/>
            </w:tcMar>
          </w:tcPr>
          <w:p>
            <w:r>
              <w:rPr>
                <w:b w:val="false"/>
                <w:bCs w:val="false"/>
                <w:sz w:val="19"/>
                <w:szCs w:val="19"/>
              </w:rPr>
              <w:t xml:space="preserve">README</w:t>
            </w:r>
          </w:p>
        </w:tc>
        <w:tc>
          <w:tcPr>
            <w:tcW w:type="dxa" w:w="3540"/>
            <w:tcMar>
              <w:top w:type="dxa" w:w="80"/>
              <w:left w:type="dxa" w:w="120"/>
              <w:bottom w:type="dxa" w:w="80"/>
              <w:right w:type="dxa" w:w="120"/>
            </w:tcMar>
          </w:tcPr>
          <w:p>
            <w:r>
              <w:rPr>
                <w:b w:val="false"/>
                <w:bCs w:val="false"/>
                <w:sz w:val="19"/>
                <w:szCs w:val="19"/>
              </w:rPr>
              <w:t xml:space="preserve">Suhavi (build/run steps) + whole team (milestone status)</w:t>
            </w:r>
          </w:p>
        </w:tc>
        <w:tc>
          <w:tcPr>
            <w:tcW w:type="dxa" w:w="3200"/>
            <w:tcMar>
              <w:top w:type="dxa" w:w="80"/>
              <w:left w:type="dxa" w:w="120"/>
              <w:bottom w:type="dxa" w:w="80"/>
              <w:right w:type="dxa" w:w="120"/>
            </w:tcMar>
          </w:tcPr>
          <w:p>
            <w:r>
              <w:rPr>
                <w:b w:val="false"/>
                <w:bCs w:val="false"/>
                <w:sz w:val="19"/>
                <w:szCs w:val="19"/>
              </w:rPr>
              <w:t xml:space="preserve">Update the milestone checklist at each weekly gate.</w:t>
            </w:r>
          </w:p>
        </w:tc>
      </w:tr>
    </w:tbl>
    <w:p>
      <w:pPr>
        <w:pStyle w:val="Heading1"/>
        <w:pBdr>
          <w:bottom w:val="single" w:color="1F3864" w:sz="6" w:space="4"/>
        </w:pBdr>
        <w:spacing w:after="160" w:before="360"/>
      </w:pPr>
      <w:r>
        <w:t xml:space="preserve">6. Cross-Team Dependencies &amp; Handoff Points</w:t>
      </w:r>
    </w:p>
    <w:p>
      <w:pPr>
        <w:pStyle w:val="ListParagraph"/>
        <w:numPr>
          <w:ilvl w:val="0"/>
          <w:numId w:val="1"/>
        </w:numPr>
        <w:spacing w:after="80" w:line="276"/>
      </w:pPr>
      <w:r>
        <w:t xml:space="preserve">Sushmit's lock manager (Week 5) depends on Vinayak's buffer pool exposing thread-safe pin/unpin by end of Week 3.</w:t>
      </w:r>
    </w:p>
    <w:p>
      <w:pPr>
        <w:pStyle w:val="ListParagraph"/>
        <w:numPr>
          <w:ilvl w:val="0"/>
          <w:numId w:val="1"/>
        </w:numPr>
        <w:spacing w:after="80" w:line="276"/>
      </w:pPr>
      <w:r>
        <w:t xml:space="preserve">Kanak's WAL/recovery (Week 7) depends on Vinayak's buffer pool honoring the write-ahead rule hook added in Week 5, and on Sushmit's transaction manager correctly reporting commit/abort boundaries.</w:t>
      </w:r>
    </w:p>
    <w:p>
      <w:pPr>
        <w:pStyle w:val="ListParagraph"/>
        <w:numPr>
          <w:ilvl w:val="0"/>
          <w:numId w:val="1"/>
        </w:numPr>
        <w:spacing w:after="80" w:line="276"/>
      </w:pPr>
      <w:r>
        <w:t xml:space="preserve">Suhavi's API layer (Week 4 onward) depends on Vinayak's storage manager and Kanak's hash index being callable — even as stubs — by end of Week 3.</w:t>
      </w:r>
    </w:p>
    <w:p>
      <w:pPr>
        <w:pStyle w:val="ListParagraph"/>
        <w:numPr>
          <w:ilvl w:val="0"/>
          <w:numId w:val="1"/>
        </w:numPr>
        <w:spacing w:after="80" w:line="276"/>
      </w:pPr>
      <w:r>
        <w:t xml:space="preserve">Suhavi's dashboard deadlock visualization (Week 6) depends on Sushmit's wait-for graph emitting lock.waiting / deadlock.detected events in the exact shape defined in the API Specification §6.1.</w:t>
      </w:r>
    </w:p>
    <w:p>
      <w:pPr>
        <w:pStyle w:val="ListParagraph"/>
        <w:numPr>
          <w:ilvl w:val="0"/>
          <w:numId w:val="1"/>
        </w:numPr>
        <w:spacing w:after="80" w:line="276"/>
      </w:pPr>
      <w:r>
        <w:t xml:space="preserve">Kanak's reserveBundle deadlock test harness (Week 6) depends on Suhavi's reserveBundle endpoint and Sushmit's multi-lock acquisition both being in place.</w:t>
      </w:r>
    </w:p>
    <w:p>
      <w:pPr>
        <w:spacing w:after="160" w:line="276"/>
      </w:pPr>
      <w:r>
        <w:rPr>
          <w:i/>
          <w:iCs/>
        </w:rPr>
        <w:t xml:space="preserve">Any change to a shared interface (lock table shape, WAL record format, REST/SSE payloads) must be reflected in the API Specification or Architecture Doc in the same week it changes — per the versioning note in the API Specification §8.</w:t>
      </w:r>
    </w:p>
    <w:p>
      <w:pPr>
        <w:pStyle w:val="Heading1"/>
        <w:pBdr>
          <w:bottom w:val="single" w:color="1F3864" w:sz="6" w:space="4"/>
        </w:pBdr>
        <w:spacing w:after="160" w:before="360"/>
      </w:pPr>
      <w:r>
        <w:t xml:space="preserve">7. Collaboration Cadence</w:t>
      </w:r>
    </w:p>
    <w:p>
      <w:pPr>
        <w:pStyle w:val="ListParagraph"/>
        <w:numPr>
          <w:ilvl w:val="0"/>
          <w:numId w:val="1"/>
        </w:numPr>
        <w:spacing w:after="80" w:line="276"/>
      </w:pPr>
      <w:r>
        <w:t xml:space="preserve">A short sync at the start of each week to confirm the previous week's gate was met (per Test Plan §14) before starting the next week's tasks.</w:t>
      </w:r>
    </w:p>
    <w:p>
      <w:pPr>
        <w:pStyle w:val="ListParagraph"/>
        <w:numPr>
          <w:ilvl w:val="0"/>
          <w:numId w:val="1"/>
        </w:numPr>
        <w:spacing w:after="80" w:line="276"/>
      </w:pPr>
      <w:r>
        <w:t xml:space="preserve">Any blocking dependency (Section 6) is raised as soon as it's known to be at risk — not at the end of the week.</w:t>
      </w:r>
    </w:p>
    <w:p>
      <w:pPr>
        <w:pStyle w:val="ListParagraph"/>
        <w:numPr>
          <w:ilvl w:val="0"/>
          <w:numId w:val="1"/>
        </w:numPr>
        <w:spacing w:after="80" w:line="276"/>
      </w:pPr>
      <w:r>
        <w:t xml:space="preserve">Code review: each subsystem's primary owner reviews changes to their own area; cross-cutting changes (shared headers, schema, API contracts) get a second reviewer from an adjacent subsystem.</w:t>
      </w:r>
    </w:p>
    <w:p>
      <w:pPr>
        <w:pStyle w:val="ListParagraph"/>
        <w:numPr>
          <w:ilvl w:val="0"/>
          <w:numId w:val="1"/>
        </w:numPr>
        <w:spacing w:after="80" w:line="276"/>
      </w:pPr>
      <w:r>
        <w:t xml:space="preserve">All defects logged and triaged per the Test Plan's Defect Management process (§15).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2026-09-09T17:45:33.019Z</dcterms:created>
  <dcterms:modified xsi:type="dcterms:W3CDTF">2026-09-09T17:45:33.036Z</dcterms:modified>
</cp:coreProperties>
</file>

<file path=docProps/custom.xml><?xml version="1.0" encoding="utf-8"?>
<Properties xmlns="http://schemas.openxmlformats.org/officeDocument/2006/custom-properties" xmlns:vt="http://schemas.openxmlformats.org/officeDocument/2006/docPropsVTypes"/>
</file>