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E6E9B"/>
          <w:sz w:val="24"/>
        </w:rPr>
        <w:t>STAKEHOLDER REPORT</w:t>
      </w:r>
    </w:p>
    <w:p>
      <w:pPr>
        <w:pStyle w:val="Title"/>
        <w:jc w:val="center"/>
      </w:pPr>
      <w:r>
        <w:t>Advanced EDA &amp; Text Mining</w:t>
      </w:r>
    </w:p>
    <w:p>
      <w:pPr>
        <w:jc w:val="center"/>
      </w:pPr>
      <w:r>
        <w:rPr>
          <w:color w:val="556473"/>
          <w:sz w:val="26"/>
        </w:rPr>
        <w:t>Vehicle infotainment and related complaint narratives</w:t>
      </w:r>
    </w:p>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74A70"/>
          </w:tcPr>
          <w:p>
            <w:pPr>
              <w:spacing w:after="0"/>
            </w:pPr>
            <w:r/>
            <w:r>
              <w:rPr>
                <w:b/>
                <w:color w:val="FFFFFF"/>
                <w:sz w:val="18"/>
              </w:rPr>
              <w:t>Report at a glance</w:t>
            </w:r>
          </w:p>
        </w:tc>
        <w:tc>
          <w:tcPr>
            <w:tcW w:type="dxa" w:w="5760"/>
            <w:vAlign w:val="center"/>
            <w:shd w:fill="174A70"/>
          </w:tcPr>
          <w:p>
            <w:pPr>
              <w:spacing w:after="0"/>
            </w:pPr>
            <w:r/>
            <w:r>
              <w:rPr>
                <w:b/>
                <w:color w:val="FFFFFF"/>
                <w:sz w:val="18"/>
              </w:rPr>
              <w:t>Verified result</w:t>
            </w:r>
          </w:p>
        </w:tc>
      </w:tr>
      <w:tr>
        <w:tc>
          <w:tcPr>
            <w:tcW w:type="dxa" w:w="4320"/>
            <w:vAlign w:val="center"/>
          </w:tcPr>
          <w:p>
            <w:pPr>
              <w:spacing w:after="0"/>
            </w:pPr>
            <w:r/>
            <w:r>
              <w:rPr>
                <w:b w:val="0"/>
                <w:sz w:val="18"/>
              </w:rPr>
              <w:t>Records analyzed</w:t>
            </w:r>
          </w:p>
        </w:tc>
        <w:tc>
          <w:tcPr>
            <w:tcW w:type="dxa" w:w="5760"/>
            <w:vAlign w:val="center"/>
          </w:tcPr>
          <w:p>
            <w:pPr>
              <w:spacing w:after="0"/>
            </w:pPr>
            <w:r/>
            <w:r>
              <w:rPr>
                <w:b w:val="0"/>
                <w:sz w:val="18"/>
              </w:rPr>
              <w:t>1,000</w:t>
            </w:r>
          </w:p>
        </w:tc>
      </w:tr>
      <w:tr>
        <w:tc>
          <w:tcPr>
            <w:tcW w:type="dxa" w:w="4320"/>
            <w:vAlign w:val="center"/>
            <w:shd w:fill="F0F5F8"/>
          </w:tcPr>
          <w:p>
            <w:pPr>
              <w:spacing w:after="0"/>
            </w:pPr>
            <w:r/>
            <w:r>
              <w:rPr>
                <w:b w:val="0"/>
                <w:sz w:val="18"/>
              </w:rPr>
              <w:t>Unique Event IDs</w:t>
            </w:r>
          </w:p>
        </w:tc>
        <w:tc>
          <w:tcPr>
            <w:tcW w:type="dxa" w:w="5760"/>
            <w:vAlign w:val="center"/>
            <w:shd w:fill="F0F5F8"/>
          </w:tcPr>
          <w:p>
            <w:pPr>
              <w:spacing w:after="0"/>
            </w:pPr>
            <w:r/>
            <w:r>
              <w:rPr>
                <w:b w:val="0"/>
                <w:sz w:val="18"/>
              </w:rPr>
              <w:t>1,000; no missing IDs or duplicate Event IDs reported</w:t>
            </w:r>
          </w:p>
        </w:tc>
      </w:tr>
      <w:tr>
        <w:tc>
          <w:tcPr>
            <w:tcW w:type="dxa" w:w="4320"/>
            <w:vAlign w:val="center"/>
          </w:tcPr>
          <w:p>
            <w:pPr>
              <w:spacing w:after="0"/>
            </w:pPr>
            <w:r/>
            <w:r>
              <w:rPr>
                <w:b w:val="0"/>
                <w:sz w:val="18"/>
              </w:rPr>
              <w:t>Most frequent complaint category</w:t>
            </w:r>
          </w:p>
        </w:tc>
        <w:tc>
          <w:tcPr>
            <w:tcW w:type="dxa" w:w="5760"/>
            <w:vAlign w:val="center"/>
          </w:tcPr>
          <w:p>
            <w:pPr>
              <w:spacing w:after="0"/>
            </w:pPr>
            <w:r/>
            <w:r>
              <w:rPr>
                <w:b w:val="0"/>
                <w:sz w:val="18"/>
              </w:rPr>
              <w:t>Audio/Entertainment/Navigation – Audio: 337 records (33.7%)</w:t>
            </w:r>
          </w:p>
        </w:tc>
      </w:tr>
      <w:tr>
        <w:tc>
          <w:tcPr>
            <w:tcW w:type="dxa" w:w="4320"/>
            <w:vAlign w:val="center"/>
            <w:shd w:fill="F0F5F8"/>
          </w:tcPr>
          <w:p>
            <w:pPr>
              <w:spacing w:after="0"/>
            </w:pPr>
            <w:r/>
            <w:r>
              <w:rPr>
                <w:b w:val="0"/>
                <w:sz w:val="18"/>
              </w:rPr>
              <w:t>Top three complaint categories</w:t>
            </w:r>
          </w:p>
        </w:tc>
        <w:tc>
          <w:tcPr>
            <w:tcW w:type="dxa" w:w="5760"/>
            <w:vAlign w:val="center"/>
            <w:shd w:fill="F0F5F8"/>
          </w:tcPr>
          <w:p>
            <w:pPr>
              <w:spacing w:after="0"/>
            </w:pPr>
            <w:r/>
            <w:r>
              <w:rPr>
                <w:b w:val="0"/>
                <w:sz w:val="18"/>
              </w:rPr>
              <w:t>794 records (79.4%) combined</w:t>
            </w:r>
          </w:p>
        </w:tc>
      </w:tr>
      <w:tr>
        <w:tc>
          <w:tcPr>
            <w:tcW w:type="dxa" w:w="4320"/>
            <w:vAlign w:val="center"/>
          </w:tcPr>
          <w:p>
            <w:pPr>
              <w:spacing w:after="0"/>
            </w:pPr>
            <w:r/>
            <w:r>
              <w:rPr>
                <w:b w:val="0"/>
                <w:sz w:val="18"/>
              </w:rPr>
              <w:t>Repair-action tag coverage in current dataframe and exported CSV</w:t>
            </w:r>
          </w:p>
        </w:tc>
        <w:tc>
          <w:tcPr>
            <w:tcW w:type="dxa" w:w="5760"/>
            <w:vAlign w:val="center"/>
          </w:tcPr>
          <w:p>
            <w:pPr>
              <w:spacing w:after="0"/>
            </w:pPr>
            <w:r/>
            <w:r>
              <w:rPr>
                <w:b w:val="0"/>
                <w:sz w:val="18"/>
              </w:rPr>
              <w:t>732 records (73.2%)</w:t>
            </w:r>
          </w:p>
        </w:tc>
      </w:tr>
      <w:tr>
        <w:tc>
          <w:tcPr>
            <w:tcW w:type="dxa" w:w="4320"/>
            <w:vAlign w:val="center"/>
            <w:shd w:fill="F0F5F8"/>
          </w:tcPr>
          <w:p>
            <w:pPr>
              <w:spacing w:after="0"/>
            </w:pPr>
            <w:r/>
            <w:r>
              <w:rPr>
                <w:b w:val="0"/>
                <w:sz w:val="18"/>
              </w:rPr>
              <w:t>Exploratory text clusters</w:t>
            </w:r>
          </w:p>
        </w:tc>
        <w:tc>
          <w:tcPr>
            <w:tcW w:type="dxa" w:w="5760"/>
            <w:vAlign w:val="center"/>
            <w:shd w:fill="F0F5F8"/>
          </w:tcPr>
          <w:p>
            <w:pPr>
              <w:spacing w:after="0"/>
            </w:pPr>
            <w:r/>
            <w:r>
              <w:rPr>
                <w:b w:val="0"/>
                <w:sz w:val="18"/>
              </w:rPr>
              <w:t>5 KMeans clusters</w:t>
            </w:r>
          </w:p>
        </w:tc>
      </w:tr>
    </w:tbl>
    <w:p>
      <w:pPr>
        <w:spacing w:after="20"/>
      </w:pPr>
    </w:p>
    <w:p>
      <w:pPr>
        <w:pStyle w:val="Heading1"/>
      </w:pPr>
      <w:r>
        <w:t>1. Executive Summary</w:t>
      </w:r>
    </w:p>
    <w:p>
      <w:r>
        <w:t>This analysis examined 1,000 vehicle-related event records using exploratory data analysis (EDA), keyword-based text tagging, TF-IDF text representation, and KMeans clustering. The complaint-category distribution is strongly concentrated in audio and infotainment-related categories. The three largest categories—Audio, Other issues, and Communication within Audio/Entertainment/Navigation—account for 794 records (79.4%).</w:t>
      </w:r>
    </w:p>
    <w:p>
      <w:r>
        <w:t>Rule-based tags provide additional views of reported symptoms, possible causes mentioned in narratives, and recorded repair actions. Radio Replacement was tagged in 594 records (59.4%) and Programming in 331 records (33.1%). These action counts overlap because a record may receive more than one tag. Repair-action tag coverage is 732 records (73.2%) in both the current dataframe and the exported analyzed CSV.</w:t>
      </w:r>
    </w:p>
    <w:p>
      <w:r>
        <w:t>The findings are useful for prioritizing investigation and quality review, but they are not proof of technical root cause. Keyword tags depend on wording in the narratives, and clustering identifies textual similarity rather than confirmed causal mechanisms.</w:t>
      </w:r>
    </w:p>
    <w:p>
      <w:pPr>
        <w:pStyle w:val="Heading1"/>
      </w:pPr>
      <w:r>
        <w:t>2. Dataset and Data Quality</w:t>
      </w:r>
    </w:p>
    <w:p>
      <w:r>
        <w:t>The analyzed dataset contains 1,000 records and 26 columns in the exported analyzed file. The integrity audit reported 1,000 unique Event IDs, no missing Event IDs, no duplicate Event IDs, no duplicate rows, and the required analysis columns present.</w:t>
      </w:r>
    </w:p>
    <w:p>
      <w:r>
        <w:t>The date-quality check found no missing or invalid values for Opened date or BUILD_DATE and one missing or invalid value for IN_USE_DATE. The numerical summary showed MODLYR was 2020 for all 1,000 records (mean 2020, median 2020, standard deviation 0), so it does not vary within this dataset and has limited value for differentiating events.</w:t>
      </w:r>
    </w:p>
    <w:p>
      <w:r>
        <w:t>A coverage verification confirmed that 732 records have at least one repair-action tag and 268 do not. The same coverage was found in the exported CSV. The CSV stores repair actions as semicolon-separated text strings; this storage format must be handled accordingly when reloading the file.</w:t>
      </w:r>
    </w:p>
    <w:p>
      <w:pPr>
        <w:pStyle w:val="Heading1"/>
      </w:pPr>
      <w:r>
        <w:t>3. Complaint Category Distribution</w:t>
      </w:r>
    </w:p>
    <w:tbl>
      <w:tblPr>
        <w:tblStyle w:val="TableGrid"/>
        <w:tblW w:type="auto" w:w="0"/>
        <w:jc w:val="center"/>
        <w:tblLook w:firstColumn="1" w:firstRow="1" w:lastColumn="0" w:lastRow="0" w:noHBand="0" w:noVBand="1" w:val="04A0"/>
      </w:tblPr>
      <w:tblGrid>
        <w:gridCol w:w="3312"/>
        <w:gridCol w:w="3312"/>
        <w:gridCol w:w="3312"/>
      </w:tblGrid>
      <w:tr>
        <w:tc>
          <w:tcPr>
            <w:tcW w:type="dxa" w:w="6624"/>
            <w:vAlign w:val="center"/>
            <w:shd w:fill="174A70"/>
          </w:tcPr>
          <w:p>
            <w:pPr>
              <w:spacing w:after="0"/>
            </w:pPr>
            <w:r/>
            <w:r>
              <w:rPr>
                <w:b/>
                <w:color w:val="FFFFFF"/>
                <w:sz w:val="18"/>
              </w:rPr>
              <w:t>Complaint category</w:t>
            </w:r>
          </w:p>
        </w:tc>
        <w:tc>
          <w:tcPr>
            <w:tcW w:type="dxa" w:w="1440"/>
            <w:vAlign w:val="center"/>
            <w:shd w:fill="174A70"/>
          </w:tcPr>
          <w:p>
            <w:pPr>
              <w:spacing w:after="0"/>
            </w:pPr>
            <w:r/>
            <w:r>
              <w:rPr>
                <w:b/>
                <w:color w:val="FFFFFF"/>
                <w:sz w:val="18"/>
              </w:rPr>
              <w:t>Records</w:t>
            </w:r>
          </w:p>
        </w:tc>
        <w:tc>
          <w:tcPr>
            <w:tcW w:type="dxa" w:w="2016"/>
            <w:vAlign w:val="center"/>
            <w:shd w:fill="174A70"/>
          </w:tcPr>
          <w:p>
            <w:pPr>
              <w:spacing w:after="0"/>
            </w:pPr>
            <w:r/>
            <w:r>
              <w:rPr>
                <w:b/>
                <w:color w:val="FFFFFF"/>
                <w:sz w:val="18"/>
              </w:rPr>
              <w:t>Share of all records</w:t>
            </w:r>
          </w:p>
        </w:tc>
      </w:tr>
      <w:tr>
        <w:tc>
          <w:tcPr>
            <w:tcW w:type="dxa" w:w="6624"/>
            <w:vAlign w:val="center"/>
          </w:tcPr>
          <w:p>
            <w:pPr>
              <w:spacing w:after="0"/>
            </w:pPr>
            <w:r/>
            <w:r>
              <w:rPr>
                <w:b w:val="0"/>
                <w:sz w:val="18"/>
              </w:rPr>
              <w:t>Audio/Entertainment/Navigation – Audio</w:t>
            </w:r>
          </w:p>
        </w:tc>
        <w:tc>
          <w:tcPr>
            <w:tcW w:type="dxa" w:w="1440"/>
            <w:vAlign w:val="center"/>
          </w:tcPr>
          <w:p>
            <w:pPr>
              <w:spacing w:after="0"/>
            </w:pPr>
            <w:r/>
            <w:r>
              <w:rPr>
                <w:b w:val="0"/>
                <w:sz w:val="18"/>
              </w:rPr>
              <w:t>337</w:t>
            </w:r>
          </w:p>
        </w:tc>
        <w:tc>
          <w:tcPr>
            <w:tcW w:type="dxa" w:w="2016"/>
            <w:vAlign w:val="center"/>
          </w:tcPr>
          <w:p>
            <w:pPr>
              <w:spacing w:after="0"/>
            </w:pPr>
            <w:r/>
            <w:r>
              <w:rPr>
                <w:b w:val="0"/>
                <w:sz w:val="18"/>
              </w:rPr>
              <w:t>33.7%</w:t>
            </w:r>
          </w:p>
        </w:tc>
      </w:tr>
      <w:tr>
        <w:tc>
          <w:tcPr>
            <w:tcW w:type="dxa" w:w="6624"/>
            <w:vAlign w:val="center"/>
            <w:shd w:fill="F0F5F8"/>
          </w:tcPr>
          <w:p>
            <w:pPr>
              <w:spacing w:after="0"/>
            </w:pPr>
            <w:r/>
            <w:r>
              <w:rPr>
                <w:b w:val="0"/>
                <w:sz w:val="18"/>
              </w:rPr>
              <w:t>Audio/Entertainment/Navigation – Other issues</w:t>
            </w:r>
          </w:p>
        </w:tc>
        <w:tc>
          <w:tcPr>
            <w:tcW w:type="dxa" w:w="1440"/>
            <w:vAlign w:val="center"/>
            <w:shd w:fill="F0F5F8"/>
          </w:tcPr>
          <w:p>
            <w:pPr>
              <w:spacing w:after="0"/>
            </w:pPr>
            <w:r/>
            <w:r>
              <w:rPr>
                <w:b w:val="0"/>
                <w:sz w:val="18"/>
              </w:rPr>
              <w:t>263</w:t>
            </w:r>
          </w:p>
        </w:tc>
        <w:tc>
          <w:tcPr>
            <w:tcW w:type="dxa" w:w="2016"/>
            <w:vAlign w:val="center"/>
            <w:shd w:fill="F0F5F8"/>
          </w:tcPr>
          <w:p>
            <w:pPr>
              <w:spacing w:after="0"/>
            </w:pPr>
            <w:r/>
            <w:r>
              <w:rPr>
                <w:b w:val="0"/>
                <w:sz w:val="18"/>
              </w:rPr>
              <w:t>26.3%</w:t>
            </w:r>
          </w:p>
        </w:tc>
      </w:tr>
      <w:tr>
        <w:tc>
          <w:tcPr>
            <w:tcW w:type="dxa" w:w="6624"/>
            <w:vAlign w:val="center"/>
          </w:tcPr>
          <w:p>
            <w:pPr>
              <w:spacing w:after="0"/>
            </w:pPr>
            <w:r/>
            <w:r>
              <w:rPr>
                <w:b w:val="0"/>
                <w:sz w:val="18"/>
              </w:rPr>
              <w:t>Audio/Entertainment/Navigation – Communication</w:t>
            </w:r>
          </w:p>
        </w:tc>
        <w:tc>
          <w:tcPr>
            <w:tcW w:type="dxa" w:w="1440"/>
            <w:vAlign w:val="center"/>
          </w:tcPr>
          <w:p>
            <w:pPr>
              <w:spacing w:after="0"/>
            </w:pPr>
            <w:r/>
            <w:r>
              <w:rPr>
                <w:b w:val="0"/>
                <w:sz w:val="18"/>
              </w:rPr>
              <w:t>194</w:t>
            </w:r>
          </w:p>
        </w:tc>
        <w:tc>
          <w:tcPr>
            <w:tcW w:type="dxa" w:w="2016"/>
            <w:vAlign w:val="center"/>
          </w:tcPr>
          <w:p>
            <w:pPr>
              <w:spacing w:after="0"/>
            </w:pPr>
            <w:r/>
            <w:r>
              <w:rPr>
                <w:b w:val="0"/>
                <w:sz w:val="18"/>
              </w:rPr>
              <w:t>19.4%</w:t>
            </w:r>
          </w:p>
        </w:tc>
      </w:tr>
      <w:tr>
        <w:tc>
          <w:tcPr>
            <w:tcW w:type="dxa" w:w="6624"/>
            <w:vAlign w:val="center"/>
            <w:shd w:fill="F0F5F8"/>
          </w:tcPr>
          <w:p>
            <w:pPr>
              <w:spacing w:after="0"/>
            </w:pPr>
            <w:r/>
            <w:r>
              <w:rPr>
                <w:b w:val="0"/>
                <w:sz w:val="18"/>
              </w:rPr>
              <w:t>Audio/Entertainment/Navigation – Video</w:t>
            </w:r>
          </w:p>
        </w:tc>
        <w:tc>
          <w:tcPr>
            <w:tcW w:type="dxa" w:w="1440"/>
            <w:vAlign w:val="center"/>
            <w:shd w:fill="F0F5F8"/>
          </w:tcPr>
          <w:p>
            <w:pPr>
              <w:spacing w:after="0"/>
            </w:pPr>
            <w:r/>
            <w:r>
              <w:rPr>
                <w:b w:val="0"/>
                <w:sz w:val="18"/>
              </w:rPr>
              <w:t>103</w:t>
            </w:r>
          </w:p>
        </w:tc>
        <w:tc>
          <w:tcPr>
            <w:tcW w:type="dxa" w:w="2016"/>
            <w:vAlign w:val="center"/>
            <w:shd w:fill="F0F5F8"/>
          </w:tcPr>
          <w:p>
            <w:pPr>
              <w:spacing w:after="0"/>
            </w:pPr>
            <w:r/>
            <w:r>
              <w:rPr>
                <w:b w:val="0"/>
                <w:sz w:val="18"/>
              </w:rPr>
              <w:t>10.3%</w:t>
            </w:r>
          </w:p>
        </w:tc>
      </w:tr>
      <w:tr>
        <w:tc>
          <w:tcPr>
            <w:tcW w:type="dxa" w:w="6624"/>
            <w:vAlign w:val="center"/>
          </w:tcPr>
          <w:p>
            <w:pPr>
              <w:spacing w:after="0"/>
            </w:pPr>
            <w:r/>
            <w:r>
              <w:rPr>
                <w:b w:val="0"/>
                <w:sz w:val="18"/>
              </w:rPr>
              <w:t>Features/Controls/Displays – Other issues</w:t>
            </w:r>
          </w:p>
        </w:tc>
        <w:tc>
          <w:tcPr>
            <w:tcW w:type="dxa" w:w="1440"/>
            <w:vAlign w:val="center"/>
          </w:tcPr>
          <w:p>
            <w:pPr>
              <w:spacing w:after="0"/>
            </w:pPr>
            <w:r/>
            <w:r>
              <w:rPr>
                <w:b w:val="0"/>
                <w:sz w:val="18"/>
              </w:rPr>
              <w:t>47</w:t>
            </w:r>
          </w:p>
        </w:tc>
        <w:tc>
          <w:tcPr>
            <w:tcW w:type="dxa" w:w="2016"/>
            <w:vAlign w:val="center"/>
          </w:tcPr>
          <w:p>
            <w:pPr>
              <w:spacing w:after="0"/>
            </w:pPr>
            <w:r/>
            <w:r>
              <w:rPr>
                <w:b w:val="0"/>
                <w:sz w:val="18"/>
              </w:rPr>
              <w:t>4.7%</w:t>
            </w:r>
          </w:p>
        </w:tc>
      </w:tr>
      <w:tr>
        <w:tc>
          <w:tcPr>
            <w:tcW w:type="dxa" w:w="6624"/>
            <w:vAlign w:val="center"/>
            <w:shd w:fill="F0F5F8"/>
          </w:tcPr>
          <w:p>
            <w:pPr>
              <w:spacing w:after="0"/>
            </w:pPr>
            <w:r/>
            <w:r>
              <w:rPr>
                <w:b w:val="0"/>
                <w:sz w:val="18"/>
              </w:rPr>
              <w:t>Audio/Entertainment/Navigation – Navigation</w:t>
            </w:r>
          </w:p>
        </w:tc>
        <w:tc>
          <w:tcPr>
            <w:tcW w:type="dxa" w:w="1440"/>
            <w:vAlign w:val="center"/>
            <w:shd w:fill="F0F5F8"/>
          </w:tcPr>
          <w:p>
            <w:pPr>
              <w:spacing w:after="0"/>
            </w:pPr>
            <w:r/>
            <w:r>
              <w:rPr>
                <w:b w:val="0"/>
                <w:sz w:val="18"/>
              </w:rPr>
              <w:t>32</w:t>
            </w:r>
          </w:p>
        </w:tc>
        <w:tc>
          <w:tcPr>
            <w:tcW w:type="dxa" w:w="2016"/>
            <w:vAlign w:val="center"/>
            <w:shd w:fill="F0F5F8"/>
          </w:tcPr>
          <w:p>
            <w:pPr>
              <w:spacing w:after="0"/>
            </w:pPr>
            <w:r/>
            <w:r>
              <w:rPr>
                <w:b w:val="0"/>
                <w:sz w:val="18"/>
              </w:rPr>
              <w:t>3.2%</w:t>
            </w:r>
          </w:p>
        </w:tc>
      </w:tr>
      <w:tr>
        <w:tc>
          <w:tcPr>
            <w:tcW w:type="dxa" w:w="6624"/>
            <w:vAlign w:val="center"/>
          </w:tcPr>
          <w:p>
            <w:pPr>
              <w:spacing w:after="0"/>
            </w:pPr>
            <w:r/>
            <w:r>
              <w:rPr>
                <w:b w:val="0"/>
                <w:sz w:val="18"/>
              </w:rPr>
              <w:t>Features/Controls/Displays – Gauges/Warning Lights</w:t>
            </w:r>
          </w:p>
        </w:tc>
        <w:tc>
          <w:tcPr>
            <w:tcW w:type="dxa" w:w="1440"/>
            <w:vAlign w:val="center"/>
          </w:tcPr>
          <w:p>
            <w:pPr>
              <w:spacing w:after="0"/>
            </w:pPr>
            <w:r/>
            <w:r>
              <w:rPr>
                <w:b w:val="0"/>
                <w:sz w:val="18"/>
              </w:rPr>
              <w:t>12</w:t>
            </w:r>
          </w:p>
        </w:tc>
        <w:tc>
          <w:tcPr>
            <w:tcW w:type="dxa" w:w="2016"/>
            <w:vAlign w:val="center"/>
          </w:tcPr>
          <w:p>
            <w:pPr>
              <w:spacing w:after="0"/>
            </w:pPr>
            <w:r/>
            <w:r>
              <w:rPr>
                <w:b w:val="0"/>
                <w:sz w:val="18"/>
              </w:rPr>
              <w:t>1.2%</w:t>
            </w:r>
          </w:p>
        </w:tc>
      </w:tr>
      <w:tr>
        <w:tc>
          <w:tcPr>
            <w:tcW w:type="dxa" w:w="6624"/>
            <w:vAlign w:val="center"/>
            <w:shd w:fill="F0F5F8"/>
          </w:tcPr>
          <w:p>
            <w:pPr>
              <w:spacing w:after="0"/>
            </w:pPr>
            <w:r/>
            <w:r>
              <w:rPr>
                <w:b w:val="0"/>
                <w:sz w:val="18"/>
              </w:rPr>
              <w:t>Audio/Entertainment/Navigation – Abnormal Noise</w:t>
            </w:r>
          </w:p>
        </w:tc>
        <w:tc>
          <w:tcPr>
            <w:tcW w:type="dxa" w:w="1440"/>
            <w:vAlign w:val="center"/>
            <w:shd w:fill="F0F5F8"/>
          </w:tcPr>
          <w:p>
            <w:pPr>
              <w:spacing w:after="0"/>
            </w:pPr>
            <w:r/>
            <w:r>
              <w:rPr>
                <w:b w:val="0"/>
                <w:sz w:val="18"/>
              </w:rPr>
              <w:t>11</w:t>
            </w:r>
          </w:p>
        </w:tc>
        <w:tc>
          <w:tcPr>
            <w:tcW w:type="dxa" w:w="2016"/>
            <w:vAlign w:val="center"/>
            <w:shd w:fill="F0F5F8"/>
          </w:tcPr>
          <w:p>
            <w:pPr>
              <w:spacing w:after="0"/>
            </w:pPr>
            <w:r/>
            <w:r>
              <w:rPr>
                <w:b w:val="0"/>
                <w:sz w:val="18"/>
              </w:rPr>
              <w:t>1.1%</w:t>
            </w:r>
          </w:p>
        </w:tc>
      </w:tr>
      <w:tr>
        <w:tc>
          <w:tcPr>
            <w:tcW w:type="dxa" w:w="6624"/>
            <w:vAlign w:val="center"/>
          </w:tcPr>
          <w:p>
            <w:pPr>
              <w:spacing w:after="0"/>
            </w:pPr>
            <w:r/>
            <w:r>
              <w:rPr>
                <w:b w:val="0"/>
                <w:sz w:val="18"/>
              </w:rPr>
              <w:t>Features/Controls/Displays – Odometer</w:t>
            </w:r>
          </w:p>
        </w:tc>
        <w:tc>
          <w:tcPr>
            <w:tcW w:type="dxa" w:w="1440"/>
            <w:vAlign w:val="center"/>
          </w:tcPr>
          <w:p>
            <w:pPr>
              <w:spacing w:after="0"/>
            </w:pPr>
            <w:r/>
            <w:r>
              <w:rPr>
                <w:b w:val="0"/>
                <w:sz w:val="18"/>
              </w:rPr>
              <w:t>1</w:t>
            </w:r>
          </w:p>
        </w:tc>
        <w:tc>
          <w:tcPr>
            <w:tcW w:type="dxa" w:w="2016"/>
            <w:vAlign w:val="center"/>
          </w:tcPr>
          <w:p>
            <w:pPr>
              <w:spacing w:after="0"/>
            </w:pPr>
            <w:r/>
            <w:r>
              <w:rPr>
                <w:b w:val="0"/>
                <w:sz w:val="18"/>
              </w:rPr>
              <w:t>0.1%</w:t>
            </w:r>
          </w:p>
        </w:tc>
      </w:tr>
    </w:tbl>
    <w:p>
      <w:pPr>
        <w:spacing w:after="20"/>
      </w:pPr>
    </w:p>
    <w:p>
      <w:r>
        <w:t>The leading three categories total 794 records (79.4%). This concentration suggests that initial review and improvement efforts should prioritize audio/infotainment behavior and communication-related complaints, while preserving a path for investigating less frequent but potentially high-impact cases.</w:t>
      </w:r>
    </w:p>
    <w:p>
      <w:pPr>
        <w:pStyle w:val="Heading1"/>
      </w:pPr>
      <w:r>
        <w:t>4. Text-Mining Findings</w:t>
      </w:r>
    </w:p>
    <w:p>
      <w:pPr>
        <w:pStyle w:val="Heading2"/>
      </w:pPr>
      <w:r>
        <w:t>4.1 Extracted issue tags</w:t>
      </w:r>
    </w:p>
    <w:tbl>
      <w:tblPr>
        <w:tblStyle w:val="TableGrid"/>
        <w:tblW w:type="auto" w:w="0"/>
        <w:jc w:val="center"/>
        <w:tblLook w:firstColumn="1" w:firstRow="1" w:lastColumn="0" w:lastRow="0" w:noHBand="0" w:noVBand="1" w:val="04A0"/>
      </w:tblPr>
      <w:tblGrid>
        <w:gridCol w:w="3312"/>
        <w:gridCol w:w="3312"/>
        <w:gridCol w:w="3312"/>
      </w:tblGrid>
      <w:tr>
        <w:tc>
          <w:tcPr>
            <w:tcW w:type="dxa" w:w="5472"/>
            <w:vAlign w:val="center"/>
            <w:shd w:fill="174A70"/>
          </w:tcPr>
          <w:p>
            <w:pPr>
              <w:spacing w:after="0"/>
            </w:pPr>
            <w:r/>
            <w:r>
              <w:rPr>
                <w:b/>
                <w:color w:val="FFFFFF"/>
                <w:sz w:val="18"/>
              </w:rPr>
              <w:t>Keyword-derived issue tag</w:t>
            </w:r>
          </w:p>
        </w:tc>
        <w:tc>
          <w:tcPr>
            <w:tcW w:type="dxa" w:w="2016"/>
            <w:vAlign w:val="center"/>
            <w:shd w:fill="174A70"/>
          </w:tcPr>
          <w:p>
            <w:pPr>
              <w:spacing w:after="0"/>
            </w:pPr>
            <w:r/>
            <w:r>
              <w:rPr>
                <w:b/>
                <w:color w:val="FFFFFF"/>
                <w:sz w:val="18"/>
              </w:rPr>
              <w:t>Records tagged</w:t>
            </w:r>
          </w:p>
        </w:tc>
        <w:tc>
          <w:tcPr>
            <w:tcW w:type="dxa" w:w="2592"/>
            <w:vAlign w:val="center"/>
            <w:shd w:fill="174A70"/>
          </w:tcPr>
          <w:p>
            <w:pPr>
              <w:spacing w:after="0"/>
            </w:pPr>
            <w:r/>
            <w:r>
              <w:rPr>
                <w:b/>
                <w:color w:val="FFFFFF"/>
                <w:sz w:val="18"/>
              </w:rPr>
              <w:t>Share of all records</w:t>
            </w:r>
          </w:p>
        </w:tc>
      </w:tr>
      <w:tr>
        <w:tc>
          <w:tcPr>
            <w:tcW w:type="dxa" w:w="5472"/>
            <w:vAlign w:val="center"/>
          </w:tcPr>
          <w:p>
            <w:pPr>
              <w:spacing w:after="0"/>
            </w:pPr>
            <w:r/>
            <w:r>
              <w:rPr>
                <w:b w:val="0"/>
                <w:sz w:val="18"/>
              </w:rPr>
              <w:t>Radio</w:t>
            </w:r>
          </w:p>
        </w:tc>
        <w:tc>
          <w:tcPr>
            <w:tcW w:type="dxa" w:w="2016"/>
            <w:vAlign w:val="center"/>
          </w:tcPr>
          <w:p>
            <w:pPr>
              <w:spacing w:after="0"/>
            </w:pPr>
            <w:r/>
            <w:r>
              <w:rPr>
                <w:b w:val="0"/>
                <w:sz w:val="18"/>
              </w:rPr>
              <w:t>984</w:t>
            </w:r>
          </w:p>
        </w:tc>
        <w:tc>
          <w:tcPr>
            <w:tcW w:type="dxa" w:w="2592"/>
            <w:vAlign w:val="center"/>
          </w:tcPr>
          <w:p>
            <w:pPr>
              <w:spacing w:after="0"/>
            </w:pPr>
            <w:r/>
            <w:r>
              <w:rPr>
                <w:b w:val="0"/>
                <w:sz w:val="18"/>
              </w:rPr>
              <w:t>98.4%</w:t>
            </w:r>
          </w:p>
        </w:tc>
      </w:tr>
      <w:tr>
        <w:tc>
          <w:tcPr>
            <w:tcW w:type="dxa" w:w="5472"/>
            <w:vAlign w:val="center"/>
            <w:shd w:fill="F0F5F8"/>
          </w:tcPr>
          <w:p>
            <w:pPr>
              <w:spacing w:after="0"/>
            </w:pPr>
            <w:r/>
            <w:r>
              <w:rPr>
                <w:b w:val="0"/>
                <w:sz w:val="18"/>
              </w:rPr>
              <w:t>Display/Screen</w:t>
            </w:r>
          </w:p>
        </w:tc>
        <w:tc>
          <w:tcPr>
            <w:tcW w:type="dxa" w:w="2016"/>
            <w:vAlign w:val="center"/>
            <w:shd w:fill="F0F5F8"/>
          </w:tcPr>
          <w:p>
            <w:pPr>
              <w:spacing w:after="0"/>
            </w:pPr>
            <w:r/>
            <w:r>
              <w:rPr>
                <w:b w:val="0"/>
                <w:sz w:val="18"/>
              </w:rPr>
              <w:t>442</w:t>
            </w:r>
          </w:p>
        </w:tc>
        <w:tc>
          <w:tcPr>
            <w:tcW w:type="dxa" w:w="2592"/>
            <w:vAlign w:val="center"/>
            <w:shd w:fill="F0F5F8"/>
          </w:tcPr>
          <w:p>
            <w:pPr>
              <w:spacing w:after="0"/>
            </w:pPr>
            <w:r/>
            <w:r>
              <w:rPr>
                <w:b w:val="0"/>
                <w:sz w:val="18"/>
              </w:rPr>
              <w:t>44.2%</w:t>
            </w:r>
          </w:p>
        </w:tc>
      </w:tr>
      <w:tr>
        <w:tc>
          <w:tcPr>
            <w:tcW w:type="dxa" w:w="5472"/>
            <w:vAlign w:val="center"/>
          </w:tcPr>
          <w:p>
            <w:pPr>
              <w:spacing w:after="0"/>
            </w:pPr>
            <w:r/>
            <w:r>
              <w:rPr>
                <w:b w:val="0"/>
                <w:sz w:val="18"/>
              </w:rPr>
              <w:t>Software/Firmware</w:t>
            </w:r>
          </w:p>
        </w:tc>
        <w:tc>
          <w:tcPr>
            <w:tcW w:type="dxa" w:w="2016"/>
            <w:vAlign w:val="center"/>
          </w:tcPr>
          <w:p>
            <w:pPr>
              <w:spacing w:after="0"/>
            </w:pPr>
            <w:r/>
            <w:r>
              <w:rPr>
                <w:b w:val="0"/>
                <w:sz w:val="18"/>
              </w:rPr>
              <w:t>311</w:t>
            </w:r>
          </w:p>
        </w:tc>
        <w:tc>
          <w:tcPr>
            <w:tcW w:type="dxa" w:w="2592"/>
            <w:vAlign w:val="center"/>
          </w:tcPr>
          <w:p>
            <w:pPr>
              <w:spacing w:after="0"/>
            </w:pPr>
            <w:r/>
            <w:r>
              <w:rPr>
                <w:b w:val="0"/>
                <w:sz w:val="18"/>
              </w:rPr>
              <w:t>31.1%</w:t>
            </w:r>
          </w:p>
        </w:tc>
      </w:tr>
      <w:tr>
        <w:tc>
          <w:tcPr>
            <w:tcW w:type="dxa" w:w="5472"/>
            <w:vAlign w:val="center"/>
            <w:shd w:fill="F0F5F8"/>
          </w:tcPr>
          <w:p>
            <w:pPr>
              <w:spacing w:after="0"/>
            </w:pPr>
            <w:r/>
            <w:r>
              <w:rPr>
                <w:b w:val="0"/>
                <w:sz w:val="18"/>
              </w:rPr>
              <w:t>Electrical/Wiring</w:t>
            </w:r>
          </w:p>
        </w:tc>
        <w:tc>
          <w:tcPr>
            <w:tcW w:type="dxa" w:w="2016"/>
            <w:vAlign w:val="center"/>
            <w:shd w:fill="F0F5F8"/>
          </w:tcPr>
          <w:p>
            <w:pPr>
              <w:spacing w:after="0"/>
            </w:pPr>
            <w:r/>
            <w:r>
              <w:rPr>
                <w:b w:val="0"/>
                <w:sz w:val="18"/>
              </w:rPr>
              <w:t>220</w:t>
            </w:r>
          </w:p>
        </w:tc>
        <w:tc>
          <w:tcPr>
            <w:tcW w:type="dxa" w:w="2592"/>
            <w:vAlign w:val="center"/>
            <w:shd w:fill="F0F5F8"/>
          </w:tcPr>
          <w:p>
            <w:pPr>
              <w:spacing w:after="0"/>
            </w:pPr>
            <w:r/>
            <w:r>
              <w:rPr>
                <w:b w:val="0"/>
                <w:sz w:val="18"/>
              </w:rPr>
              <w:t>22.0%</w:t>
            </w:r>
          </w:p>
        </w:tc>
      </w:tr>
      <w:tr>
        <w:tc>
          <w:tcPr>
            <w:tcW w:type="dxa" w:w="5472"/>
            <w:vAlign w:val="center"/>
          </w:tcPr>
          <w:p>
            <w:pPr>
              <w:spacing w:after="0"/>
            </w:pPr>
            <w:r/>
            <w:r>
              <w:rPr>
                <w:b w:val="0"/>
                <w:sz w:val="18"/>
              </w:rPr>
              <w:t>Audio/Speaker</w:t>
            </w:r>
          </w:p>
        </w:tc>
        <w:tc>
          <w:tcPr>
            <w:tcW w:type="dxa" w:w="2016"/>
            <w:vAlign w:val="center"/>
          </w:tcPr>
          <w:p>
            <w:pPr>
              <w:spacing w:after="0"/>
            </w:pPr>
            <w:r/>
            <w:r>
              <w:rPr>
                <w:b w:val="0"/>
                <w:sz w:val="18"/>
              </w:rPr>
              <w:t>212</w:t>
            </w:r>
          </w:p>
        </w:tc>
        <w:tc>
          <w:tcPr>
            <w:tcW w:type="dxa" w:w="2592"/>
            <w:vAlign w:val="center"/>
          </w:tcPr>
          <w:p>
            <w:pPr>
              <w:spacing w:after="0"/>
            </w:pPr>
            <w:r/>
            <w:r>
              <w:rPr>
                <w:b w:val="0"/>
                <w:sz w:val="18"/>
              </w:rPr>
              <w:t>21.2%</w:t>
            </w:r>
          </w:p>
        </w:tc>
      </w:tr>
      <w:tr>
        <w:tc>
          <w:tcPr>
            <w:tcW w:type="dxa" w:w="5472"/>
            <w:vAlign w:val="center"/>
            <w:shd w:fill="F0F5F8"/>
          </w:tcPr>
          <w:p>
            <w:pPr>
              <w:spacing w:after="0"/>
            </w:pPr>
            <w:r/>
            <w:r>
              <w:rPr>
                <w:b w:val="0"/>
                <w:sz w:val="18"/>
              </w:rPr>
              <w:t>OnStar/Communication</w:t>
            </w:r>
          </w:p>
        </w:tc>
        <w:tc>
          <w:tcPr>
            <w:tcW w:type="dxa" w:w="2016"/>
            <w:vAlign w:val="center"/>
            <w:shd w:fill="F0F5F8"/>
          </w:tcPr>
          <w:p>
            <w:pPr>
              <w:spacing w:after="0"/>
            </w:pPr>
            <w:r/>
            <w:r>
              <w:rPr>
                <w:b w:val="0"/>
                <w:sz w:val="18"/>
              </w:rPr>
              <w:t>184</w:t>
            </w:r>
          </w:p>
        </w:tc>
        <w:tc>
          <w:tcPr>
            <w:tcW w:type="dxa" w:w="2592"/>
            <w:vAlign w:val="center"/>
            <w:shd w:fill="F0F5F8"/>
          </w:tcPr>
          <w:p>
            <w:pPr>
              <w:spacing w:after="0"/>
            </w:pPr>
            <w:r/>
            <w:r>
              <w:rPr>
                <w:b w:val="0"/>
                <w:sz w:val="18"/>
              </w:rPr>
              <w:t>18.4%</w:t>
            </w:r>
          </w:p>
        </w:tc>
      </w:tr>
      <w:tr>
        <w:tc>
          <w:tcPr>
            <w:tcW w:type="dxa" w:w="5472"/>
            <w:vAlign w:val="center"/>
          </w:tcPr>
          <w:p>
            <w:pPr>
              <w:spacing w:after="0"/>
            </w:pPr>
            <w:r/>
            <w:r>
              <w:rPr>
                <w:b w:val="0"/>
                <w:sz w:val="18"/>
              </w:rPr>
              <w:t>Module Failure</w:t>
            </w:r>
          </w:p>
        </w:tc>
        <w:tc>
          <w:tcPr>
            <w:tcW w:type="dxa" w:w="2016"/>
            <w:vAlign w:val="center"/>
          </w:tcPr>
          <w:p>
            <w:pPr>
              <w:spacing w:after="0"/>
            </w:pPr>
            <w:r/>
            <w:r>
              <w:rPr>
                <w:b w:val="0"/>
                <w:sz w:val="18"/>
              </w:rPr>
              <w:t>76</w:t>
            </w:r>
          </w:p>
        </w:tc>
        <w:tc>
          <w:tcPr>
            <w:tcW w:type="dxa" w:w="2592"/>
            <w:vAlign w:val="center"/>
          </w:tcPr>
          <w:p>
            <w:pPr>
              <w:spacing w:after="0"/>
            </w:pPr>
            <w:r/>
            <w:r>
              <w:rPr>
                <w:b w:val="0"/>
                <w:sz w:val="18"/>
              </w:rPr>
              <w:t>7.6%</w:t>
            </w:r>
          </w:p>
        </w:tc>
      </w:tr>
      <w:tr>
        <w:tc>
          <w:tcPr>
            <w:tcW w:type="dxa" w:w="5472"/>
            <w:vAlign w:val="center"/>
            <w:shd w:fill="F0F5F8"/>
          </w:tcPr>
          <w:p>
            <w:pPr>
              <w:spacing w:after="0"/>
            </w:pPr>
            <w:r/>
            <w:r>
              <w:rPr>
                <w:b w:val="0"/>
                <w:sz w:val="18"/>
              </w:rPr>
              <w:t>Navigation</w:t>
            </w:r>
          </w:p>
        </w:tc>
        <w:tc>
          <w:tcPr>
            <w:tcW w:type="dxa" w:w="2016"/>
            <w:vAlign w:val="center"/>
            <w:shd w:fill="F0F5F8"/>
          </w:tcPr>
          <w:p>
            <w:pPr>
              <w:spacing w:after="0"/>
            </w:pPr>
            <w:r/>
            <w:r>
              <w:rPr>
                <w:b w:val="0"/>
                <w:sz w:val="18"/>
              </w:rPr>
              <w:t>58</w:t>
            </w:r>
          </w:p>
        </w:tc>
        <w:tc>
          <w:tcPr>
            <w:tcW w:type="dxa" w:w="2592"/>
            <w:vAlign w:val="center"/>
            <w:shd w:fill="F0F5F8"/>
          </w:tcPr>
          <w:p>
            <w:pPr>
              <w:spacing w:after="0"/>
            </w:pPr>
            <w:r/>
            <w:r>
              <w:rPr>
                <w:b w:val="0"/>
                <w:sz w:val="18"/>
              </w:rPr>
              <w:t>5.8%</w:t>
            </w:r>
          </w:p>
        </w:tc>
      </w:tr>
    </w:tbl>
    <w:p>
      <w:pPr>
        <w:spacing w:after="20"/>
      </w:pPr>
    </w:p>
    <w:p>
      <w:r>
        <w:t>Radio appears in 984 records under the current broad keyword rules. This high prevalence should be read as a signal that radio-related language is widespread in the narrative text, not as proof that the radio component is the verified cause in 98.4% of events. Tags may overlap within a record.</w:t>
      </w:r>
    </w:p>
    <w:p>
      <w:pPr>
        <w:pStyle w:val="Heading2"/>
      </w:pPr>
      <w:r>
        <w:t>4.2 Symptom tags</w:t>
      </w:r>
    </w:p>
    <w:tbl>
      <w:tblPr>
        <w:tblStyle w:val="TableGrid"/>
        <w:tblW w:type="auto" w:w="0"/>
        <w:jc w:val="center"/>
        <w:tblLook w:firstColumn="1" w:firstRow="1" w:lastColumn="0" w:lastRow="0" w:noHBand="0" w:noVBand="1" w:val="04A0"/>
      </w:tblPr>
      <w:tblGrid>
        <w:gridCol w:w="3312"/>
        <w:gridCol w:w="3312"/>
        <w:gridCol w:w="3312"/>
      </w:tblGrid>
      <w:tr>
        <w:tc>
          <w:tcPr>
            <w:tcW w:type="dxa" w:w="5472"/>
            <w:vAlign w:val="center"/>
            <w:shd w:fill="174A70"/>
          </w:tcPr>
          <w:p>
            <w:pPr>
              <w:spacing w:after="0"/>
            </w:pPr>
            <w:r/>
            <w:r>
              <w:rPr>
                <w:b/>
                <w:color w:val="FFFFFF"/>
                <w:sz w:val="18"/>
              </w:rPr>
              <w:t>Symptom tag</w:t>
            </w:r>
          </w:p>
        </w:tc>
        <w:tc>
          <w:tcPr>
            <w:tcW w:type="dxa" w:w="2016"/>
            <w:vAlign w:val="center"/>
            <w:shd w:fill="174A70"/>
          </w:tcPr>
          <w:p>
            <w:pPr>
              <w:spacing w:after="0"/>
            </w:pPr>
            <w:r/>
            <w:r>
              <w:rPr>
                <w:b/>
                <w:color w:val="FFFFFF"/>
                <w:sz w:val="18"/>
              </w:rPr>
              <w:t>Records tagged</w:t>
            </w:r>
          </w:p>
        </w:tc>
        <w:tc>
          <w:tcPr>
            <w:tcW w:type="dxa" w:w="2592"/>
            <w:vAlign w:val="center"/>
            <w:shd w:fill="174A70"/>
          </w:tcPr>
          <w:p>
            <w:pPr>
              <w:spacing w:after="0"/>
            </w:pPr>
            <w:r/>
            <w:r>
              <w:rPr>
                <w:b/>
                <w:color w:val="FFFFFF"/>
                <w:sz w:val="18"/>
              </w:rPr>
              <w:t>Share of all records</w:t>
            </w:r>
          </w:p>
        </w:tc>
      </w:tr>
      <w:tr>
        <w:tc>
          <w:tcPr>
            <w:tcW w:type="dxa" w:w="5472"/>
            <w:vAlign w:val="center"/>
          </w:tcPr>
          <w:p>
            <w:pPr>
              <w:spacing w:after="0"/>
            </w:pPr>
            <w:r/>
            <w:r>
              <w:rPr>
                <w:b w:val="0"/>
                <w:sz w:val="18"/>
              </w:rPr>
              <w:t>Blank/Black Screen</w:t>
            </w:r>
          </w:p>
        </w:tc>
        <w:tc>
          <w:tcPr>
            <w:tcW w:type="dxa" w:w="2016"/>
            <w:vAlign w:val="center"/>
          </w:tcPr>
          <w:p>
            <w:pPr>
              <w:spacing w:after="0"/>
            </w:pPr>
            <w:r/>
            <w:r>
              <w:rPr>
                <w:b w:val="0"/>
                <w:sz w:val="18"/>
              </w:rPr>
              <w:t>149</w:t>
            </w:r>
          </w:p>
        </w:tc>
        <w:tc>
          <w:tcPr>
            <w:tcW w:type="dxa" w:w="2592"/>
            <w:vAlign w:val="center"/>
          </w:tcPr>
          <w:p>
            <w:pPr>
              <w:spacing w:after="0"/>
            </w:pPr>
            <w:r/>
            <w:r>
              <w:rPr>
                <w:b w:val="0"/>
                <w:sz w:val="18"/>
              </w:rPr>
              <w:t>14.9%</w:t>
            </w:r>
          </w:p>
        </w:tc>
      </w:tr>
      <w:tr>
        <w:tc>
          <w:tcPr>
            <w:tcW w:type="dxa" w:w="5472"/>
            <w:vAlign w:val="center"/>
            <w:shd w:fill="F0F5F8"/>
          </w:tcPr>
          <w:p>
            <w:pPr>
              <w:spacing w:after="0"/>
            </w:pPr>
            <w:r/>
            <w:r>
              <w:rPr>
                <w:b w:val="0"/>
                <w:sz w:val="18"/>
              </w:rPr>
              <w:t>Inoperative Radio</w:t>
            </w:r>
          </w:p>
        </w:tc>
        <w:tc>
          <w:tcPr>
            <w:tcW w:type="dxa" w:w="2016"/>
            <w:vAlign w:val="center"/>
            <w:shd w:fill="F0F5F8"/>
          </w:tcPr>
          <w:p>
            <w:pPr>
              <w:spacing w:after="0"/>
            </w:pPr>
            <w:r/>
            <w:r>
              <w:rPr>
                <w:b w:val="0"/>
                <w:sz w:val="18"/>
              </w:rPr>
              <w:t>86</w:t>
            </w:r>
          </w:p>
        </w:tc>
        <w:tc>
          <w:tcPr>
            <w:tcW w:type="dxa" w:w="2592"/>
            <w:vAlign w:val="center"/>
            <w:shd w:fill="F0F5F8"/>
          </w:tcPr>
          <w:p>
            <w:pPr>
              <w:spacing w:after="0"/>
            </w:pPr>
            <w:r/>
            <w:r>
              <w:rPr>
                <w:b w:val="0"/>
                <w:sz w:val="18"/>
              </w:rPr>
              <w:t>8.6%</w:t>
            </w:r>
          </w:p>
        </w:tc>
      </w:tr>
      <w:tr>
        <w:tc>
          <w:tcPr>
            <w:tcW w:type="dxa" w:w="5472"/>
            <w:vAlign w:val="center"/>
          </w:tcPr>
          <w:p>
            <w:pPr>
              <w:spacing w:after="0"/>
            </w:pPr>
            <w:r/>
            <w:r>
              <w:rPr>
                <w:b w:val="0"/>
                <w:sz w:val="18"/>
              </w:rPr>
              <w:t>Connectivity Problem</w:t>
            </w:r>
          </w:p>
        </w:tc>
        <w:tc>
          <w:tcPr>
            <w:tcW w:type="dxa" w:w="2016"/>
            <w:vAlign w:val="center"/>
          </w:tcPr>
          <w:p>
            <w:pPr>
              <w:spacing w:after="0"/>
            </w:pPr>
            <w:r/>
            <w:r>
              <w:rPr>
                <w:b w:val="0"/>
                <w:sz w:val="18"/>
              </w:rPr>
              <w:t>67</w:t>
            </w:r>
          </w:p>
        </w:tc>
        <w:tc>
          <w:tcPr>
            <w:tcW w:type="dxa" w:w="2592"/>
            <w:vAlign w:val="center"/>
          </w:tcPr>
          <w:p>
            <w:pPr>
              <w:spacing w:after="0"/>
            </w:pPr>
            <w:r/>
            <w:r>
              <w:rPr>
                <w:b w:val="0"/>
                <w:sz w:val="18"/>
              </w:rPr>
              <w:t>6.7%</w:t>
            </w:r>
          </w:p>
        </w:tc>
      </w:tr>
      <w:tr>
        <w:tc>
          <w:tcPr>
            <w:tcW w:type="dxa" w:w="5472"/>
            <w:vAlign w:val="center"/>
            <w:shd w:fill="F0F5F8"/>
          </w:tcPr>
          <w:p>
            <w:pPr>
              <w:spacing w:after="0"/>
            </w:pPr>
            <w:r/>
            <w:r>
              <w:rPr>
                <w:b w:val="0"/>
                <w:sz w:val="18"/>
              </w:rPr>
              <w:t>No Audio</w:t>
            </w:r>
          </w:p>
        </w:tc>
        <w:tc>
          <w:tcPr>
            <w:tcW w:type="dxa" w:w="2016"/>
            <w:vAlign w:val="center"/>
            <w:shd w:fill="F0F5F8"/>
          </w:tcPr>
          <w:p>
            <w:pPr>
              <w:spacing w:after="0"/>
            </w:pPr>
            <w:r/>
            <w:r>
              <w:rPr>
                <w:b w:val="0"/>
                <w:sz w:val="18"/>
              </w:rPr>
              <w:t>66</w:t>
            </w:r>
          </w:p>
        </w:tc>
        <w:tc>
          <w:tcPr>
            <w:tcW w:type="dxa" w:w="2592"/>
            <w:vAlign w:val="center"/>
            <w:shd w:fill="F0F5F8"/>
          </w:tcPr>
          <w:p>
            <w:pPr>
              <w:spacing w:after="0"/>
            </w:pPr>
            <w:r/>
            <w:r>
              <w:rPr>
                <w:b w:val="0"/>
                <w:sz w:val="18"/>
              </w:rPr>
              <w:t>6.6%</w:t>
            </w:r>
          </w:p>
        </w:tc>
      </w:tr>
      <w:tr>
        <w:tc>
          <w:tcPr>
            <w:tcW w:type="dxa" w:w="5472"/>
            <w:vAlign w:val="center"/>
          </w:tcPr>
          <w:p>
            <w:pPr>
              <w:spacing w:after="0"/>
            </w:pPr>
            <w:r/>
            <w:r>
              <w:rPr>
                <w:b w:val="0"/>
                <w:sz w:val="18"/>
              </w:rPr>
              <w:t>Navigation Problem</w:t>
            </w:r>
          </w:p>
        </w:tc>
        <w:tc>
          <w:tcPr>
            <w:tcW w:type="dxa" w:w="2016"/>
            <w:vAlign w:val="center"/>
          </w:tcPr>
          <w:p>
            <w:pPr>
              <w:spacing w:after="0"/>
            </w:pPr>
            <w:r/>
            <w:r>
              <w:rPr>
                <w:b w:val="0"/>
                <w:sz w:val="18"/>
              </w:rPr>
              <w:t>49</w:t>
            </w:r>
          </w:p>
        </w:tc>
        <w:tc>
          <w:tcPr>
            <w:tcW w:type="dxa" w:w="2592"/>
            <w:vAlign w:val="center"/>
          </w:tcPr>
          <w:p>
            <w:pPr>
              <w:spacing w:after="0"/>
            </w:pPr>
            <w:r/>
            <w:r>
              <w:rPr>
                <w:b w:val="0"/>
                <w:sz w:val="18"/>
              </w:rPr>
              <w:t>4.9%</w:t>
            </w:r>
          </w:p>
        </w:tc>
      </w:tr>
      <w:tr>
        <w:tc>
          <w:tcPr>
            <w:tcW w:type="dxa" w:w="5472"/>
            <w:vAlign w:val="center"/>
            <w:shd w:fill="F0F5F8"/>
          </w:tcPr>
          <w:p>
            <w:pPr>
              <w:spacing w:after="0"/>
            </w:pPr>
            <w:r/>
            <w:r>
              <w:rPr>
                <w:b w:val="0"/>
                <w:sz w:val="18"/>
              </w:rPr>
              <w:t>Camera Problem</w:t>
            </w:r>
          </w:p>
        </w:tc>
        <w:tc>
          <w:tcPr>
            <w:tcW w:type="dxa" w:w="2016"/>
            <w:vAlign w:val="center"/>
            <w:shd w:fill="F0F5F8"/>
          </w:tcPr>
          <w:p>
            <w:pPr>
              <w:spacing w:after="0"/>
            </w:pPr>
            <w:r/>
            <w:r>
              <w:rPr>
                <w:b w:val="0"/>
                <w:sz w:val="18"/>
              </w:rPr>
              <w:t>44</w:t>
            </w:r>
          </w:p>
        </w:tc>
        <w:tc>
          <w:tcPr>
            <w:tcW w:type="dxa" w:w="2592"/>
            <w:vAlign w:val="center"/>
            <w:shd w:fill="F0F5F8"/>
          </w:tcPr>
          <w:p>
            <w:pPr>
              <w:spacing w:after="0"/>
            </w:pPr>
            <w:r/>
            <w:r>
              <w:rPr>
                <w:b w:val="0"/>
                <w:sz w:val="18"/>
              </w:rPr>
              <w:t>4.4%</w:t>
            </w:r>
          </w:p>
        </w:tc>
      </w:tr>
    </w:tbl>
    <w:p>
      <w:pPr>
        <w:spacing w:after="20"/>
      </w:pPr>
    </w:p>
    <w:p>
      <w:pPr>
        <w:pStyle w:val="Heading2"/>
      </w:pPr>
      <w:r>
        <w:t>4.3 Cause-related tags</w:t>
      </w:r>
    </w:p>
    <w:tbl>
      <w:tblPr>
        <w:tblStyle w:val="TableGrid"/>
        <w:tblW w:type="auto" w:w="0"/>
        <w:jc w:val="center"/>
        <w:tblLook w:firstColumn="1" w:firstRow="1" w:lastColumn="0" w:lastRow="0" w:noHBand="0" w:noVBand="1" w:val="04A0"/>
      </w:tblPr>
      <w:tblGrid>
        <w:gridCol w:w="3312"/>
        <w:gridCol w:w="3312"/>
        <w:gridCol w:w="3312"/>
      </w:tblGrid>
      <w:tr>
        <w:tc>
          <w:tcPr>
            <w:tcW w:type="dxa" w:w="5472"/>
            <w:vAlign w:val="center"/>
            <w:shd w:fill="174A70"/>
          </w:tcPr>
          <w:p>
            <w:pPr>
              <w:spacing w:after="0"/>
            </w:pPr>
            <w:r/>
            <w:r>
              <w:rPr>
                <w:b/>
                <w:color w:val="FFFFFF"/>
                <w:sz w:val="18"/>
              </w:rPr>
              <w:t>Cause-related tag</w:t>
            </w:r>
          </w:p>
        </w:tc>
        <w:tc>
          <w:tcPr>
            <w:tcW w:type="dxa" w:w="2016"/>
            <w:vAlign w:val="center"/>
            <w:shd w:fill="174A70"/>
          </w:tcPr>
          <w:p>
            <w:pPr>
              <w:spacing w:after="0"/>
            </w:pPr>
            <w:r/>
            <w:r>
              <w:rPr>
                <w:b/>
                <w:color w:val="FFFFFF"/>
                <w:sz w:val="18"/>
              </w:rPr>
              <w:t>Records tagged</w:t>
            </w:r>
          </w:p>
        </w:tc>
        <w:tc>
          <w:tcPr>
            <w:tcW w:type="dxa" w:w="2592"/>
            <w:vAlign w:val="center"/>
            <w:shd w:fill="174A70"/>
          </w:tcPr>
          <w:p>
            <w:pPr>
              <w:spacing w:after="0"/>
            </w:pPr>
            <w:r/>
            <w:r>
              <w:rPr>
                <w:b/>
                <w:color w:val="FFFFFF"/>
                <w:sz w:val="18"/>
              </w:rPr>
              <w:t>Share of all records</w:t>
            </w:r>
          </w:p>
        </w:tc>
      </w:tr>
      <w:tr>
        <w:tc>
          <w:tcPr>
            <w:tcW w:type="dxa" w:w="5472"/>
            <w:vAlign w:val="center"/>
          </w:tcPr>
          <w:p>
            <w:pPr>
              <w:spacing w:after="0"/>
            </w:pPr>
            <w:r/>
            <w:r>
              <w:rPr>
                <w:b w:val="0"/>
                <w:sz w:val="18"/>
              </w:rPr>
              <w:t>Internal Module Failure</w:t>
            </w:r>
          </w:p>
        </w:tc>
        <w:tc>
          <w:tcPr>
            <w:tcW w:type="dxa" w:w="2016"/>
            <w:vAlign w:val="center"/>
          </w:tcPr>
          <w:p>
            <w:pPr>
              <w:spacing w:after="0"/>
            </w:pPr>
            <w:r/>
            <w:r>
              <w:rPr>
                <w:b w:val="0"/>
                <w:sz w:val="18"/>
              </w:rPr>
              <w:t>111</w:t>
            </w:r>
          </w:p>
        </w:tc>
        <w:tc>
          <w:tcPr>
            <w:tcW w:type="dxa" w:w="2592"/>
            <w:vAlign w:val="center"/>
          </w:tcPr>
          <w:p>
            <w:pPr>
              <w:spacing w:after="0"/>
            </w:pPr>
            <w:r/>
            <w:r>
              <w:rPr>
                <w:b w:val="0"/>
                <w:sz w:val="18"/>
              </w:rPr>
              <w:t>11.1%</w:t>
            </w:r>
          </w:p>
        </w:tc>
      </w:tr>
      <w:tr>
        <w:tc>
          <w:tcPr>
            <w:tcW w:type="dxa" w:w="5472"/>
            <w:vAlign w:val="center"/>
            <w:shd w:fill="F0F5F8"/>
          </w:tcPr>
          <w:p>
            <w:pPr>
              <w:spacing w:after="0"/>
            </w:pPr>
            <w:r/>
            <w:r>
              <w:rPr>
                <w:b w:val="0"/>
                <w:sz w:val="18"/>
              </w:rPr>
              <w:t>Cause Not Confirmed</w:t>
            </w:r>
          </w:p>
        </w:tc>
        <w:tc>
          <w:tcPr>
            <w:tcW w:type="dxa" w:w="2016"/>
            <w:vAlign w:val="center"/>
            <w:shd w:fill="F0F5F8"/>
          </w:tcPr>
          <w:p>
            <w:pPr>
              <w:spacing w:after="0"/>
            </w:pPr>
            <w:r/>
            <w:r>
              <w:rPr>
                <w:b w:val="0"/>
                <w:sz w:val="18"/>
              </w:rPr>
              <w:t>11</w:t>
            </w:r>
          </w:p>
        </w:tc>
        <w:tc>
          <w:tcPr>
            <w:tcW w:type="dxa" w:w="2592"/>
            <w:vAlign w:val="center"/>
            <w:shd w:fill="F0F5F8"/>
          </w:tcPr>
          <w:p>
            <w:pPr>
              <w:spacing w:after="0"/>
            </w:pPr>
            <w:r/>
            <w:r>
              <w:rPr>
                <w:b w:val="0"/>
                <w:sz w:val="18"/>
              </w:rPr>
              <w:t>1.1%</w:t>
            </w:r>
          </w:p>
        </w:tc>
      </w:tr>
      <w:tr>
        <w:tc>
          <w:tcPr>
            <w:tcW w:type="dxa" w:w="5472"/>
            <w:vAlign w:val="center"/>
          </w:tcPr>
          <w:p>
            <w:pPr>
              <w:spacing w:after="0"/>
            </w:pPr>
            <w:r/>
            <w:r>
              <w:rPr>
                <w:b w:val="0"/>
                <w:sz w:val="18"/>
              </w:rPr>
              <w:t>Electrical/Wiring Issue</w:t>
            </w:r>
          </w:p>
        </w:tc>
        <w:tc>
          <w:tcPr>
            <w:tcW w:type="dxa" w:w="2016"/>
            <w:vAlign w:val="center"/>
          </w:tcPr>
          <w:p>
            <w:pPr>
              <w:spacing w:after="0"/>
            </w:pPr>
            <w:r/>
            <w:r>
              <w:rPr>
                <w:b w:val="0"/>
                <w:sz w:val="18"/>
              </w:rPr>
              <w:t>7</w:t>
            </w:r>
          </w:p>
        </w:tc>
        <w:tc>
          <w:tcPr>
            <w:tcW w:type="dxa" w:w="2592"/>
            <w:vAlign w:val="center"/>
          </w:tcPr>
          <w:p>
            <w:pPr>
              <w:spacing w:after="0"/>
            </w:pPr>
            <w:r/>
            <w:r>
              <w:rPr>
                <w:b w:val="0"/>
                <w:sz w:val="18"/>
              </w:rPr>
              <w:t>0.7%</w:t>
            </w:r>
          </w:p>
        </w:tc>
      </w:tr>
      <w:tr>
        <w:tc>
          <w:tcPr>
            <w:tcW w:type="dxa" w:w="5472"/>
            <w:vAlign w:val="center"/>
            <w:shd w:fill="F0F5F8"/>
          </w:tcPr>
          <w:p>
            <w:pPr>
              <w:spacing w:after="0"/>
            </w:pPr>
            <w:r/>
            <w:r>
              <w:rPr>
                <w:b w:val="0"/>
                <w:sz w:val="18"/>
              </w:rPr>
              <w:t>Software/Programming Issue</w:t>
            </w:r>
          </w:p>
        </w:tc>
        <w:tc>
          <w:tcPr>
            <w:tcW w:type="dxa" w:w="2016"/>
            <w:vAlign w:val="center"/>
            <w:shd w:fill="F0F5F8"/>
          </w:tcPr>
          <w:p>
            <w:pPr>
              <w:spacing w:after="0"/>
            </w:pPr>
            <w:r/>
            <w:r>
              <w:rPr>
                <w:b w:val="0"/>
                <w:sz w:val="18"/>
              </w:rPr>
              <w:t>4</w:t>
            </w:r>
          </w:p>
        </w:tc>
        <w:tc>
          <w:tcPr>
            <w:tcW w:type="dxa" w:w="2592"/>
            <w:vAlign w:val="center"/>
            <w:shd w:fill="F0F5F8"/>
          </w:tcPr>
          <w:p>
            <w:pPr>
              <w:spacing w:after="0"/>
            </w:pPr>
            <w:r/>
            <w:r>
              <w:rPr>
                <w:b w:val="0"/>
                <w:sz w:val="18"/>
              </w:rPr>
              <w:t>0.4%</w:t>
            </w:r>
          </w:p>
        </w:tc>
      </w:tr>
      <w:tr>
        <w:tc>
          <w:tcPr>
            <w:tcW w:type="dxa" w:w="5472"/>
            <w:vAlign w:val="center"/>
          </w:tcPr>
          <w:p>
            <w:pPr>
              <w:spacing w:after="0"/>
            </w:pPr>
            <w:r/>
            <w:r>
              <w:rPr>
                <w:b w:val="0"/>
                <w:sz w:val="18"/>
              </w:rPr>
              <w:t>Logic Lock</w:t>
            </w:r>
          </w:p>
        </w:tc>
        <w:tc>
          <w:tcPr>
            <w:tcW w:type="dxa" w:w="2016"/>
            <w:vAlign w:val="center"/>
          </w:tcPr>
          <w:p>
            <w:pPr>
              <w:spacing w:after="0"/>
            </w:pPr>
            <w:r/>
            <w:r>
              <w:rPr>
                <w:b w:val="0"/>
                <w:sz w:val="18"/>
              </w:rPr>
              <w:t>4</w:t>
            </w:r>
          </w:p>
        </w:tc>
        <w:tc>
          <w:tcPr>
            <w:tcW w:type="dxa" w:w="2592"/>
            <w:vAlign w:val="center"/>
          </w:tcPr>
          <w:p>
            <w:pPr>
              <w:spacing w:after="0"/>
            </w:pPr>
            <w:r/>
            <w:r>
              <w:rPr>
                <w:b w:val="0"/>
                <w:sz w:val="18"/>
              </w:rPr>
              <w:t>0.4%</w:t>
            </w:r>
          </w:p>
        </w:tc>
      </w:tr>
    </w:tbl>
    <w:p>
      <w:pPr>
        <w:spacing w:after="20"/>
      </w:pPr>
    </w:p>
    <w:p>
      <w:r>
        <w:t>Cause tags are extracted from causal narrative text using keyword rules. They should be treated as narrative indicators and not independent engineering confirmation.</w:t>
      </w:r>
    </w:p>
    <w:p>
      <w:pPr>
        <w:pStyle w:val="Heading2"/>
      </w:pPr>
      <w:r>
        <w:t>4.4 Repair-action tags</w:t>
      </w:r>
    </w:p>
    <w:tbl>
      <w:tblPr>
        <w:tblStyle w:val="TableGrid"/>
        <w:tblW w:type="auto" w:w="0"/>
        <w:jc w:val="center"/>
        <w:tblLook w:firstColumn="1" w:firstRow="1" w:lastColumn="0" w:lastRow="0" w:noHBand="0" w:noVBand="1" w:val="04A0"/>
      </w:tblPr>
      <w:tblGrid>
        <w:gridCol w:w="3312"/>
        <w:gridCol w:w="3312"/>
        <w:gridCol w:w="3312"/>
      </w:tblGrid>
      <w:tr>
        <w:tc>
          <w:tcPr>
            <w:tcW w:type="dxa" w:w="5472"/>
            <w:vAlign w:val="center"/>
            <w:shd w:fill="174A70"/>
          </w:tcPr>
          <w:p>
            <w:pPr>
              <w:spacing w:after="0"/>
            </w:pPr>
            <w:r/>
            <w:r>
              <w:rPr>
                <w:b/>
                <w:color w:val="FFFFFF"/>
                <w:sz w:val="18"/>
              </w:rPr>
              <w:t>Repair action tag</w:t>
            </w:r>
          </w:p>
        </w:tc>
        <w:tc>
          <w:tcPr>
            <w:tcW w:type="dxa" w:w="2016"/>
            <w:vAlign w:val="center"/>
            <w:shd w:fill="174A70"/>
          </w:tcPr>
          <w:p>
            <w:pPr>
              <w:spacing w:after="0"/>
            </w:pPr>
            <w:r/>
            <w:r>
              <w:rPr>
                <w:b/>
                <w:color w:val="FFFFFF"/>
                <w:sz w:val="18"/>
              </w:rPr>
              <w:t>Records tagged</w:t>
            </w:r>
          </w:p>
        </w:tc>
        <w:tc>
          <w:tcPr>
            <w:tcW w:type="dxa" w:w="2592"/>
            <w:vAlign w:val="center"/>
            <w:shd w:fill="174A70"/>
          </w:tcPr>
          <w:p>
            <w:pPr>
              <w:spacing w:after="0"/>
            </w:pPr>
            <w:r/>
            <w:r>
              <w:rPr>
                <w:b/>
                <w:color w:val="FFFFFF"/>
                <w:sz w:val="18"/>
              </w:rPr>
              <w:t>Share of all records</w:t>
            </w:r>
          </w:p>
        </w:tc>
      </w:tr>
      <w:tr>
        <w:tc>
          <w:tcPr>
            <w:tcW w:type="dxa" w:w="5472"/>
            <w:vAlign w:val="center"/>
          </w:tcPr>
          <w:p>
            <w:pPr>
              <w:spacing w:after="0"/>
            </w:pPr>
            <w:r/>
            <w:r>
              <w:rPr>
                <w:b w:val="0"/>
                <w:sz w:val="18"/>
              </w:rPr>
              <w:t>Radio Replacement</w:t>
            </w:r>
          </w:p>
        </w:tc>
        <w:tc>
          <w:tcPr>
            <w:tcW w:type="dxa" w:w="2016"/>
            <w:vAlign w:val="center"/>
          </w:tcPr>
          <w:p>
            <w:pPr>
              <w:spacing w:after="0"/>
            </w:pPr>
            <w:r/>
            <w:r>
              <w:rPr>
                <w:b w:val="0"/>
                <w:sz w:val="18"/>
              </w:rPr>
              <w:t>594</w:t>
            </w:r>
          </w:p>
        </w:tc>
        <w:tc>
          <w:tcPr>
            <w:tcW w:type="dxa" w:w="2592"/>
            <w:vAlign w:val="center"/>
          </w:tcPr>
          <w:p>
            <w:pPr>
              <w:spacing w:after="0"/>
            </w:pPr>
            <w:r/>
            <w:r>
              <w:rPr>
                <w:b w:val="0"/>
                <w:sz w:val="18"/>
              </w:rPr>
              <w:t>59.4%</w:t>
            </w:r>
          </w:p>
        </w:tc>
      </w:tr>
      <w:tr>
        <w:tc>
          <w:tcPr>
            <w:tcW w:type="dxa" w:w="5472"/>
            <w:vAlign w:val="center"/>
            <w:shd w:fill="F0F5F8"/>
          </w:tcPr>
          <w:p>
            <w:pPr>
              <w:spacing w:after="0"/>
            </w:pPr>
            <w:r/>
            <w:r>
              <w:rPr>
                <w:b w:val="0"/>
                <w:sz w:val="18"/>
              </w:rPr>
              <w:t>Programming</w:t>
            </w:r>
          </w:p>
        </w:tc>
        <w:tc>
          <w:tcPr>
            <w:tcW w:type="dxa" w:w="2016"/>
            <w:vAlign w:val="center"/>
            <w:shd w:fill="F0F5F8"/>
          </w:tcPr>
          <w:p>
            <w:pPr>
              <w:spacing w:after="0"/>
            </w:pPr>
            <w:r/>
            <w:r>
              <w:rPr>
                <w:b w:val="0"/>
                <w:sz w:val="18"/>
              </w:rPr>
              <w:t>331</w:t>
            </w:r>
          </w:p>
        </w:tc>
        <w:tc>
          <w:tcPr>
            <w:tcW w:type="dxa" w:w="2592"/>
            <w:vAlign w:val="center"/>
            <w:shd w:fill="F0F5F8"/>
          </w:tcPr>
          <w:p>
            <w:pPr>
              <w:spacing w:after="0"/>
            </w:pPr>
            <w:r/>
            <w:r>
              <w:rPr>
                <w:b w:val="0"/>
                <w:sz w:val="18"/>
              </w:rPr>
              <w:t>33.1%</w:t>
            </w:r>
          </w:p>
        </w:tc>
      </w:tr>
      <w:tr>
        <w:tc>
          <w:tcPr>
            <w:tcW w:type="dxa" w:w="5472"/>
            <w:vAlign w:val="center"/>
          </w:tcPr>
          <w:p>
            <w:pPr>
              <w:spacing w:after="0"/>
            </w:pPr>
            <w:r/>
            <w:r>
              <w:rPr>
                <w:b w:val="0"/>
                <w:sz w:val="18"/>
              </w:rPr>
              <w:t>Module Replacement</w:t>
            </w:r>
          </w:p>
        </w:tc>
        <w:tc>
          <w:tcPr>
            <w:tcW w:type="dxa" w:w="2016"/>
            <w:vAlign w:val="center"/>
          </w:tcPr>
          <w:p>
            <w:pPr>
              <w:spacing w:after="0"/>
            </w:pPr>
            <w:r/>
            <w:r>
              <w:rPr>
                <w:b w:val="0"/>
                <w:sz w:val="18"/>
              </w:rPr>
              <w:t>47</w:t>
            </w:r>
          </w:p>
        </w:tc>
        <w:tc>
          <w:tcPr>
            <w:tcW w:type="dxa" w:w="2592"/>
            <w:vAlign w:val="center"/>
          </w:tcPr>
          <w:p>
            <w:pPr>
              <w:spacing w:after="0"/>
            </w:pPr>
            <w:r/>
            <w:r>
              <w:rPr>
                <w:b w:val="0"/>
                <w:sz w:val="18"/>
              </w:rPr>
              <w:t>4.7%</w:t>
            </w:r>
          </w:p>
        </w:tc>
      </w:tr>
      <w:tr>
        <w:tc>
          <w:tcPr>
            <w:tcW w:type="dxa" w:w="5472"/>
            <w:vAlign w:val="center"/>
            <w:shd w:fill="F0F5F8"/>
          </w:tcPr>
          <w:p>
            <w:pPr>
              <w:spacing w:after="0"/>
            </w:pPr>
            <w:r/>
            <w:r>
              <w:rPr>
                <w:b w:val="0"/>
                <w:sz w:val="18"/>
              </w:rPr>
              <w:t>Software Update</w:t>
            </w:r>
          </w:p>
        </w:tc>
        <w:tc>
          <w:tcPr>
            <w:tcW w:type="dxa" w:w="2016"/>
            <w:vAlign w:val="center"/>
            <w:shd w:fill="F0F5F8"/>
          </w:tcPr>
          <w:p>
            <w:pPr>
              <w:spacing w:after="0"/>
            </w:pPr>
            <w:r/>
            <w:r>
              <w:rPr>
                <w:b w:val="0"/>
                <w:sz w:val="18"/>
              </w:rPr>
              <w:t>12</w:t>
            </w:r>
          </w:p>
        </w:tc>
        <w:tc>
          <w:tcPr>
            <w:tcW w:type="dxa" w:w="2592"/>
            <w:vAlign w:val="center"/>
            <w:shd w:fill="F0F5F8"/>
          </w:tcPr>
          <w:p>
            <w:pPr>
              <w:spacing w:after="0"/>
            </w:pPr>
            <w:r/>
            <w:r>
              <w:rPr>
                <w:b w:val="0"/>
                <w:sz w:val="18"/>
              </w:rPr>
              <w:t>1.2%</w:t>
            </w:r>
          </w:p>
        </w:tc>
      </w:tr>
      <w:tr>
        <w:tc>
          <w:tcPr>
            <w:tcW w:type="dxa" w:w="5472"/>
            <w:vAlign w:val="center"/>
          </w:tcPr>
          <w:p>
            <w:pPr>
              <w:spacing w:after="0"/>
            </w:pPr>
            <w:r/>
            <w:r>
              <w:rPr>
                <w:b w:val="0"/>
                <w:sz w:val="18"/>
              </w:rPr>
              <w:t>Reset/Restart</w:t>
            </w:r>
          </w:p>
        </w:tc>
        <w:tc>
          <w:tcPr>
            <w:tcW w:type="dxa" w:w="2016"/>
            <w:vAlign w:val="center"/>
          </w:tcPr>
          <w:p>
            <w:pPr>
              <w:spacing w:after="0"/>
            </w:pPr>
            <w:r/>
            <w:r>
              <w:rPr>
                <w:b w:val="0"/>
                <w:sz w:val="18"/>
              </w:rPr>
              <w:t>9</w:t>
            </w:r>
          </w:p>
        </w:tc>
        <w:tc>
          <w:tcPr>
            <w:tcW w:type="dxa" w:w="2592"/>
            <w:vAlign w:val="center"/>
          </w:tcPr>
          <w:p>
            <w:pPr>
              <w:spacing w:after="0"/>
            </w:pPr>
            <w:r/>
            <w:r>
              <w:rPr>
                <w:b w:val="0"/>
                <w:sz w:val="18"/>
              </w:rPr>
              <w:t>0.9%</w:t>
            </w:r>
          </w:p>
        </w:tc>
      </w:tr>
    </w:tbl>
    <w:p>
      <w:pPr>
        <w:spacing w:after="20"/>
      </w:pPr>
    </w:p>
    <w:p>
      <w:r>
        <w:t>The action counts are not mutually exclusive: one event can include more than one action. Consequently, the counts and percentages must not be summed to infer a total number of unique events. At least one repair-action tag is present in 732 records (73.2%); 268 records (26.8%) have no repair-action tag under the current rules.</w:t>
      </w:r>
    </w:p>
    <w:p>
      <w:pPr>
        <w:pStyle w:val="Heading1"/>
      </w:pPr>
      <w:r>
        <w:t>5. Text Clustering</w:t>
      </w:r>
    </w:p>
    <w:p>
      <w:r>
        <w:t>The notebook combines CUSTOMER_VERBATIM, CAUSAL_VERBATIM, and CORRECTION_VERBATIM into Combined Text, converts the text into TF-IDF features, and applies KMeans with five clusters. The feature matrix reported was 1,000 records by 3,000 features. The five cluster sizes were 359, 46, 97, 377, and 121 records.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4A70"/>
          </w:tcPr>
          <w:p>
            <w:pPr>
              <w:spacing w:after="0"/>
            </w:pPr>
            <w:r/>
            <w:r>
              <w:rPr>
                <w:b/>
                <w:color w:val="FFFFFF"/>
                <w:sz w:val="18"/>
              </w:rPr>
              <w:t>Cluster</w:t>
            </w:r>
          </w:p>
        </w:tc>
        <w:tc>
          <w:tcPr>
            <w:tcW w:type="dxa" w:w="1440"/>
            <w:vAlign w:val="center"/>
            <w:shd w:fill="174A70"/>
          </w:tcPr>
          <w:p>
            <w:pPr>
              <w:spacing w:after="0"/>
            </w:pPr>
            <w:r/>
            <w:r>
              <w:rPr>
                <w:b/>
                <w:color w:val="FFFFFF"/>
                <w:sz w:val="18"/>
              </w:rPr>
              <w:t>Records</w:t>
            </w:r>
          </w:p>
        </w:tc>
        <w:tc>
          <w:tcPr>
            <w:tcW w:type="dxa" w:w="6912"/>
            <w:vAlign w:val="center"/>
            <w:shd w:fill="174A70"/>
          </w:tcPr>
          <w:p>
            <w:pPr>
              <w:spacing w:after="0"/>
            </w:pPr>
            <w:r/>
            <w:r>
              <w:rPr>
                <w:b/>
                <w:color w:val="FFFFFF"/>
                <w:sz w:val="18"/>
              </w:rPr>
              <w:t>Exploratory theme</w:t>
            </w:r>
          </w:p>
        </w:tc>
      </w:tr>
      <w:tr>
        <w:tc>
          <w:tcPr>
            <w:tcW w:type="dxa" w:w="1728"/>
            <w:vAlign w:val="center"/>
          </w:tcPr>
          <w:p>
            <w:pPr>
              <w:spacing w:after="0"/>
            </w:pPr>
            <w:r/>
            <w:r>
              <w:rPr>
                <w:b w:val="0"/>
                <w:sz w:val="18"/>
              </w:rPr>
              <w:t>Cluster 0</w:t>
            </w:r>
          </w:p>
        </w:tc>
        <w:tc>
          <w:tcPr>
            <w:tcW w:type="dxa" w:w="1440"/>
            <w:vAlign w:val="center"/>
          </w:tcPr>
          <w:p>
            <w:pPr>
              <w:spacing w:after="0"/>
            </w:pPr>
            <w:r/>
            <w:r>
              <w:rPr>
                <w:b w:val="0"/>
                <w:sz w:val="18"/>
              </w:rPr>
              <w:t>359</w:t>
            </w:r>
          </w:p>
        </w:tc>
        <w:tc>
          <w:tcPr>
            <w:tcW w:type="dxa" w:w="6912"/>
            <w:vAlign w:val="center"/>
          </w:tcPr>
          <w:p>
            <w:pPr>
              <w:spacing w:after="0"/>
            </w:pPr>
            <w:r/>
            <w:r>
              <w:rPr>
                <w:b w:val="0"/>
                <w:sz w:val="18"/>
              </w:rPr>
              <w:t>Radio/screen/audio and intermittent behavior</w:t>
            </w:r>
          </w:p>
        </w:tc>
      </w:tr>
      <w:tr>
        <w:tc>
          <w:tcPr>
            <w:tcW w:type="dxa" w:w="1728"/>
            <w:vAlign w:val="center"/>
            <w:shd w:fill="F0F5F8"/>
          </w:tcPr>
          <w:p>
            <w:pPr>
              <w:spacing w:after="0"/>
            </w:pPr>
            <w:r/>
            <w:r>
              <w:rPr>
                <w:b w:val="0"/>
                <w:sz w:val="18"/>
              </w:rPr>
              <w:t>Cluster 1</w:t>
            </w:r>
          </w:p>
        </w:tc>
        <w:tc>
          <w:tcPr>
            <w:tcW w:type="dxa" w:w="1440"/>
            <w:vAlign w:val="center"/>
            <w:shd w:fill="F0F5F8"/>
          </w:tcPr>
          <w:p>
            <w:pPr>
              <w:spacing w:after="0"/>
            </w:pPr>
            <w:r/>
            <w:r>
              <w:rPr>
                <w:b w:val="0"/>
                <w:sz w:val="18"/>
              </w:rPr>
              <w:t>46</w:t>
            </w:r>
          </w:p>
        </w:tc>
        <w:tc>
          <w:tcPr>
            <w:tcW w:type="dxa" w:w="6912"/>
            <w:vAlign w:val="center"/>
            <w:shd w:fill="F0F5F8"/>
          </w:tcPr>
          <w:p>
            <w:pPr>
              <w:spacing w:after="0"/>
            </w:pPr>
            <w:r/>
            <w:r>
              <w:rPr>
                <w:b w:val="0"/>
                <w:sz w:val="18"/>
              </w:rPr>
              <w:t>SD card and navigation-related wording</w:t>
            </w:r>
          </w:p>
        </w:tc>
      </w:tr>
      <w:tr>
        <w:tc>
          <w:tcPr>
            <w:tcW w:type="dxa" w:w="1728"/>
            <w:vAlign w:val="center"/>
          </w:tcPr>
          <w:p>
            <w:pPr>
              <w:spacing w:after="0"/>
            </w:pPr>
            <w:r/>
            <w:r>
              <w:rPr>
                <w:b w:val="0"/>
                <w:sz w:val="18"/>
              </w:rPr>
              <w:t>Cluster 2</w:t>
            </w:r>
          </w:p>
        </w:tc>
        <w:tc>
          <w:tcPr>
            <w:tcW w:type="dxa" w:w="1440"/>
            <w:vAlign w:val="center"/>
          </w:tcPr>
          <w:p>
            <w:pPr>
              <w:spacing w:after="0"/>
            </w:pPr>
            <w:r/>
            <w:r>
              <w:rPr>
                <w:b w:val="0"/>
                <w:sz w:val="18"/>
              </w:rPr>
              <w:t>97</w:t>
            </w:r>
          </w:p>
        </w:tc>
        <w:tc>
          <w:tcPr>
            <w:tcW w:type="dxa" w:w="6912"/>
            <w:vAlign w:val="center"/>
          </w:tcPr>
          <w:p>
            <w:pPr>
              <w:spacing w:after="0"/>
            </w:pPr>
            <w:r/>
            <w:r>
              <w:rPr>
                <w:b w:val="0"/>
                <w:sz w:val="18"/>
              </w:rPr>
              <w:t>Backup camera and video-related wording</w:t>
            </w:r>
          </w:p>
        </w:tc>
      </w:tr>
      <w:tr>
        <w:tc>
          <w:tcPr>
            <w:tcW w:type="dxa" w:w="1728"/>
            <w:vAlign w:val="center"/>
            <w:shd w:fill="F0F5F8"/>
          </w:tcPr>
          <w:p>
            <w:pPr>
              <w:spacing w:after="0"/>
            </w:pPr>
            <w:r/>
            <w:r>
              <w:rPr>
                <w:b w:val="0"/>
                <w:sz w:val="18"/>
              </w:rPr>
              <w:t>Cluster 3</w:t>
            </w:r>
          </w:p>
        </w:tc>
        <w:tc>
          <w:tcPr>
            <w:tcW w:type="dxa" w:w="1440"/>
            <w:vAlign w:val="center"/>
            <w:shd w:fill="F0F5F8"/>
          </w:tcPr>
          <w:p>
            <w:pPr>
              <w:spacing w:after="0"/>
            </w:pPr>
            <w:r/>
            <w:r>
              <w:rPr>
                <w:b w:val="0"/>
                <w:sz w:val="18"/>
              </w:rPr>
              <w:t>377</w:t>
            </w:r>
          </w:p>
        </w:tc>
        <w:tc>
          <w:tcPr>
            <w:tcW w:type="dxa" w:w="6912"/>
            <w:vAlign w:val="center"/>
            <w:shd w:fill="F0F5F8"/>
          </w:tcPr>
          <w:p>
            <w:pPr>
              <w:spacing w:after="0"/>
            </w:pPr>
            <w:r/>
            <w:r>
              <w:rPr>
                <w:b w:val="0"/>
                <w:sz w:val="18"/>
              </w:rPr>
              <w:t>Radio, XM/connectivity, software or programming wording</w:t>
            </w:r>
          </w:p>
        </w:tc>
      </w:tr>
      <w:tr>
        <w:tc>
          <w:tcPr>
            <w:tcW w:type="dxa" w:w="1728"/>
            <w:vAlign w:val="center"/>
          </w:tcPr>
          <w:p>
            <w:pPr>
              <w:spacing w:after="0"/>
            </w:pPr>
            <w:r/>
            <w:r>
              <w:rPr>
                <w:b w:val="0"/>
                <w:sz w:val="18"/>
              </w:rPr>
              <w:t>Cluster 4</w:t>
            </w:r>
          </w:p>
        </w:tc>
        <w:tc>
          <w:tcPr>
            <w:tcW w:type="dxa" w:w="1440"/>
            <w:vAlign w:val="center"/>
          </w:tcPr>
          <w:p>
            <w:pPr>
              <w:spacing w:after="0"/>
            </w:pPr>
            <w:r/>
            <w:r>
              <w:rPr>
                <w:b w:val="0"/>
                <w:sz w:val="18"/>
              </w:rPr>
              <w:t>121</w:t>
            </w:r>
          </w:p>
        </w:tc>
        <w:tc>
          <w:tcPr>
            <w:tcW w:type="dxa" w:w="6912"/>
            <w:vAlign w:val="center"/>
          </w:tcPr>
          <w:p>
            <w:pPr>
              <w:spacing w:after="0"/>
            </w:pPr>
            <w:r/>
            <w:r>
              <w:rPr>
                <w:b w:val="0"/>
                <w:sz w:val="18"/>
              </w:rPr>
              <w:t>Radio module, screen and warranty-related wording</w:t>
            </w:r>
          </w:p>
        </w:tc>
      </w:tr>
    </w:tbl>
    <w:p>
      <w:pPr>
        <w:spacing w:after="20"/>
      </w:pPr>
    </w:p>
    <w:p>
      <w:r>
        <w:t>These descriptions are exploratory interpretations of prominent terms and text examples. Cluster labels are not validated diagnoses. Similar words can appear in different technical contexts, and the chosen number of clusters affects the grouping.</w:t>
      </w:r>
    </w:p>
    <w:p>
      <w:pPr>
        <w:pStyle w:val="Heading1"/>
      </w:pPr>
      <w:r>
        <w:t>6. Stakeholder Recommendations</w:t>
      </w:r>
    </w:p>
    <w:p>
      <w:pPr>
        <w:pStyle w:val="ListNumber"/>
      </w:pPr>
      <w:r>
        <w:rPr>
          <w:b/>
        </w:rPr>
        <w:t xml:space="preserve">Prioritize infotainment complaint triage: </w:t>
      </w:r>
      <w:r>
        <w:t>Start with audio, other infotainment issues, and communication categories because together they represent 79.4% of records. Break these down by model, model year, build date, and time to determine where the concentration is greatest.</w:t>
      </w:r>
    </w:p>
    <w:p>
      <w:pPr>
        <w:pStyle w:val="ListNumber"/>
      </w:pPr>
      <w:r>
        <w:rPr>
          <w:b/>
        </w:rPr>
        <w:t xml:space="preserve">Review radio replacement and programming together: </w:t>
      </w:r>
      <w:r>
        <w:t>Radio Replacement and Programming are frequently tagged. Review event-level repair histories to identify when both actions occur, whether programming follows replacement, and whether repeat visits are present.</w:t>
      </w:r>
    </w:p>
    <w:p>
      <w:pPr>
        <w:pStyle w:val="ListNumber"/>
      </w:pPr>
      <w:r>
        <w:rPr>
          <w:b/>
        </w:rPr>
        <w:t xml:space="preserve">Validate high-frequency keyword tags: </w:t>
      </w:r>
      <w:r>
        <w:t>Manually review a stratified sample of records tagged Radio, Display/Screen, and Software/Firmware, plus records without tags. Estimate false positives and false negatives before using tag counts as operational KPIs.</w:t>
      </w:r>
    </w:p>
    <w:p>
      <w:pPr>
        <w:pStyle w:val="ListNumber"/>
      </w:pPr>
      <w:r>
        <w:rPr>
          <w:b/>
        </w:rPr>
        <w:t xml:space="preserve">Use clusters to guide investigation, not assign cause: </w:t>
      </w:r>
      <w:r>
        <w:t>Have technical specialists inspect representative cases from each cluster, compare component and repair records, and confirm whether the proposed themes correspond to actionable failure modes.</w:t>
      </w:r>
    </w:p>
    <w:p>
      <w:pPr>
        <w:pStyle w:val="ListNumber"/>
      </w:pPr>
      <w:r>
        <w:rPr>
          <w:b/>
        </w:rPr>
        <w:t xml:space="preserve">Improve narrative and repair coding: </w:t>
      </w:r>
      <w:r>
        <w:t>Standardize symptom, confirmed cause, component, software version, repair action, and repair outcome fields. Separate suspected causes from confirmed diagnoses and capture whether the issue recurred after repair.</w:t>
      </w:r>
    </w:p>
    <w:p>
      <w:pPr>
        <w:pStyle w:val="ListNumber"/>
      </w:pPr>
      <w:r>
        <w:rPr>
          <w:b/>
        </w:rPr>
        <w:t xml:space="preserve">Monitor trends with complete date coverage: </w:t>
      </w:r>
      <w:r>
        <w:t>Continue monthly trend analysis, but check partial first/last months and date completeness before interpreting changes as improvement or deterioration.</w:t>
      </w:r>
    </w:p>
    <w:p>
      <w:pPr>
        <w:pStyle w:val="Heading1"/>
      </w:pPr>
      <w:r>
        <w:t>7. Potential Business Value and Impact</w:t>
      </w:r>
    </w:p>
    <w:p>
      <w:r>
        <w:t>If the text tags and cluster themes are validated, the analysis could help reduce manual review effort, improve complaint routing, highlight recurring repair patterns, and inform targeted engineering investigations. Better structured narratives and event-level repair outcomes could also improve root-cause confirmation and support more reliable quality reporting. No cost savings, defect-rate reductions, or causal impacts are quantified by the current analysis.</w:t>
      </w:r>
    </w:p>
    <w:p>
      <w:pPr>
        <w:pStyle w:val="Heading1"/>
      </w:pPr>
      <w:r>
        <w:t>8. Limitations and Future Improvements</w:t>
      </w:r>
    </w:p>
    <w:p>
      <w:pPr>
        <w:pStyle w:val="ListBullet"/>
      </w:pPr>
      <w:r>
        <w:t>Keyword rules depend on vocabulary and can over-tag broad terms such as “radio”; tag coverage is not equivalent to confirmed defect prevalence.</w:t>
      </w:r>
    </w:p>
    <w:p>
      <w:pPr>
        <w:pStyle w:val="ListBullet"/>
      </w:pPr>
      <w:r>
        <w:t>Multiple tags may be assigned to one record, so tag counts overlap.</w:t>
      </w:r>
    </w:p>
    <w:p>
      <w:pPr>
        <w:pStyle w:val="ListBullet"/>
      </w:pPr>
      <w:r>
        <w:t>Cause-related tags are derived from text and are not independently verified root causes.</w:t>
      </w:r>
    </w:p>
    <w:p>
      <w:pPr>
        <w:pStyle w:val="ListBullet"/>
      </w:pPr>
      <w:r>
        <w:t>KMeans clusters describe text similarity; cluster labels require expert review and validation.</w:t>
      </w:r>
    </w:p>
    <w:p>
      <w:pPr>
        <w:pStyle w:val="ListBullet"/>
      </w:pPr>
      <w:r>
        <w:t>MODLYR is constant at 2020 in this dataset, limiting its usefulness for comparisons.</w:t>
      </w:r>
    </w:p>
    <w:p>
      <w:pPr>
        <w:pStyle w:val="ListBullet"/>
      </w:pPr>
      <w:r>
        <w:t>The analysis should be extended with model-level and date-level stratification, repeat-repair analysis, and manual tag-quality evaluation.</w:t>
      </w:r>
    </w:p>
    <w:p>
      <w:pPr>
        <w:pStyle w:val="Heading1"/>
      </w:pPr>
      <w:r>
        <w:t>9. Key Learnings</w:t>
      </w:r>
    </w:p>
    <w:p>
      <w:r>
        <w:t>The largest complaint concentrations are in audio and infotainment categories; text mining adds a more granular view of symptoms and recorded actions; repair-action tags cover 73.2% of events in the current dataframe and exported CSV; and unsupervised clustering can help organize narratives for review. The strongest next step is validation: connect narrative-derived indicators to structured component, repair, and outcome data before treating them as quality or root-cause measures.</w:t>
      </w:r>
    </w:p>
    <w:p>
      <w:pPr>
        <w:pStyle w:val="Heading1"/>
      </w:pPr>
      <w:r>
        <w:t>Appendix: Verified figures used</w:t>
      </w:r>
    </w:p>
    <w:p>
      <w:r>
        <w:t>Figures in this report are based on the values provided from the notebook and exported CSV summaries during the analysis session. The report uses the current repair-action tag coverage of 732/1,000 (73.2%), not the earlier 755-record figure from an older tagging version. The issue-tag, symptom-tag, cause-tag, repair-action, complaint-category, and cluster counts are reproduced from the supplied analysis outputs.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Stakeholder Report  •  Advanced EDA and Text Mining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3"/>
        <w:sz w:val="16"/>
      </w:rPr>
      <w:t>HANUAI  |  MACHINE LEARNING ASSESSMENT — TASK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F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