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 View - complete fictional dataset</w:t>
      </w:r>
    </w:p>
    <w:p>
      <w:r>
        <w:t>Synthetic demonstration only. This is a new authored reconstruction of the reference-style city, not a survey or official property record.</w:t>
      </w:r>
    </w:p>
    <w:p>
      <w:pPr>
        <w:pStyle w:val="Heading1"/>
      </w:pPr>
      <w:r>
        <w:t>One source geometry, multiple formats</w:t>
      </w:r>
    </w:p>
    <w:p>
      <w:r>
        <w:t>49 buildings, 184 floors, 189 spaces, nine controls and 62886 synthetic points.</w:t>
      </w:r>
    </w:p>
    <w:p>
      <w:r>
        <w:t>GeoJSON and schedules build the interactive map. MASTER and normalized v1 JSON provide compatible source structures. GeoPackage, PDF/SVG plans, LAS/LAZ, GeoTIFF and JPEG are retained originals with fingerprints.</w:t>
      </w:r>
    </w:p>
    <w:p>
      <w:pPr>
        <w:pStyle w:val="Heading1"/>
      </w:pPr>
      <w:r>
        <w:t>Review</w:t>
      </w:r>
    </w:p>
    <w:p>
      <w:r>
        <w:t>B01 intentionally crosses its parcel edge and a road. Resident occupancy is separate from fictional rights and parties. Full recording remains in the saved workflow; this source importer opens a draft preview.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