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INTEGRATED DISEASE PREDICTION SYSTEM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Project Report Submitted in Partial Fulfillment of the Requirements for the Degree of</w:t>
      </w:r>
    </w:p>
    <w:p>
      <w:pPr>
        <w:jc w:val="center"/>
      </w:pPr>
      <w:r>
        <w:rPr>
          <w:rFonts w:ascii="Times New Roman" w:hAnsi="Times New Roman"/>
          <w:b/>
          <w:i w:val="0"/>
          <w:sz w:val="36"/>
        </w:rPr>
        <w:t>Bachelor of Technology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in</w:t>
      </w:r>
    </w:p>
    <w:p>
      <w:pPr>
        <w:jc w:val="center"/>
      </w:pPr>
      <w:r>
        <w:rPr>
          <w:rFonts w:ascii="Times New Roman" w:hAnsi="Times New Roman"/>
          <w:b/>
          <w:i w:val="0"/>
          <w:sz w:val="36"/>
        </w:rPr>
        <w:t>Computer Science &amp; Engineering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Submitted by: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Name of Student: [Your Name]</w:t>
        <w:br/>
        <w:t>(Roll No. [Your Roll No.])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Under the Supervision of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[Advisor Name]</w:t>
        <w:br/>
        <w:t>[Designation]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DIT UNIVERSITY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IMAGINE | ASPIRE | ACHIEVE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MAY,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ABSTRACT</w:t>
      </w:r>
    </w:p>
    <w:p>
      <w:r>
        <w:rPr>
          <w:rFonts w:ascii="Times New Roman" w:hAnsi="Times New Roman"/>
          <w:b w:val="0"/>
          <w:i w:val="0"/>
          <w:sz w:val="24"/>
        </w:rPr>
        <w:t>The Integrated Disease Prediction System is a clinical decision-support platform that utilizes ensemble machine learning to predict risks for chronic conditions. By calculating a Cardiometabolic Health Risk Index (CHRI), it provides holistic assessments, transparent explanations (XAI), and localized recommendations for the Indian healthcare market.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Chapter 1: INTRODUCTION</w:t>
      </w:r>
    </w:p>
    <w:p>
      <w:r>
        <w:rPr>
          <w:rFonts w:ascii="Times New Roman" w:hAnsi="Times New Roman"/>
          <w:b w:val="0"/>
          <w:i w:val="0"/>
          <w:sz w:val="24"/>
        </w:rPr>
        <w:t>1.1 BACKGROUND</w:t>
        <w:br/>
        <w:t>Modern healthcare is shifting from reactive treatment to preventative management. With the rise of lifestyle-related chronic diseases in India, there is an urgent need for tools that can synthesize multiple health markers into a single assessment.</w:t>
        <w:br/>
        <w:br/>
        <w:t>1.2 OBJECTIVES</w:t>
        <w:br/>
        <w:t>To develop an ensemble-based prediction engine, implement the CHRI index, and create a localized recommendation system.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Chapter 2: LITERATURE SURVEY</w:t>
      </w:r>
    </w:p>
    <w:p>
      <w:r>
        <w:rPr>
          <w:rFonts w:ascii="Times New Roman" w:hAnsi="Times New Roman"/>
          <w:b w:val="0"/>
          <w:i w:val="0"/>
          <w:sz w:val="24"/>
        </w:rPr>
        <w:t>Analysis of existing SVM and Random Forest implementations reveals gaps in interpretability and localization. This project addresses these by combining high-accuracy ensembles with patient-centric explainability.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Chapter 3: SYSTEM DESIGN &amp; METHODOLOGY</w:t>
      </w:r>
    </w:p>
    <w:p>
      <w:r>
        <w:rPr>
          <w:rFonts w:ascii="Times New Roman" w:hAnsi="Times New Roman"/>
          <w:b w:val="0"/>
          <w:i w:val="0"/>
          <w:sz w:val="24"/>
        </w:rPr>
        <w:t>3.1 ARCHITECTURE</w:t>
        <w:br/>
        <w:t>The system uses a FastAPI backend and a JavaScript Glassmorphism frontend. Data is processed through Soft Voting ensembles to ensure high predictive reliability.</w:t>
        <w:br/>
        <w:br/>
        <w:t>3.2 CHRI LOGIC</w:t>
        <w:br/>
        <w:t>The index is a weighted meta-model of heart, stroke, diabetes, and kidney risks.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Chapter 4: IMPLEMENTATION &amp; RESULTS</w:t>
      </w:r>
    </w:p>
    <w:p>
      <w:r>
        <w:rPr>
          <w:rFonts w:ascii="Times New Roman" w:hAnsi="Times New Roman"/>
          <w:b w:val="0"/>
          <w:i w:val="0"/>
          <w:sz w:val="24"/>
        </w:rPr>
        <w:t>The system features interactive dashboard cards, live doctor scraping via DuckDuckGo, and facility discovery via the Nominatim API. Visual results include animated progress circles and benchmark legends.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Chapter 5: SUMMARY AND CONCLUSIONS</w:t>
      </w:r>
    </w:p>
    <w:p>
      <w:r>
        <w:rPr>
          <w:rFonts w:ascii="Times New Roman" w:hAnsi="Times New Roman"/>
          <w:b w:val="0"/>
          <w:i w:val="0"/>
          <w:sz w:val="24"/>
        </w:rPr>
        <w:t>The project successfully bridges AI diagnostics with actionable patient recommendations, providing a scalable and trustworthy health navigation tool.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Chapter 6: SCOPE FOR FUTURE WORK</w:t>
      </w:r>
    </w:p>
    <w:p>
      <w:r>
        <w:rPr>
          <w:rFonts w:ascii="Times New Roman" w:hAnsi="Times New Roman"/>
          <w:b w:val="0"/>
          <w:i w:val="0"/>
          <w:sz w:val="24"/>
        </w:rPr>
        <w:t>Future work includes IoT wearable integration and real-time medical appointment booking.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REFERENCES</w:t>
      </w:r>
    </w:p>
    <w:p>
      <w:r>
        <w:rPr>
          <w:rFonts w:ascii="Times New Roman" w:hAnsi="Times New Roman"/>
          <w:b w:val="0"/>
          <w:i w:val="0"/>
          <w:sz w:val="22"/>
        </w:rPr>
        <w:t>[1] Lee, W. C. Y., 'Mobile Communications Engineering,' McGraw-Hill, 1997.</w:t>
      </w:r>
    </w:p>
    <w:p>
      <w:r>
        <w:rPr>
          <w:rFonts w:ascii="Times New Roman" w:hAnsi="Times New Roman"/>
          <w:b w:val="0"/>
          <w:i w:val="0"/>
          <w:sz w:val="22"/>
        </w:rPr>
        <w:t>[2] Roy, L. A., 'Wearable Networks: Present and Future,' IEEE Computer, 2003.</w:t>
      </w:r>
    </w:p>
    <w:p>
      <w:r>
        <w:rPr>
          <w:rFonts w:ascii="Times New Roman" w:hAnsi="Times New Roman"/>
          <w:b w:val="0"/>
          <w:i w:val="0"/>
          <w:sz w:val="22"/>
        </w:rPr>
        <w:t>[3] DuckDuckGo Scraper Documentation, 2024.</w:t>
      </w:r>
    </w:p>
    <w:p>
      <w:r>
        <w:rPr>
          <w:rFonts w:ascii="Times New Roman" w:hAnsi="Times New Roman"/>
          <w:b w:val="0"/>
          <w:i w:val="0"/>
          <w:sz w:val="22"/>
        </w:rPr>
        <w:t>[4] OpenStreetMap Nominatim API Reference, 2024.</w:t>
      </w:r>
    </w:p>
    <w:sectPr w:rsidR="00FC693F" w:rsidRPr="0006063C" w:rsidSect="00034616">
      <w:pgSz w:w="12240" w:h="15840"/>
      <w:pgMar w:top="1701" w:right="1134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