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C120" w14:textId="77777777" w:rsidR="00F73C63" w:rsidRDefault="00000000">
      <w:pPr>
        <w:pStyle w:val="Title"/>
        <w:jc w:val="center"/>
      </w:pPr>
      <w:r>
        <w:t>Capstone Project: Report Figures</w:t>
      </w:r>
    </w:p>
    <w:p w14:paraId="3E94B248" w14:textId="77777777" w:rsidR="00F73C63" w:rsidRDefault="00000000">
      <w:pPr>
        <w:pStyle w:val="Heading1"/>
      </w:pPr>
      <w:r>
        <w:t>Figure 3.1: System Architecture Diagram</w:t>
      </w:r>
    </w:p>
    <w:p w14:paraId="69883CD6" w14:textId="77777777" w:rsidR="00F73C63" w:rsidRDefault="00000000">
      <w:r>
        <w:rPr>
          <w:noProof/>
        </w:rPr>
        <w:drawing>
          <wp:inline distT="0" distB="0" distL="0" distR="0" wp14:anchorId="4D1195C4" wp14:editId="36AB601D">
            <wp:extent cx="5486400" cy="2955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arch_fig3_1_17770053065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BEED" w14:textId="77777777" w:rsidR="00F73C63" w:rsidRDefault="00000000">
      <w:pPr>
        <w:jc w:val="center"/>
      </w:pPr>
      <w:r>
        <w:t>A technical schematic showing the decoupled FastAPI architecture. The 'Explainable AI Layer' is highlighted as the core component that translates model math into user-friendly insights.</w:t>
      </w:r>
    </w:p>
    <w:p w14:paraId="5AB35420" w14:textId="77777777" w:rsidR="00F73C63" w:rsidRDefault="00000000">
      <w:r>
        <w:br w:type="page"/>
      </w:r>
    </w:p>
    <w:p w14:paraId="2CAF3B26" w14:textId="77777777" w:rsidR="00F73C63" w:rsidRDefault="00000000">
      <w:pPr>
        <w:pStyle w:val="Heading1"/>
      </w:pPr>
      <w:r>
        <w:lastRenderedPageBreak/>
        <w:t>Figure 3.2: Data Flow Diagram (DFD)</w:t>
      </w:r>
    </w:p>
    <w:p w14:paraId="597CED61" w14:textId="77777777" w:rsidR="00F73C63" w:rsidRDefault="00000000">
      <w:r>
        <w:rPr>
          <w:noProof/>
        </w:rPr>
        <w:drawing>
          <wp:inline distT="0" distB="0" distL="0" distR="0" wp14:anchorId="6792FF31" wp14:editId="0D54DFA8">
            <wp:extent cx="5486400" cy="2955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dfd_fig3_2_177700551507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9481" w14:textId="77777777" w:rsidR="00F73C63" w:rsidRDefault="00000000">
      <w:pPr>
        <w:jc w:val="center"/>
      </w:pPr>
      <w:r>
        <w:t>Illustrating the logical flow of data. Notice process 4.0 (Generate XAI Insights) which processes probabilities before delivery to the user.</w:t>
      </w:r>
    </w:p>
    <w:p w14:paraId="596CF2C7" w14:textId="77777777" w:rsidR="00F73C63" w:rsidRDefault="00000000">
      <w:r>
        <w:br w:type="page"/>
      </w:r>
    </w:p>
    <w:p w14:paraId="43AA94EF" w14:textId="77777777" w:rsidR="00F73C63" w:rsidRDefault="00000000">
      <w:pPr>
        <w:pStyle w:val="Heading1"/>
      </w:pPr>
      <w:r>
        <w:lastRenderedPageBreak/>
        <w:t>Figure 3.3: Machine Learning Pipeline with XAI</w:t>
      </w:r>
    </w:p>
    <w:p w14:paraId="02206A19" w14:textId="77777777" w:rsidR="00F73C63" w:rsidRDefault="00000000">
      <w:r>
        <w:rPr>
          <w:noProof/>
        </w:rPr>
        <w:drawing>
          <wp:inline distT="0" distB="0" distL="0" distR="0" wp14:anchorId="0C14F63E" wp14:editId="1B376392">
            <wp:extent cx="5486400" cy="2955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ml_xai_fig3_3_final_177700597799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E952" w14:textId="77777777" w:rsidR="00F73C63" w:rsidRDefault="00000000">
      <w:pPr>
        <w:jc w:val="center"/>
      </w:pPr>
      <w:r>
        <w:t>The end-to-end ML lifecycle. The diagram explicitly shows the 'XAI: Feature Importance Calculation' step, ensuring every prediction is accountable and transparent.</w:t>
      </w:r>
    </w:p>
    <w:p w14:paraId="0F0DB707" w14:textId="77777777" w:rsidR="00F73C63" w:rsidRDefault="00000000">
      <w:r>
        <w:br w:type="page"/>
      </w:r>
    </w:p>
    <w:p w14:paraId="1C332F8F" w14:textId="77777777" w:rsidR="00F73C63" w:rsidRDefault="00000000">
      <w:pPr>
        <w:pStyle w:val="Heading1"/>
      </w:pPr>
      <w:r>
        <w:lastRenderedPageBreak/>
        <w:t>Figure 4.1: Backend API Workflow (Explainable)</w:t>
      </w:r>
    </w:p>
    <w:p w14:paraId="72B43446" w14:textId="77777777" w:rsidR="00F73C63" w:rsidRDefault="00000000">
      <w:r>
        <w:rPr>
          <w:noProof/>
        </w:rPr>
        <w:drawing>
          <wp:inline distT="0" distB="0" distL="0" distR="0" wp14:anchorId="36F3909C" wp14:editId="7B0E1881">
            <wp:extent cx="5263068" cy="283474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api_xai_fig4_1_final_17770059659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068" cy="28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4B88" w14:textId="77777777" w:rsidR="00F73C63" w:rsidRDefault="00000000">
      <w:pPr>
        <w:jc w:val="center"/>
      </w:pPr>
      <w:r>
        <w:t>Sequence diagram of the API request. The XAI Engine is invoked in parallel with external services to provide immediate clinical context for the results.</w:t>
      </w:r>
    </w:p>
    <w:p w14:paraId="51CC5BAC" w14:textId="77777777" w:rsidR="00F73C63" w:rsidRDefault="00000000">
      <w:r>
        <w:br w:type="page"/>
      </w:r>
    </w:p>
    <w:p w14:paraId="27E5C953" w14:textId="77777777" w:rsidR="00F73C63" w:rsidRDefault="00000000">
      <w:pPr>
        <w:pStyle w:val="Heading1"/>
      </w:pPr>
      <w:r>
        <w:lastRenderedPageBreak/>
        <w:t>Figure 4.2: Frontend Dashboard Interface</w:t>
      </w:r>
    </w:p>
    <w:p w14:paraId="356947F3" w14:textId="77777777" w:rsidR="00F73C63" w:rsidRDefault="00000000">
      <w:r>
        <w:rPr>
          <w:noProof/>
        </w:rPr>
        <w:lastRenderedPageBreak/>
        <w:drawing>
          <wp:inline distT="0" distB="0" distL="0" distR="0" wp14:anchorId="3F3DAC14" wp14:editId="3BFF62F8">
            <wp:extent cx="5486400" cy="12483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dashboard_fig4_2_17770053786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041B" w14:textId="77777777" w:rsidR="00F73C63" w:rsidRDefault="00000000">
      <w:pPr>
        <w:jc w:val="center"/>
      </w:pPr>
      <w:r>
        <w:lastRenderedPageBreak/>
        <w:t>Real snapshot of the AI Health Navigator. This dashboard integrates diagnostic scores with a transparent 'Action Plan' and 'Explainability Panel'.</w:t>
      </w:r>
    </w:p>
    <w:p w14:paraId="6C7C3694" w14:textId="77777777" w:rsidR="00F73C63" w:rsidRDefault="00000000">
      <w:r>
        <w:br w:type="page"/>
      </w:r>
    </w:p>
    <w:p w14:paraId="7446C380" w14:textId="77777777" w:rsidR="00F73C63" w:rsidRDefault="00000000">
      <w:pPr>
        <w:pStyle w:val="Heading1"/>
      </w:pPr>
      <w:r>
        <w:lastRenderedPageBreak/>
        <w:t>Figure 4.4: XAI Insights &amp; Risk Breakdown</w:t>
      </w:r>
    </w:p>
    <w:p w14:paraId="59C6E987" w14:textId="77777777" w:rsidR="00F73C63" w:rsidRDefault="00000000">
      <w:r>
        <w:rPr>
          <w:noProof/>
        </w:rPr>
        <w:drawing>
          <wp:inline distT="0" distB="0" distL="0" distR="0" wp14:anchorId="4F84868E" wp14:editId="2A2AD3D9">
            <wp:extent cx="5486400" cy="2955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xai_insights_fig4_4_17770059507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CCC4" w14:textId="77777777" w:rsidR="00F73C63" w:rsidRDefault="00000000">
      <w:pPr>
        <w:jc w:val="center"/>
      </w:pPr>
      <w:r>
        <w:t>Detailed snapshot of the XAI layer in action. It explicitly identifies risk drivers like 'Body Mass Index' and 'Blood Sugar Levels' to explain the clinical reasoning behind the score.</w:t>
      </w:r>
    </w:p>
    <w:p w14:paraId="10314430" w14:textId="77777777" w:rsidR="00F73C63" w:rsidRDefault="00000000">
      <w:r>
        <w:br w:type="page"/>
      </w:r>
    </w:p>
    <w:sectPr w:rsidR="00F73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902074">
    <w:abstractNumId w:val="8"/>
  </w:num>
  <w:num w:numId="2" w16cid:durableId="909343318">
    <w:abstractNumId w:val="6"/>
  </w:num>
  <w:num w:numId="3" w16cid:durableId="507983136">
    <w:abstractNumId w:val="5"/>
  </w:num>
  <w:num w:numId="4" w16cid:durableId="502889985">
    <w:abstractNumId w:val="4"/>
  </w:num>
  <w:num w:numId="5" w16cid:durableId="1435401175">
    <w:abstractNumId w:val="7"/>
  </w:num>
  <w:num w:numId="6" w16cid:durableId="391856910">
    <w:abstractNumId w:val="3"/>
  </w:num>
  <w:num w:numId="7" w16cid:durableId="1900702609">
    <w:abstractNumId w:val="2"/>
  </w:num>
  <w:num w:numId="8" w16cid:durableId="1136877020">
    <w:abstractNumId w:val="1"/>
  </w:num>
  <w:num w:numId="9" w16cid:durableId="18560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572"/>
    <w:rsid w:val="00326F90"/>
    <w:rsid w:val="00AA1D8D"/>
    <w:rsid w:val="00AA2E0C"/>
    <w:rsid w:val="00B47730"/>
    <w:rsid w:val="00C31E78"/>
    <w:rsid w:val="00CB0664"/>
    <w:rsid w:val="00F73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E2475"/>
  <w14:defaultImageDpi w14:val="300"/>
  <w15:docId w15:val="{BF954319-D98F-42C7-8A53-A2E9BB5D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Vinu Bhai</cp:lastModifiedBy>
  <cp:revision>2</cp:revision>
  <dcterms:created xsi:type="dcterms:W3CDTF">2013-12-23T23:15:00Z</dcterms:created>
  <dcterms:modified xsi:type="dcterms:W3CDTF">2026-04-24T07:14:00Z</dcterms:modified>
  <cp:category/>
</cp:coreProperties>
</file>