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b/>
          <w:bCs/>
          <w:color w:val="3F5C82"/>
          <w:spacing w:val="16"/>
          <w:sz w:val="26"/>
          <w:szCs w:val="26"/>
        </w:rPr>
        <w:t xml:space="preserve">SIH26190 — EXAMINER'S AUDIT REPORT</w:t>
      </w:r>
    </w:p>
    <w:p>
      <w:pPr>
        <w:spacing w:after="160"/>
        <w:jc w:val="center"/>
      </w:pPr>
      <w:r>
        <w:rPr>
          <w:rFonts w:ascii="Cambria" w:cs="Cambria" w:eastAsia="Cambria" w:hAnsi="Cambria"/>
          <w:b/>
          <w:bCs/>
          <w:color w:val="1B2A4A"/>
          <w:sz w:val="46"/>
          <w:szCs w:val="46"/>
        </w:rPr>
        <w:t xml:space="preserve">Secure Digital Document Management System</w:t>
      </w:r>
    </w:p>
    <w:p>
      <w:pPr>
        <w:spacing w:after="500"/>
        <w:jc w:val="center"/>
      </w:pPr>
      <w:r>
        <w:rPr>
          <w:i/>
          <w:iCs/>
          <w:color w:val="3F5C82"/>
          <w:sz w:val="22"/>
          <w:szCs w:val="22"/>
        </w:rPr>
        <w:t xml:space="preserve">Independent Technical, Security &amp; Presentation Review — conducted as a Smart India Hackathon judge/invigilator would evaluate it</w:t>
      </w:r>
    </w:p>
    <w:p>
      <w:pPr>
        <w:spacing w:after="80"/>
        <w:jc w:val="center"/>
      </w:pPr>
      <w:r>
        <w:rPr>
          <w:b/>
          <w:bCs/>
          <w:color w:val="A23B2E"/>
          <w:sz w:val="20"/>
          <w:szCs w:val="20"/>
        </w:rPr>
        <w:t xml:space="preserve">Status: FOR TEAM REVIEW — no fixes have been applied. This report is the audit only.</w:t>
      </w:r>
    </w:p>
    <w:p>
      <w:r>
        <w:br w:type="page"/>
      </w:r>
    </w:p>
    <w:p>
      <w:pPr>
        <w:pStyle w:val="Heading1"/>
        <w:spacing w:after="180" w:before="420"/>
      </w:pPr>
      <w:r>
        <w:rPr>
          <w:rFonts w:ascii="Cambria" w:cs="Cambria" w:eastAsia="Cambria" w:hAnsi="Cambria"/>
          <w:b/>
          <w:bCs/>
          <w:color w:val="1B2A4A"/>
          <w:sz w:val="30"/>
          <w:szCs w:val="30"/>
        </w:rPr>
        <w:t xml:space="preserve">1. Examiner's Verdict</w:t>
      </w:r>
    </w:p>
    <w:p>
      <w:pPr>
        <w:spacing w:after="140"/>
      </w:pPr>
      <w:r>
        <w:rPr>
          <w:sz w:val="21"/>
          <w:szCs w:val="21"/>
        </w:rPr>
        <w:t xml:space="preserve">This is a technically serious submission — the concurrent investigation/bail tracks, the tiered redaction-schema strategy, and the AI Parser's own audit trail are genuinely above the bar of what most teams present at this stage. That said, an examiner does not grade the architecture in isolation from the repository, the security posture, and the pitch — and on those three axes this submission currently has real, fixable gaps that a sharp judging panel will find within the first ten minutes. None of what follows should be read as "the design is wrong" — almost all of it is "the design is right, but it isn't fully visible, provable, or de-risked yet."</w:t>
      </w:r>
    </w:p>
    <w:p>
      <w:pPr>
        <w:pStyle w:val="Heading2"/>
        <w:spacing w:after="140" w:before="280"/>
      </w:pPr>
      <w:r>
        <w:rPr>
          <w:rFonts w:ascii="Cambria" w:cs="Cambria" w:eastAsia="Cambria" w:hAnsi="Cambria"/>
          <w:b/>
          <w:bCs/>
          <w:color w:val="3F5C82"/>
          <w:sz w:val="24"/>
          <w:szCs w:val="24"/>
        </w:rPr>
        <w:t xml:space="preserve">Illustrative scorecard</w:t>
      </w:r>
    </w:p>
    <w:p>
      <w:pPr>
        <w:spacing w:after="140"/>
      </w:pPr>
      <w:r>
        <w:rPr>
          <w:i/>
          <w:iCs/>
          <w:color w:val="5A6474"/>
          <w:sz w:val="19"/>
          <w:szCs w:val="19"/>
        </w:rPr>
        <w:t xml:space="preserve">Not an official SIH rubric — a working approximation of how a panel typically weighs a submission, used here to make the audit's priorities concrete.</w:t>
      </w:r>
    </w:p>
    <w:tbl>
      <w:tblPr>
        <w:tblW w:type="dxa" w:w="9070"/>
        <w:tblBorders>
          <w:top w:val="single" w:color="C7CFDD" w:sz="2"/>
          <w:left w:val="single" w:color="C7CFDD" w:sz="2"/>
          <w:bottom w:val="single" w:color="C7CFDD" w:sz="2"/>
          <w:right w:val="single" w:color="C7CFDD" w:sz="2"/>
          <w:insideH w:val="single" w:color="DDE3EC" w:sz="2"/>
          <w:insideV w:val="single" w:color="DDE3EC" w:sz="2"/>
        </w:tblBorders>
      </w:tblPr>
      <w:tblGrid>
        <w:gridCol w:w="100"/>
        <w:gridCol w:w="100"/>
        <w:gridCol w:w="100"/>
      </w:tblGrid>
      <w:tr>
        <w:trPr>
          <w:tblHeader/>
        </w:trPr>
        <w:tc>
          <w:tcPr>
            <w:shd w:fill="1B2A4A" w:val="clear"/>
            <w:tcMar>
              <w:top w:type="dxa" w:w="90"/>
              <w:left w:type="dxa" w:w="110"/>
              <w:bottom w:type="dxa" w:w="90"/>
              <w:right w:type="dxa" w:w="110"/>
            </w:tcMar>
            <w:vAlign w:val="center"/>
          </w:tcPr>
          <w:p>
            <w:r>
              <w:rPr>
                <w:b/>
                <w:bCs/>
                <w:color w:val="FFFFFF"/>
                <w:sz w:val="21"/>
                <w:szCs w:val="21"/>
              </w:rPr>
              <w:t xml:space="preserve">Judging Dimension</w:t>
            </w:r>
          </w:p>
        </w:tc>
        <w:tc>
          <w:tcPr>
            <w:shd w:fill="1B2A4A" w:val="clear"/>
            <w:tcMar>
              <w:top w:type="dxa" w:w="90"/>
              <w:left w:type="dxa" w:w="110"/>
              <w:bottom w:type="dxa" w:w="90"/>
              <w:right w:type="dxa" w:w="110"/>
            </w:tcMar>
            <w:vAlign w:val="center"/>
          </w:tcPr>
          <w:p>
            <w:r>
              <w:rPr>
                <w:b/>
                <w:bCs/>
                <w:color w:val="FFFFFF"/>
                <w:sz w:val="21"/>
                <w:szCs w:val="21"/>
              </w:rPr>
              <w:t xml:space="preserve">Score (/10)</w:t>
            </w:r>
          </w:p>
        </w:tc>
        <w:tc>
          <w:tcPr>
            <w:shd w:fill="1B2A4A" w:val="clear"/>
            <w:tcMar>
              <w:top w:type="dxa" w:w="90"/>
              <w:left w:type="dxa" w:w="110"/>
              <w:bottom w:type="dxa" w:w="90"/>
              <w:right w:type="dxa" w:w="110"/>
            </w:tcMar>
            <w:vAlign w:val="center"/>
          </w:tcPr>
          <w:p>
            <w:r>
              <w:rPr>
                <w:b/>
                <w:bCs/>
                <w:color w:val="FFFFFF"/>
                <w:sz w:val="21"/>
                <w:szCs w:val="21"/>
              </w:rPr>
              <w:t xml:space="preserve">Examiner's Note</w:t>
            </w:r>
          </w:p>
        </w:tc>
      </w:tr>
      <w:tr>
        <w:tc>
          <w:tcPr>
            <w:tcW w:type="dxa" w:w="3200"/>
            <w:shd w:fill="FFFFFF" w:val="clear"/>
            <w:tcMar>
              <w:top w:type="dxa" w:w="80"/>
              <w:left w:type="dxa" w:w="110"/>
              <w:bottom w:type="dxa" w:w="80"/>
              <w:right w:type="dxa" w:w="110"/>
            </w:tcMar>
          </w:tcPr>
          <w:p>
            <w:r>
              <w:rPr>
                <w:sz w:val="21"/>
                <w:szCs w:val="21"/>
              </w:rPr>
              <w:t xml:space="preserve">Innovation &amp; Uniqueness</w:t>
            </w:r>
          </w:p>
        </w:tc>
        <w:tc>
          <w:tcPr>
            <w:tcW w:type="dxa" w:w="1400"/>
            <w:shd w:fill="FFFFFF" w:val="clear"/>
            <w:tcMar>
              <w:top w:type="dxa" w:w="80"/>
              <w:left w:type="dxa" w:w="110"/>
              <w:bottom w:type="dxa" w:w="80"/>
              <w:right w:type="dxa" w:w="110"/>
            </w:tcMar>
          </w:tcPr>
          <w:p>
            <w:r>
              <w:rPr>
                <w:b/>
                <w:bCs/>
                <w:color w:val="3F5C82"/>
                <w:sz w:val="21"/>
                <w:szCs w:val="21"/>
              </w:rPr>
              <w:t xml:space="preserve">8</w:t>
            </w:r>
          </w:p>
        </w:tc>
        <w:tc>
          <w:tcPr>
            <w:tcW w:type="dxa" w:w="4470"/>
            <w:shd w:fill="FFFFFF" w:val="clear"/>
            <w:tcMar>
              <w:top w:type="dxa" w:w="80"/>
              <w:left w:type="dxa" w:w="110"/>
              <w:bottom w:type="dxa" w:w="80"/>
              <w:right w:type="dxa" w:w="110"/>
            </w:tcMar>
          </w:tcPr>
          <w:p>
            <w:r>
              <w:rPr>
                <w:sz w:val="21"/>
                <w:szCs w:val="21"/>
              </w:rPr>
              <w:t xml:space="preserve">Concurrent tracks + AI-assisted redaction + blockchain is a genuinely distinctive combination for this problem space — but the pitch doesn't yet say why this beats existing CCTNS/e-Courts infrastructure.</w:t>
            </w:r>
          </w:p>
        </w:tc>
      </w:tr>
      <w:tr>
        <w:tc>
          <w:tcPr>
            <w:tcW w:type="dxa" w:w="3200"/>
            <w:shd w:fill="EEF2F8" w:val="clear"/>
            <w:tcMar>
              <w:top w:type="dxa" w:w="80"/>
              <w:left w:type="dxa" w:w="110"/>
              <w:bottom w:type="dxa" w:w="80"/>
              <w:right w:type="dxa" w:w="110"/>
            </w:tcMar>
          </w:tcPr>
          <w:p>
            <w:r>
              <w:rPr>
                <w:sz w:val="21"/>
                <w:szCs w:val="21"/>
              </w:rPr>
              <w:t xml:space="preserve">Technical Depth</w:t>
            </w:r>
          </w:p>
        </w:tc>
        <w:tc>
          <w:tcPr>
            <w:tcW w:type="dxa" w:w="1400"/>
            <w:shd w:fill="EEF2F8" w:val="clear"/>
            <w:tcMar>
              <w:top w:type="dxa" w:w="80"/>
              <w:left w:type="dxa" w:w="110"/>
              <w:bottom w:type="dxa" w:w="80"/>
              <w:right w:type="dxa" w:w="110"/>
            </w:tcMar>
          </w:tcPr>
          <w:p>
            <w:r>
              <w:rPr>
                <w:b/>
                <w:bCs/>
                <w:color w:val="3F5C82"/>
                <w:sz w:val="21"/>
                <w:szCs w:val="21"/>
              </w:rPr>
              <w:t xml:space="preserve">8</w:t>
            </w:r>
          </w:p>
        </w:tc>
        <w:tc>
          <w:tcPr>
            <w:tcW w:type="dxa" w:w="4470"/>
            <w:shd w:fill="EEF2F8" w:val="clear"/>
            <w:tcMar>
              <w:top w:type="dxa" w:w="80"/>
              <w:left w:type="dxa" w:w="110"/>
              <w:bottom w:type="dxa" w:w="80"/>
              <w:right w:type="dxa" w:w="110"/>
            </w:tcMar>
          </w:tcPr>
          <w:p>
            <w:r>
              <w:rPr>
                <w:sz w:val="21"/>
                <w:szCs w:val="21"/>
              </w:rPr>
              <w:t xml:space="preserve">Deepest artifact-level detail I've seen at this stage (connection-level failure modes, idempotency reasoning) — undercut by the repo not actually containing what the docs point to.</w:t>
            </w:r>
          </w:p>
        </w:tc>
      </w:tr>
      <w:tr>
        <w:tc>
          <w:tcPr>
            <w:tcW w:type="dxa" w:w="3200"/>
            <w:shd w:fill="FFFFFF" w:val="clear"/>
            <w:tcMar>
              <w:top w:type="dxa" w:w="80"/>
              <w:left w:type="dxa" w:w="110"/>
              <w:bottom w:type="dxa" w:w="80"/>
              <w:right w:type="dxa" w:w="110"/>
            </w:tcMar>
          </w:tcPr>
          <w:p>
            <w:r>
              <w:rPr>
                <w:sz w:val="21"/>
                <w:szCs w:val="21"/>
              </w:rPr>
              <w:t xml:space="preserve">Security Posture</w:t>
            </w:r>
          </w:p>
        </w:tc>
        <w:tc>
          <w:tcPr>
            <w:tcW w:type="dxa" w:w="1400"/>
            <w:shd w:fill="FFFFFF" w:val="clear"/>
            <w:tcMar>
              <w:top w:type="dxa" w:w="80"/>
              <w:left w:type="dxa" w:w="110"/>
              <w:bottom w:type="dxa" w:w="80"/>
              <w:right w:type="dxa" w:w="110"/>
            </w:tcMar>
          </w:tcPr>
          <w:p>
            <w:r>
              <w:rPr>
                <w:b/>
                <w:bCs/>
                <w:color w:val="3F5C82"/>
                <w:sz w:val="21"/>
                <w:szCs w:val="21"/>
              </w:rPr>
              <w:t xml:space="preserve">5</w:t>
            </w:r>
          </w:p>
        </w:tc>
        <w:tc>
          <w:tcPr>
            <w:tcW w:type="dxa" w:w="4470"/>
            <w:shd w:fill="FFFFFF" w:val="clear"/>
            <w:tcMar>
              <w:top w:type="dxa" w:w="80"/>
              <w:left w:type="dxa" w:w="110"/>
              <w:bottom w:type="dxa" w:w="80"/>
              <w:right w:type="dxa" w:w="110"/>
            </w:tcMar>
          </w:tcPr>
          <w:p>
            <w:r>
              <w:rPr>
                <w:sz w:val="21"/>
                <w:szCs w:val="21"/>
              </w:rPr>
              <w:t xml:space="preserve">Strong on redaction-audit security specifically; weak or silent on the basics a government legal system is judged hardest on — encryption specifics, key management, input validation, DPDP Act compliance.</w:t>
            </w:r>
          </w:p>
        </w:tc>
      </w:tr>
      <w:tr>
        <w:tc>
          <w:tcPr>
            <w:tcW w:type="dxa" w:w="3200"/>
            <w:shd w:fill="EEF2F8" w:val="clear"/>
            <w:tcMar>
              <w:top w:type="dxa" w:w="80"/>
              <w:left w:type="dxa" w:w="110"/>
              <w:bottom w:type="dxa" w:w="80"/>
              <w:right w:type="dxa" w:w="110"/>
            </w:tcMar>
          </w:tcPr>
          <w:p>
            <w:r>
              <w:rPr>
                <w:sz w:val="21"/>
                <w:szCs w:val="21"/>
              </w:rPr>
              <w:t xml:space="preserve">Completeness / Repo Readiness</w:t>
            </w:r>
          </w:p>
        </w:tc>
        <w:tc>
          <w:tcPr>
            <w:tcW w:type="dxa" w:w="1400"/>
            <w:shd w:fill="EEF2F8" w:val="clear"/>
            <w:tcMar>
              <w:top w:type="dxa" w:w="80"/>
              <w:left w:type="dxa" w:w="110"/>
              <w:bottom w:type="dxa" w:w="80"/>
              <w:right w:type="dxa" w:w="110"/>
            </w:tcMar>
          </w:tcPr>
          <w:p>
            <w:r>
              <w:rPr>
                <w:b/>
                <w:bCs/>
                <w:color w:val="3F5C82"/>
                <w:sz w:val="21"/>
                <w:szCs w:val="21"/>
              </w:rPr>
              <w:t xml:space="preserve">4</w:t>
            </w:r>
          </w:p>
        </w:tc>
        <w:tc>
          <w:tcPr>
            <w:tcW w:type="dxa" w:w="4470"/>
            <w:shd w:fill="EEF2F8" w:val="clear"/>
            <w:tcMar>
              <w:top w:type="dxa" w:w="80"/>
              <w:left w:type="dxa" w:w="110"/>
              <w:bottom w:type="dxa" w:w="80"/>
              <w:right w:type="dxa" w:w="110"/>
            </w:tcMar>
          </w:tcPr>
          <w:p>
            <w:r>
              <w:rPr>
                <w:sz w:val="21"/>
                <w:szCs w:val="21"/>
              </w:rPr>
              <w:t xml:space="preserve">The single most damaging finding in this report: core sections point to a file that no longer exists in the repository, and there is currently no code at all, not even the scaffold.</w:t>
            </w:r>
          </w:p>
        </w:tc>
      </w:tr>
      <w:tr>
        <w:tc>
          <w:tcPr>
            <w:tcW w:type="dxa" w:w="3200"/>
            <w:shd w:fill="FFFFFF" w:val="clear"/>
            <w:tcMar>
              <w:top w:type="dxa" w:w="80"/>
              <w:left w:type="dxa" w:w="110"/>
              <w:bottom w:type="dxa" w:w="80"/>
              <w:right w:type="dxa" w:w="110"/>
            </w:tcMar>
          </w:tcPr>
          <w:p>
            <w:r>
              <w:rPr>
                <w:sz w:val="21"/>
                <w:szCs w:val="21"/>
              </w:rPr>
              <w:t xml:space="preserve">Scalability &amp; Real-World Fit</w:t>
            </w:r>
          </w:p>
        </w:tc>
        <w:tc>
          <w:tcPr>
            <w:tcW w:type="dxa" w:w="1400"/>
            <w:shd w:fill="FFFFFF" w:val="clear"/>
            <w:tcMar>
              <w:top w:type="dxa" w:w="80"/>
              <w:left w:type="dxa" w:w="110"/>
              <w:bottom w:type="dxa" w:w="80"/>
              <w:right w:type="dxa" w:w="110"/>
            </w:tcMar>
          </w:tcPr>
          <w:p>
            <w:r>
              <w:rPr>
                <w:b/>
                <w:bCs/>
                <w:color w:val="3F5C82"/>
                <w:sz w:val="21"/>
                <w:szCs w:val="21"/>
              </w:rPr>
              <w:t xml:space="preserve">5</w:t>
            </w:r>
          </w:p>
        </w:tc>
        <w:tc>
          <w:tcPr>
            <w:tcW w:type="dxa" w:w="4470"/>
            <w:shd w:fill="FFFFFF" w:val="clear"/>
            <w:tcMar>
              <w:top w:type="dxa" w:w="80"/>
              <w:left w:type="dxa" w:w="110"/>
              <w:bottom w:type="dxa" w:w="80"/>
              <w:right w:type="dxa" w:w="110"/>
            </w:tcMar>
          </w:tcPr>
          <w:p>
            <w:r>
              <w:rPr>
                <w:sz w:val="21"/>
                <w:szCs w:val="21"/>
              </w:rPr>
              <w:t xml:space="preserve">MVP scoping is honest and well-justified for a demo, but the pitch has no stated answer for offline/low-connectivity police stations, mobile/field use, or multi-language support — all of which SIH panels in this domain ask about.</w:t>
            </w:r>
          </w:p>
        </w:tc>
      </w:tr>
      <w:tr>
        <w:tc>
          <w:tcPr>
            <w:tcW w:type="dxa" w:w="3200"/>
            <w:shd w:fill="EEF2F8" w:val="clear"/>
            <w:tcMar>
              <w:top w:type="dxa" w:w="80"/>
              <w:left w:type="dxa" w:w="110"/>
              <w:bottom w:type="dxa" w:w="80"/>
              <w:right w:type="dxa" w:w="110"/>
            </w:tcMar>
          </w:tcPr>
          <w:p>
            <w:r>
              <w:rPr>
                <w:sz w:val="21"/>
                <w:szCs w:val="21"/>
              </w:rPr>
              <w:t xml:space="preserve">Presentation &amp; Demo Readiness</w:t>
            </w:r>
          </w:p>
        </w:tc>
        <w:tc>
          <w:tcPr>
            <w:tcW w:type="dxa" w:w="1400"/>
            <w:shd w:fill="EEF2F8" w:val="clear"/>
            <w:tcMar>
              <w:top w:type="dxa" w:w="80"/>
              <w:left w:type="dxa" w:w="110"/>
              <w:bottom w:type="dxa" w:w="80"/>
              <w:right w:type="dxa" w:w="110"/>
            </w:tcMar>
          </w:tcPr>
          <w:p>
            <w:r>
              <w:rPr>
                <w:b/>
                <w:bCs/>
                <w:color w:val="3F5C82"/>
                <w:sz w:val="21"/>
                <w:szCs w:val="21"/>
              </w:rPr>
              <w:t xml:space="preserve">6</w:t>
            </w:r>
          </w:p>
        </w:tc>
        <w:tc>
          <w:tcPr>
            <w:tcW w:type="dxa" w:w="4470"/>
            <w:shd w:fill="EEF2F8" w:val="clear"/>
            <w:tcMar>
              <w:top w:type="dxa" w:w="80"/>
              <w:left w:type="dxa" w:w="110"/>
              <w:bottom w:type="dxa" w:w="80"/>
              <w:right w:type="dxa" w:w="110"/>
            </w:tcMar>
          </w:tcPr>
          <w:p>
            <w:r>
              <w:rPr>
                <w:sz w:val="21"/>
                <w:szCs w:val="21"/>
              </w:rPr>
              <w:t xml:space="preserve">The material to build a strong pitch exists, but it's currently written in engineering-audit voice (heavy on caveats) rather than a judge-facing narrative, and no demo script or live-tamper-proof moment is planned.</w:t>
            </w:r>
          </w:p>
        </w:tc>
      </w:tr>
    </w:tbl>
    <w:p>
      <w:r>
        <w:br w:type="page"/>
      </w:r>
    </w:p>
    <w:p>
      <w:pPr>
        <w:pStyle w:val="Heading1"/>
        <w:spacing w:after="180" w:before="420"/>
      </w:pPr>
      <w:r>
        <w:rPr>
          <w:rFonts w:ascii="Cambria" w:cs="Cambria" w:eastAsia="Cambria" w:hAnsi="Cambria"/>
          <w:b/>
          <w:bCs/>
          <w:color w:val="1B2A4A"/>
          <w:sz w:val="30"/>
          <w:szCs w:val="30"/>
        </w:rPr>
        <w:t xml:space="preserve">2. Critical / Structural Gaps — Repo Readiness</w:t>
      </w:r>
    </w:p>
    <w:p>
      <w:pPr>
        <w:spacing w:after="140"/>
      </w:pPr>
      <w:r>
        <w:rPr>
          <w:sz w:val="21"/>
          <w:szCs w:val="21"/>
        </w:rPr>
        <w:t xml:space="preserve">These are the findings a judge discovers by simply opening the repository, before evaluating a single design decision. They are listed first because they will color everything else a panel reads.</w:t>
      </w:r>
    </w:p>
    <w:p>
      <w:pPr>
        <w:shd w:fill="F8DEDA" w:val="clear"/>
        <w:spacing w:after="40" w:before="240"/>
      </w:pPr>
      <w:r>
        <w:rPr>
          <w:b/>
          <w:bCs/>
          <w:color w:val="A23B2E"/>
          <w:spacing w:val="10"/>
          <w:sz w:val="18"/>
          <w:szCs w:val="18"/>
        </w:rPr>
        <w:t xml:space="preserve">CRITICAL</w:t>
      </w:r>
      <w:r>
        <w:rPr>
          <w:i/>
          <w:iCs/>
          <w:color w:val="5A6474"/>
          <w:sz w:val="17"/>
          <w:szCs w:val="17"/>
        </w:rPr>
        <w:t xml:space="preserve">   #1  ·  Repo Integrity</w:t>
      </w:r>
    </w:p>
    <w:p>
      <w:pPr>
        <w:spacing w:after="100"/>
      </w:pPr>
      <w:r>
        <w:rPr>
          <w:rFonts w:ascii="Cambria" w:cs="Cambria" w:eastAsia="Cambria" w:hAnsi="Cambria"/>
          <w:b/>
          <w:bCs/>
          <w:color w:val="1B2A4A"/>
          <w:sz w:val="24"/>
          <w:szCs w:val="24"/>
        </w:rPr>
        <w:t xml:space="preserve">SYSTEM_DESIGN.md references a file that no longer exists in the repo</w:t>
      </w:r>
    </w:p>
    <w:p>
      <w:pPr>
        <w:spacing w:after="140"/>
      </w:pPr>
      <w:r>
        <w:rPr>
          <w:sz w:val="21"/>
          <w:szCs w:val="21"/>
        </w:rPr>
        <w:t xml:space="preserve">Six sections of the current document — Interface Contracts (the full endpoint table), State Ownership Map, Environments, Domain Overlays Applied, Concepts Checklist, and the Arrow Specifications detail behind the System Connections table — all say some version of "reused as-is from LegaDoc_v2.md." LegaDoc_v2.md was removed from the repository in an earlier cleanup pass and no longer exists anywhere in it.</w:t>
      </w:r>
    </w:p>
    <w:p>
      <w:pPr>
        <w:spacing w:after="100"/>
      </w:pPr>
      <w:r>
        <w:rPr>
          <w:b/>
          <w:bCs/>
          <w:color w:val="3F5C82"/>
          <w:sz w:val="21"/>
          <w:szCs w:val="21"/>
        </w:rPr>
        <w:t xml:space="preserve">Why a judge catches this: </w:t>
      </w:r>
      <w:r>
        <w:rPr>
          <w:sz w:val="21"/>
          <w:szCs w:val="21"/>
        </w:rPr>
        <w:t xml:space="preserve">Anyone who clicks that link, or greps the repo for the file, gets a dead reference. For a document whose whole pitch is rigor and completeness, a dangling pointer to core content (the actual API contract!) is the single fastest way to lose credibility with a technical judge.</w:t>
      </w:r>
    </w:p>
    <w:p>
      <w:pPr>
        <w:spacing w:after="100"/>
      </w:pPr>
      <w:r>
        <w:rPr>
          <w:b/>
          <w:bCs/>
          <w:color w:val="3F5C82"/>
          <w:sz w:val="21"/>
          <w:szCs w:val="21"/>
        </w:rPr>
        <w:t xml:space="preserve">Recommended fix: </w:t>
      </w:r>
      <w:r>
        <w:rPr>
          <w:sz w:val="21"/>
          <w:szCs w:val="21"/>
        </w:rPr>
        <w:t xml:space="preserve">Either restore LegaDoc_v2.md to the repo, or — better — inline the six referenced sections' actual content directly into SYSTEM_DESIGN.md so the document is self-contained and the repo has no external dependency on a deleted file.</w:t>
      </w:r>
    </w:p>
    <w:p>
      <w:pPr>
        <w:shd w:fill="F8DEDA" w:val="clear"/>
        <w:spacing w:after="40" w:before="240"/>
      </w:pPr>
      <w:r>
        <w:rPr>
          <w:b/>
          <w:bCs/>
          <w:color w:val="A23B2E"/>
          <w:spacing w:val="10"/>
          <w:sz w:val="18"/>
          <w:szCs w:val="18"/>
        </w:rPr>
        <w:t xml:space="preserve">CRITICAL</w:t>
      </w:r>
      <w:r>
        <w:rPr>
          <w:i/>
          <w:iCs/>
          <w:color w:val="5A6474"/>
          <w:sz w:val="17"/>
          <w:szCs w:val="17"/>
        </w:rPr>
        <w:t xml:space="preserve">   #2  ·  Repo Integrity</w:t>
      </w:r>
    </w:p>
    <w:p>
      <w:pPr>
        <w:spacing w:after="100"/>
      </w:pPr>
      <w:r>
        <w:rPr>
          <w:rFonts w:ascii="Cambria" w:cs="Cambria" w:eastAsia="Cambria" w:hAnsi="Cambria"/>
          <w:b/>
          <w:bCs/>
          <w:color w:val="1B2A4A"/>
          <w:sz w:val="24"/>
          <w:szCs w:val="24"/>
        </w:rPr>
        <w:t xml:space="preserve">The repository currently contains no code at all</w:t>
      </w:r>
    </w:p>
    <w:p>
      <w:pPr>
        <w:spacing w:after="140"/>
      </w:pPr>
      <w:r>
        <w:rPr>
          <w:sz w:val="21"/>
          <w:szCs w:val="21"/>
        </w:rPr>
        <w:t xml:space="preserve">As it stands, the repo holds two documents (SYSTEM_DESIGN.md and its Word rendering) and nothing else — no scaffold, no starter files, no working prototype artifact.</w:t>
      </w:r>
    </w:p>
    <w:p>
      <w:pPr>
        <w:spacing w:after="100"/>
      </w:pPr>
      <w:r>
        <w:rPr>
          <w:b/>
          <w:bCs/>
          <w:color w:val="3F5C82"/>
          <w:sz w:val="21"/>
          <w:szCs w:val="21"/>
        </w:rPr>
        <w:t xml:space="preserve">Why a judge catches this: </w:t>
      </w:r>
      <w:r>
        <w:rPr>
          <w:sz w:val="21"/>
          <w:szCs w:val="21"/>
        </w:rPr>
        <w:t xml:space="preserve">SIH's later rounds (and even internal college-level screening) generally expect to see a working, even partial, prototype — not only design documentation. A repo with zero code at the stage this project claims to be at ("capstone," "1-week build") reads as earlier-stage than the documentation implies.</w:t>
      </w:r>
    </w:p>
    <w:p>
      <w:pPr>
        <w:spacing w:after="100"/>
      </w:pPr>
      <w:r>
        <w:rPr>
          <w:b/>
          <w:bCs/>
          <w:color w:val="3F5C82"/>
          <w:sz w:val="21"/>
          <w:szCs w:val="21"/>
        </w:rPr>
        <w:t xml:space="preserve">Recommended fix: </w:t>
      </w:r>
      <w:r>
        <w:rPr>
          <w:sz w:val="21"/>
          <w:szCs w:val="21"/>
        </w:rPr>
        <w:t xml:space="preserve">At minimum, restore the blank scaffold matching the container diagram so the repo's structure visibly matches the architecture. Ideally, get the Fabric hash-write milestone (already identified as the first build step) actually running and committed before any judged round.</w:t>
      </w:r>
    </w:p>
    <w:p>
      <w:pPr>
        <w:shd w:fill="FBE8D6" w:val="clear"/>
        <w:spacing w:after="40" w:before="240"/>
      </w:pPr>
      <w:r>
        <w:rPr>
          <w:b/>
          <w:bCs/>
          <w:color w:val="B5651D"/>
          <w:spacing w:val="10"/>
          <w:sz w:val="18"/>
          <w:szCs w:val="18"/>
        </w:rPr>
        <w:t xml:space="preserve">HIGH</w:t>
      </w:r>
      <w:r>
        <w:rPr>
          <w:i/>
          <w:iCs/>
          <w:color w:val="5A6474"/>
          <w:sz w:val="17"/>
          <w:szCs w:val="17"/>
        </w:rPr>
        <w:t xml:space="preserve">   #3  ·  Repo Integrity</w:t>
      </w:r>
    </w:p>
    <w:p>
      <w:pPr>
        <w:spacing w:after="100"/>
      </w:pPr>
      <w:r>
        <w:rPr>
          <w:rFonts w:ascii="Cambria" w:cs="Cambria" w:eastAsia="Cambria" w:hAnsi="Cambria"/>
          <w:b/>
          <w:bCs/>
          <w:color w:val="1B2A4A"/>
          <w:sz w:val="24"/>
          <w:szCs w:val="24"/>
        </w:rPr>
        <w:t xml:space="preserve">No root README</w:t>
      </w:r>
    </w:p>
    <w:p>
      <w:pPr>
        <w:spacing w:after="140"/>
      </w:pPr>
      <w:r>
        <w:rPr>
          <w:sz w:val="21"/>
          <w:szCs w:val="21"/>
        </w:rPr>
        <w:t xml:space="preserve">There is no README.md explaining what the two files are, which one to read first, what's built versus planned, or where a demo video/link lives.</w:t>
      </w:r>
    </w:p>
    <w:p>
      <w:pPr>
        <w:spacing w:after="100"/>
      </w:pPr>
      <w:r>
        <w:rPr>
          <w:b/>
          <w:bCs/>
          <w:color w:val="3F5C82"/>
          <w:sz w:val="21"/>
          <w:szCs w:val="21"/>
        </w:rPr>
        <w:t xml:space="preserve">Why a judge catches this: </w:t>
      </w:r>
      <w:r>
        <w:rPr>
          <w:sz w:val="21"/>
          <w:szCs w:val="21"/>
        </w:rPr>
        <w:t xml:space="preserve">A README is the first thing anyone opens on a repository. Its absence forces a judge to guess the entry point, which wastes the limited attention a panel gives each submission.</w:t>
      </w:r>
    </w:p>
    <w:p>
      <w:pPr>
        <w:spacing w:after="100"/>
      </w:pPr>
      <w:r>
        <w:rPr>
          <w:b/>
          <w:bCs/>
          <w:color w:val="3F5C82"/>
          <w:sz w:val="21"/>
          <w:szCs w:val="21"/>
        </w:rPr>
        <w:t xml:space="preserve">Recommended fix: </w:t>
      </w:r>
      <w:r>
        <w:rPr>
          <w:sz w:val="21"/>
          <w:szCs w:val="21"/>
        </w:rPr>
        <w:t xml:space="preserve">A short README: one paragraph on what the system does, a pointer to SYSTEM_DESIGN.md for engineers and the .docx for a readable version, current build status, and a link to any demo video or live deployment.</w:t>
      </w:r>
    </w:p>
    <w:p>
      <w:r>
        <w:br w:type="page"/>
      </w:r>
    </w:p>
    <w:p>
      <w:pPr>
        <w:pStyle w:val="Heading1"/>
        <w:spacing w:after="180" w:before="420"/>
      </w:pPr>
      <w:r>
        <w:rPr>
          <w:rFonts w:ascii="Cambria" w:cs="Cambria" w:eastAsia="Cambria" w:hAnsi="Cambria"/>
          <w:b/>
          <w:bCs/>
          <w:color w:val="1B2A4A"/>
          <w:sz w:val="30"/>
          <w:szCs w:val="30"/>
        </w:rPr>
        <w:t xml:space="preserve">3. Technical &amp; Architecture Gaps</w:t>
      </w:r>
    </w:p>
    <w:p>
      <w:pPr>
        <w:shd w:fill="FBE8D6" w:val="clear"/>
        <w:spacing w:after="40" w:before="240"/>
      </w:pPr>
      <w:r>
        <w:rPr>
          <w:b/>
          <w:bCs/>
          <w:color w:val="B5651D"/>
          <w:spacing w:val="10"/>
          <w:sz w:val="18"/>
          <w:szCs w:val="18"/>
        </w:rPr>
        <w:t xml:space="preserve">HIGH</w:t>
      </w:r>
      <w:r>
        <w:rPr>
          <w:i/>
          <w:iCs/>
          <w:color w:val="5A6474"/>
          <w:sz w:val="17"/>
          <w:szCs w:val="17"/>
        </w:rPr>
        <w:t xml:space="preserve">   #4  ·  Technical</w:t>
      </w:r>
    </w:p>
    <w:p>
      <w:pPr>
        <w:spacing w:after="100"/>
      </w:pPr>
      <w:r>
        <w:rPr>
          <w:rFonts w:ascii="Cambria" w:cs="Cambria" w:eastAsia="Cambria" w:hAnsi="Cambria"/>
          <w:b/>
          <w:bCs/>
          <w:color w:val="1B2A4A"/>
          <w:sz w:val="24"/>
          <w:szCs w:val="24"/>
        </w:rPr>
        <w:t xml:space="preserve">No stated encryption specifics</w:t>
      </w:r>
    </w:p>
    <w:p>
      <w:pPr>
        <w:spacing w:after="140"/>
      </w:pPr>
      <w:r>
        <w:rPr>
          <w:sz w:val="21"/>
          <w:szCs w:val="21"/>
        </w:rPr>
        <w:t xml:space="preserve">"Encryption at rest" and "TLS" are asserted, but nowhere in the currently-accessible design is it stated which encryption (AES-256? field-level encryption of specific PII columns versus whole-disk?), or how keys for that encryption are managed.</w:t>
      </w:r>
    </w:p>
    <w:p>
      <w:pPr>
        <w:spacing w:after="100"/>
      </w:pPr>
      <w:r>
        <w:rPr>
          <w:b/>
          <w:bCs/>
          <w:color w:val="3F5C82"/>
          <w:sz w:val="21"/>
          <w:szCs w:val="21"/>
        </w:rPr>
        <w:t xml:space="preserve">Why a judge catches this: </w:t>
      </w:r>
      <w:r>
        <w:rPr>
          <w:sz w:val="21"/>
          <w:szCs w:val="21"/>
        </w:rPr>
        <w:t xml:space="preserve">For a system explicitly built to handle victim, medical, and financial data, "we encrypt it" without specifics is exactly the kind of answer that invites a follow-up question the team should already have a crisp answer for.</w:t>
      </w:r>
    </w:p>
    <w:p>
      <w:pPr>
        <w:spacing w:after="100"/>
      </w:pPr>
      <w:r>
        <w:rPr>
          <w:b/>
          <w:bCs/>
          <w:color w:val="3F5C82"/>
          <w:sz w:val="21"/>
          <w:szCs w:val="21"/>
        </w:rPr>
        <w:t xml:space="preserve">Recommended fix: </w:t>
      </w:r>
      <w:r>
        <w:rPr>
          <w:sz w:val="21"/>
          <w:szCs w:val="21"/>
        </w:rPr>
        <w:t xml:space="preserve">State the concrete mechanism: e.g., AES-256 at the storage layer via MinIO's server-side encryption, plus application-level field encryption for a named list of the most sensitive columns, with keys held in a named secrets manager (not just ".env").</w:t>
      </w:r>
    </w:p>
    <w:p>
      <w:pPr>
        <w:shd w:fill="FBE8D6" w:val="clear"/>
        <w:spacing w:after="40" w:before="240"/>
      </w:pPr>
      <w:r>
        <w:rPr>
          <w:b/>
          <w:bCs/>
          <w:color w:val="B5651D"/>
          <w:spacing w:val="10"/>
          <w:sz w:val="18"/>
          <w:szCs w:val="18"/>
        </w:rPr>
        <w:t xml:space="preserve">HIGH</w:t>
      </w:r>
      <w:r>
        <w:rPr>
          <w:i/>
          <w:iCs/>
          <w:color w:val="5A6474"/>
          <w:sz w:val="17"/>
          <w:szCs w:val="17"/>
        </w:rPr>
        <w:t xml:space="preserve">   #5  ·  Technical</w:t>
      </w:r>
    </w:p>
    <w:p>
      <w:pPr>
        <w:spacing w:after="100"/>
      </w:pPr>
      <w:r>
        <w:rPr>
          <w:rFonts w:ascii="Cambria" w:cs="Cambria" w:eastAsia="Cambria" w:hAnsi="Cambria"/>
          <w:b/>
          <w:bCs/>
          <w:color w:val="1B2A4A"/>
          <w:sz w:val="24"/>
          <w:szCs w:val="24"/>
        </w:rPr>
        <w:t xml:space="preserve">No key-management or credential-rotation story</w:t>
      </w:r>
    </w:p>
    <w:p>
      <w:pPr>
        <w:spacing w:after="140"/>
      </w:pPr>
      <w:r>
        <w:rPr>
          <w:sz w:val="21"/>
          <w:szCs w:val="21"/>
        </w:rPr>
        <w:t xml:space="preserve">Fabric MSP signing identities, DB credentials, and service-to-service auth are mentioned as existing, but there is no description of where they're stored in anything beyond dev (".env, gitignored"), how they're rotated, or what happens if one org's signing key is compromised.</w:t>
      </w:r>
    </w:p>
    <w:p>
      <w:pPr>
        <w:spacing w:after="100"/>
      </w:pPr>
      <w:r>
        <w:rPr>
          <w:b/>
          <w:bCs/>
          <w:color w:val="3F5C82"/>
          <w:sz w:val="21"/>
          <w:szCs w:val="21"/>
        </w:rPr>
        <w:t xml:space="preserve">Why a judge catches this: </w:t>
      </w:r>
      <w:r>
        <w:rPr>
          <w:sz w:val="21"/>
          <w:szCs w:val="21"/>
        </w:rPr>
        <w:t xml:space="preserve">"What happens if a police station's Fabric key leaks" is a natural, high-value question for a blockchain-based system, and currently has no answer.</w:t>
      </w:r>
    </w:p>
    <w:p>
      <w:pPr>
        <w:spacing w:after="100"/>
      </w:pPr>
      <w:r>
        <w:rPr>
          <w:b/>
          <w:bCs/>
          <w:color w:val="3F5C82"/>
          <w:sz w:val="21"/>
          <w:szCs w:val="21"/>
        </w:rPr>
        <w:t xml:space="preserve">Recommended fix: </w:t>
      </w:r>
      <w:r>
        <w:rPr>
          <w:sz w:val="21"/>
          <w:szCs w:val="21"/>
        </w:rPr>
        <w:t xml:space="preserve">Name a secrets manager (even a LATER-tier answer like "HashiCorp Vault / cloud KMS in production" is fine) and describe the revocation path: how a compromised org identity gets revoked on the Fabric network without taking down the whole consortium.</w:t>
      </w:r>
    </w:p>
    <w:p>
      <w:pPr>
        <w:shd w:fill="FBF3D9" w:val="clear"/>
        <w:spacing w:after="40" w:before="240"/>
      </w:pPr>
      <w:r>
        <w:rPr>
          <w:b/>
          <w:bCs/>
          <w:color w:val="8A6D1A"/>
          <w:spacing w:val="10"/>
          <w:sz w:val="18"/>
          <w:szCs w:val="18"/>
        </w:rPr>
        <w:t xml:space="preserve">MEDIUM</w:t>
      </w:r>
      <w:r>
        <w:rPr>
          <w:i/>
          <w:iCs/>
          <w:color w:val="5A6474"/>
          <w:sz w:val="17"/>
          <w:szCs w:val="17"/>
        </w:rPr>
        <w:t xml:space="preserve">   #6  ·  Technical</w:t>
      </w:r>
    </w:p>
    <w:p>
      <w:pPr>
        <w:spacing w:after="100"/>
      </w:pPr>
      <w:r>
        <w:rPr>
          <w:rFonts w:ascii="Cambria" w:cs="Cambria" w:eastAsia="Cambria" w:hAnsi="Cambria"/>
          <w:b/>
          <w:bCs/>
          <w:color w:val="1B2A4A"/>
          <w:sz w:val="24"/>
          <w:szCs w:val="24"/>
        </w:rPr>
        <w:t xml:space="preserve">No offline / low-connectivity story</w:t>
      </w:r>
    </w:p>
    <w:p>
      <w:pPr>
        <w:spacing w:after="140"/>
      </w:pPr>
      <w:r>
        <w:rPr>
          <w:sz w:val="21"/>
          <w:szCs w:val="21"/>
        </w:rPr>
        <w:t xml:space="preserve">The design assumes a live API call for every action. Many police stations, especially rural ones, have unreliable connectivity.</w:t>
      </w:r>
    </w:p>
    <w:p>
      <w:pPr>
        <w:spacing w:after="100"/>
      </w:pPr>
      <w:r>
        <w:rPr>
          <w:b/>
          <w:bCs/>
          <w:color w:val="3F5C82"/>
          <w:sz w:val="21"/>
          <w:szCs w:val="21"/>
        </w:rPr>
        <w:t xml:space="preserve">Why a judge catches this: </w:t>
      </w:r>
      <w:r>
        <w:rPr>
          <w:sz w:val="21"/>
          <w:szCs w:val="21"/>
        </w:rPr>
        <w:t xml:space="preserve">This is one of the most common ground-reality questions for any Indian govtech pitch — judges with domain exposure ask it almost reflexively.</w:t>
      </w:r>
    </w:p>
    <w:p>
      <w:pPr>
        <w:spacing w:after="100"/>
      </w:pPr>
      <w:r>
        <w:rPr>
          <w:b/>
          <w:bCs/>
          <w:color w:val="3F5C82"/>
          <w:sz w:val="21"/>
          <w:szCs w:val="21"/>
        </w:rPr>
        <w:t xml:space="preserve">Recommended fix: </w:t>
      </w:r>
      <w:r>
        <w:rPr>
          <w:sz w:val="21"/>
          <w:szCs w:val="21"/>
        </w:rPr>
        <w:t xml:space="preserve">At minimum, state it as an explicit LATER item with a plausible answer (e.g., a local write-ahead queue on the client that syncs when connectivity returns) rather than leaving it unaddressed.</w:t>
      </w:r>
    </w:p>
    <w:p>
      <w:pPr>
        <w:shd w:fill="FBF3D9" w:val="clear"/>
        <w:spacing w:after="40" w:before="240"/>
      </w:pPr>
      <w:r>
        <w:rPr>
          <w:b/>
          <w:bCs/>
          <w:color w:val="8A6D1A"/>
          <w:spacing w:val="10"/>
          <w:sz w:val="18"/>
          <w:szCs w:val="18"/>
        </w:rPr>
        <w:t xml:space="preserve">MEDIUM</w:t>
      </w:r>
      <w:r>
        <w:rPr>
          <w:i/>
          <w:iCs/>
          <w:color w:val="5A6474"/>
          <w:sz w:val="17"/>
          <w:szCs w:val="17"/>
        </w:rPr>
        <w:t xml:space="preserve">   #7  ·  Technical</w:t>
      </w:r>
    </w:p>
    <w:p>
      <w:pPr>
        <w:spacing w:after="100"/>
      </w:pPr>
      <w:r>
        <w:rPr>
          <w:rFonts w:ascii="Cambria" w:cs="Cambria" w:eastAsia="Cambria" w:hAnsi="Cambria"/>
          <w:b/>
          <w:bCs/>
          <w:color w:val="1B2A4A"/>
          <w:sz w:val="24"/>
          <w:szCs w:val="24"/>
        </w:rPr>
        <w:t xml:space="preserve">No mobile / field-use consideration</w:t>
      </w:r>
    </w:p>
    <w:p>
      <w:pPr>
        <w:spacing w:after="140"/>
      </w:pPr>
      <w:r>
        <w:rPr>
          <w:sz w:val="21"/>
          <w:szCs w:val="21"/>
        </w:rPr>
        <w:t xml:space="preserve">Only a React web SPA is designed. FIR intake and evidence photography realistically happen in the field, not at a desk.</w:t>
      </w:r>
    </w:p>
    <w:p>
      <w:pPr>
        <w:spacing w:after="100"/>
      </w:pPr>
      <w:r>
        <w:rPr>
          <w:b/>
          <w:bCs/>
          <w:color w:val="3F5C82"/>
          <w:sz w:val="21"/>
          <w:szCs w:val="21"/>
        </w:rPr>
        <w:t xml:space="preserve">Why a judge catches this: </w:t>
      </w:r>
      <w:r>
        <w:rPr>
          <w:sz w:val="21"/>
          <w:szCs w:val="21"/>
        </w:rPr>
        <w:t xml:space="preserve">A judge who has seen real police workflows will ask how an officer at a crime scene uses this before returning to a desktop.</w:t>
      </w:r>
    </w:p>
    <w:p>
      <w:pPr>
        <w:spacing w:after="100"/>
      </w:pPr>
      <w:r>
        <w:rPr>
          <w:b/>
          <w:bCs/>
          <w:color w:val="3F5C82"/>
          <w:sz w:val="21"/>
          <w:szCs w:val="21"/>
        </w:rPr>
        <w:t xml:space="preserve">Recommended fix: </w:t>
      </w:r>
      <w:r>
        <w:rPr>
          <w:sz w:val="21"/>
          <w:szCs w:val="21"/>
        </w:rPr>
        <w:t xml:space="preserve">State a mobile strategy even if deferred — a PWA-first responsive design, or a named LATER mobile app — rather than silence.</w:t>
      </w:r>
    </w:p>
    <w:p>
      <w:pPr>
        <w:shd w:fill="FBF3D9" w:val="clear"/>
        <w:spacing w:after="40" w:before="240"/>
      </w:pPr>
      <w:r>
        <w:rPr>
          <w:b/>
          <w:bCs/>
          <w:color w:val="8A6D1A"/>
          <w:spacing w:val="10"/>
          <w:sz w:val="18"/>
          <w:szCs w:val="18"/>
        </w:rPr>
        <w:t xml:space="preserve">MEDIUM</w:t>
      </w:r>
      <w:r>
        <w:rPr>
          <w:i/>
          <w:iCs/>
          <w:color w:val="5A6474"/>
          <w:sz w:val="17"/>
          <w:szCs w:val="17"/>
        </w:rPr>
        <w:t xml:space="preserve">   #8  ·  Technical</w:t>
      </w:r>
    </w:p>
    <w:p>
      <w:pPr>
        <w:spacing w:after="100"/>
      </w:pPr>
      <w:r>
        <w:rPr>
          <w:rFonts w:ascii="Cambria" w:cs="Cambria" w:eastAsia="Cambria" w:hAnsi="Cambria"/>
          <w:b/>
          <w:bCs/>
          <w:color w:val="1B2A4A"/>
          <w:sz w:val="24"/>
          <w:szCs w:val="24"/>
        </w:rPr>
        <w:t xml:space="preserve">No malware/format scanning on uploaded evidence</w:t>
      </w:r>
    </w:p>
    <w:p>
      <w:pPr>
        <w:spacing w:after="140"/>
      </w:pPr>
      <w:r>
        <w:rPr>
          <w:sz w:val="21"/>
          <w:szCs w:val="21"/>
        </w:rPr>
        <w:t xml:space="preserve">The upload pipeline (API → Object Storage) has no described virus/malware scanning or file-format validation step before a file is accepted from an external, sometimes low-trust, uploader.</w:t>
      </w:r>
    </w:p>
    <w:p>
      <w:pPr>
        <w:spacing w:after="100"/>
      </w:pPr>
      <w:r>
        <w:rPr>
          <w:b/>
          <w:bCs/>
          <w:color w:val="3F5C82"/>
          <w:sz w:val="21"/>
          <w:szCs w:val="21"/>
        </w:rPr>
        <w:t xml:space="preserve">Why a judge catches this: </w:t>
      </w:r>
      <w:r>
        <w:rPr>
          <w:sz w:val="21"/>
          <w:szCs w:val="21"/>
        </w:rPr>
        <w:t xml:space="preserve">A legal-evidence platform accepting arbitrary uploads from many organizations without any content scanning is a concrete, specific attack surface a technical judge will name directly.</w:t>
      </w:r>
    </w:p>
    <w:p>
      <w:pPr>
        <w:spacing w:after="100"/>
      </w:pPr>
      <w:r>
        <w:rPr>
          <w:b/>
          <w:bCs/>
          <w:color w:val="3F5C82"/>
          <w:sz w:val="21"/>
          <w:szCs w:val="21"/>
        </w:rPr>
        <w:t xml:space="preserve">Recommended fix: </w:t>
      </w:r>
      <w:r>
        <w:rPr>
          <w:sz w:val="21"/>
          <w:szCs w:val="21"/>
        </w:rPr>
        <w:t xml:space="preserve">Add a scanning step (e.g., ClamAV) between upload and storage finalization, and validate file type against declared MIME type before it enters the OCR/AI-Parser pipeline.</w:t>
      </w:r>
    </w:p>
    <w:p>
      <w:pPr>
        <w:shd w:fill="FBF3D9" w:val="clear"/>
        <w:spacing w:after="40" w:before="240"/>
      </w:pPr>
      <w:r>
        <w:rPr>
          <w:b/>
          <w:bCs/>
          <w:color w:val="8A6D1A"/>
          <w:spacing w:val="10"/>
          <w:sz w:val="18"/>
          <w:szCs w:val="18"/>
        </w:rPr>
        <w:t xml:space="preserve">MEDIUM</w:t>
      </w:r>
      <w:r>
        <w:rPr>
          <w:i/>
          <w:iCs/>
          <w:color w:val="5A6474"/>
          <w:sz w:val="17"/>
          <w:szCs w:val="17"/>
        </w:rPr>
        <w:t xml:space="preserve">   #9  ·  Technical</w:t>
      </w:r>
    </w:p>
    <w:p>
      <w:pPr>
        <w:spacing w:after="100"/>
      </w:pPr>
      <w:r>
        <w:rPr>
          <w:rFonts w:ascii="Cambria" w:cs="Cambria" w:eastAsia="Cambria" w:hAnsi="Cambria"/>
          <w:b/>
          <w:bCs/>
          <w:color w:val="1B2A4A"/>
          <w:sz w:val="24"/>
          <w:szCs w:val="24"/>
        </w:rPr>
        <w:t xml:space="preserve">No search or cross-case analytics capability</w:t>
      </w:r>
    </w:p>
    <w:p>
      <w:pPr>
        <w:spacing w:after="140"/>
      </w:pPr>
      <w:r>
        <w:rPr>
          <w:sz w:val="21"/>
          <w:szCs w:val="21"/>
        </w:rPr>
        <w:t xml:space="preserve">Beyond the one de-identified reporting view for Records/NCRB, there's no described search (by name, by document content, by date range) for an IO managing many cases, and no analytics capability beyond that single view.</w:t>
      </w:r>
    </w:p>
    <w:p>
      <w:pPr>
        <w:spacing w:after="100"/>
      </w:pPr>
      <w:r>
        <w:rPr>
          <w:b/>
          <w:bCs/>
          <w:color w:val="3F5C82"/>
          <w:sz w:val="21"/>
          <w:szCs w:val="21"/>
        </w:rPr>
        <w:t xml:space="preserve">Why a judge catches this: </w:t>
      </w:r>
      <w:r>
        <w:rPr>
          <w:sz w:val="21"/>
          <w:szCs w:val="21"/>
        </w:rPr>
        <w:t xml:space="preserve">"How does an officer find a case" is a basic usability question with no current answer beyond direct case-number lookup.</w:t>
      </w:r>
    </w:p>
    <w:p>
      <w:pPr>
        <w:spacing w:after="100"/>
      </w:pPr>
      <w:r>
        <w:rPr>
          <w:b/>
          <w:bCs/>
          <w:color w:val="3F5C82"/>
          <w:sz w:val="21"/>
          <w:szCs w:val="21"/>
        </w:rPr>
        <w:t xml:space="preserve">Recommended fix: </w:t>
      </w:r>
      <w:r>
        <w:rPr>
          <w:sz w:val="21"/>
          <w:szCs w:val="21"/>
        </w:rPr>
        <w:t xml:space="preserve">Name a search approach (even a LATER-tier Elasticsearch/Postgres full-text-search item) so the gap reads as scoped, not missed.</w:t>
      </w:r>
    </w:p>
    <w:p>
      <w:pPr>
        <w:shd w:fill="EDEEF1" w:val="clear"/>
        <w:spacing w:after="40" w:before="240"/>
      </w:pPr>
      <w:r>
        <w:rPr>
          <w:b/>
          <w:bCs/>
          <w:color w:val="5A6474"/>
          <w:spacing w:val="10"/>
          <w:sz w:val="18"/>
          <w:szCs w:val="18"/>
        </w:rPr>
        <w:t xml:space="preserve">LOW</w:t>
      </w:r>
      <w:r>
        <w:rPr>
          <w:i/>
          <w:iCs/>
          <w:color w:val="5A6474"/>
          <w:sz w:val="17"/>
          <w:szCs w:val="17"/>
        </w:rPr>
        <w:t xml:space="preserve">   #10  ·  Technical</w:t>
      </w:r>
    </w:p>
    <w:p>
      <w:pPr>
        <w:spacing w:after="100"/>
      </w:pPr>
      <w:r>
        <w:rPr>
          <w:rFonts w:ascii="Cambria" w:cs="Cambria" w:eastAsia="Cambria" w:hAnsi="Cambria"/>
          <w:b/>
          <w:bCs/>
          <w:color w:val="1B2A4A"/>
          <w:sz w:val="24"/>
          <w:szCs w:val="24"/>
        </w:rPr>
        <w:t xml:space="preserve">No CCTNS / e-Courts / ICJS integration story</w:t>
      </w:r>
    </w:p>
    <w:p>
      <w:pPr>
        <w:spacing w:after="140"/>
      </w:pPr>
      <w:r>
        <w:rPr>
          <w:sz w:val="21"/>
          <w:szCs w:val="21"/>
        </w:rPr>
        <w:t xml:space="preserve">India already operates national systems in this exact space (CCTNS for police records, e-Courts, the Interoperable Criminal Justice System). The design never positions itself relative to them.</w:t>
      </w:r>
    </w:p>
    <w:p>
      <w:pPr>
        <w:spacing w:after="100"/>
      </w:pPr>
      <w:r>
        <w:rPr>
          <w:b/>
          <w:bCs/>
          <w:color w:val="3F5C82"/>
          <w:sz w:val="21"/>
          <w:szCs w:val="21"/>
        </w:rPr>
        <w:t xml:space="preserve">Why a judge catches this: </w:t>
      </w:r>
      <w:r>
        <w:rPr>
          <w:sz w:val="21"/>
          <w:szCs w:val="21"/>
        </w:rPr>
        <w:t xml:space="preserve">"Doesn't CCTNS already do this?" is close to the single most common question in this problem domain, and answering it live without preparation is risky.</w:t>
      </w:r>
    </w:p>
    <w:p>
      <w:pPr>
        <w:spacing w:after="100"/>
      </w:pPr>
      <w:r>
        <w:rPr>
          <w:b/>
          <w:bCs/>
          <w:color w:val="3F5C82"/>
          <w:sz w:val="21"/>
          <w:szCs w:val="21"/>
        </w:rPr>
        <w:t xml:space="preserve">Recommended fix: </w:t>
      </w:r>
      <w:r>
        <w:rPr>
          <w:sz w:val="21"/>
          <w:szCs w:val="21"/>
        </w:rPr>
        <w:t xml:space="preserve">Add an explicit interoperability stance: complements CCTNS by adding the redaction/tamper-evidence layer CCTNS doesn't have, with a stated (even if LATER) integration point via ICJS-style APIs.</w:t>
      </w:r>
    </w:p>
    <w:p>
      <w:r>
        <w:br w:type="page"/>
      </w:r>
    </w:p>
    <w:p>
      <w:pPr>
        <w:pStyle w:val="Heading1"/>
        <w:spacing w:after="180" w:before="420"/>
      </w:pPr>
      <w:r>
        <w:rPr>
          <w:rFonts w:ascii="Cambria" w:cs="Cambria" w:eastAsia="Cambria" w:hAnsi="Cambria"/>
          <w:b/>
          <w:bCs/>
          <w:color w:val="1B2A4A"/>
          <w:sz w:val="30"/>
          <w:szCs w:val="30"/>
        </w:rPr>
        <w:t xml:space="preserve">4. Security Issues</w:t>
      </w:r>
    </w:p>
    <w:p>
      <w:pPr>
        <w:shd w:fill="FBE8D6" w:val="clear"/>
        <w:spacing w:after="40" w:before="240"/>
      </w:pPr>
      <w:r>
        <w:rPr>
          <w:b/>
          <w:bCs/>
          <w:color w:val="B5651D"/>
          <w:spacing w:val="10"/>
          <w:sz w:val="18"/>
          <w:szCs w:val="18"/>
        </w:rPr>
        <w:t xml:space="preserve">HIGH</w:t>
      </w:r>
      <w:r>
        <w:rPr>
          <w:i/>
          <w:iCs/>
          <w:color w:val="5A6474"/>
          <w:sz w:val="17"/>
          <w:szCs w:val="17"/>
        </w:rPr>
        <w:t xml:space="preserve">   #11  ·  Security</w:t>
      </w:r>
    </w:p>
    <w:p>
      <w:pPr>
        <w:spacing w:after="100"/>
      </w:pPr>
      <w:r>
        <w:rPr>
          <w:rFonts w:ascii="Cambria" w:cs="Cambria" w:eastAsia="Cambria" w:hAnsi="Cambria"/>
          <w:b/>
          <w:bCs/>
          <w:color w:val="1B2A4A"/>
          <w:sz w:val="24"/>
          <w:szCs w:val="24"/>
        </w:rPr>
        <w:t xml:space="preserve">No input-validation / injection story for free-text fields</w:t>
      </w:r>
    </w:p>
    <w:p>
      <w:pPr>
        <w:spacing w:after="140"/>
      </w:pPr>
      <w:r>
        <w:rPr>
          <w:sz w:val="21"/>
          <w:szCs w:val="21"/>
        </w:rPr>
        <w:t xml:space="preserve">Case Diary entries and redact-tag corrections are officer-written free text with no stated sanitization, validation, or output-encoding discipline against SQL injection or stored XSS.</w:t>
      </w:r>
    </w:p>
    <w:p>
      <w:pPr>
        <w:spacing w:after="100"/>
      </w:pPr>
      <w:r>
        <w:rPr>
          <w:b/>
          <w:bCs/>
          <w:color w:val="3F5C82"/>
          <w:sz w:val="21"/>
          <w:szCs w:val="21"/>
        </w:rPr>
        <w:t xml:space="preserve">Why a judge catches this: </w:t>
      </w:r>
      <w:r>
        <w:rPr>
          <w:sz w:val="21"/>
          <w:szCs w:val="21"/>
        </w:rPr>
        <w:t xml:space="preserve">Free-text fields written by many different roles are the classic injection surface, and this system has at least two of them with no stated defense.</w:t>
      </w:r>
    </w:p>
    <w:p>
      <w:pPr>
        <w:spacing w:after="100"/>
      </w:pPr>
      <w:r>
        <w:rPr>
          <w:b/>
          <w:bCs/>
          <w:color w:val="3F5C82"/>
          <w:sz w:val="21"/>
          <w:szCs w:val="21"/>
        </w:rPr>
        <w:t xml:space="preserve">Recommended fix: </w:t>
      </w:r>
      <w:r>
        <w:rPr>
          <w:sz w:val="21"/>
          <w:szCs w:val="21"/>
        </w:rPr>
        <w:t xml:space="preserve">State parameterized-query discipline at the API layer (standard for FastAPI + an ORM) and explicit output encoding on render — a one-line addition, but currently absent.</w:t>
      </w:r>
    </w:p>
    <w:p>
      <w:pPr>
        <w:shd w:fill="FBE8D6" w:val="clear"/>
        <w:spacing w:after="40" w:before="240"/>
      </w:pPr>
      <w:r>
        <w:rPr>
          <w:b/>
          <w:bCs/>
          <w:color w:val="B5651D"/>
          <w:spacing w:val="10"/>
          <w:sz w:val="18"/>
          <w:szCs w:val="18"/>
        </w:rPr>
        <w:t xml:space="preserve">HIGH</w:t>
      </w:r>
      <w:r>
        <w:rPr>
          <w:i/>
          <w:iCs/>
          <w:color w:val="5A6474"/>
          <w:sz w:val="17"/>
          <w:szCs w:val="17"/>
        </w:rPr>
        <w:t xml:space="preserve">   #12  ·  Security</w:t>
      </w:r>
    </w:p>
    <w:p>
      <w:pPr>
        <w:spacing w:after="100"/>
      </w:pPr>
      <w:r>
        <w:rPr>
          <w:rFonts w:ascii="Cambria" w:cs="Cambria" w:eastAsia="Cambria" w:hAnsi="Cambria"/>
          <w:b/>
          <w:bCs/>
          <w:color w:val="1B2A4A"/>
          <w:sz w:val="24"/>
          <w:szCs w:val="24"/>
        </w:rPr>
        <w:t xml:space="preserve">The audit log's own append-only order isn't itself proven tamper-evident</w:t>
      </w:r>
    </w:p>
    <w:p>
      <w:pPr>
        <w:spacing w:after="140"/>
      </w:pPr>
      <w:r>
        <w:rPr>
          <w:sz w:val="21"/>
          <w:szCs w:val="21"/>
        </w:rPr>
        <w:t xml:space="preserve">Individual actions are hash-chained to Fabric, which proves a given action happened and wasn't altered. But nothing links one audit-log entry to the next — so a privileged insider with direct DB access could delete a row from the middle of the audit_log table without breaking any single entry's hash proof.</w:t>
      </w:r>
    </w:p>
    <w:p>
      <w:pPr>
        <w:spacing w:after="100"/>
      </w:pPr>
      <w:r>
        <w:rPr>
          <w:b/>
          <w:bCs/>
          <w:color w:val="3F5C82"/>
          <w:sz w:val="21"/>
          <w:szCs w:val="21"/>
        </w:rPr>
        <w:t xml:space="preserve">Why a judge catches this: </w:t>
      </w:r>
      <w:r>
        <w:rPr>
          <w:sz w:val="21"/>
          <w:szCs w:val="21"/>
        </w:rPr>
        <w:t xml:space="preserve">This is a subtle but real gap in the "tamper-evident" claim: proving each action is genuine is not the same as proving no action was ever removed from the sequence. A security-literate judge will ask exactly this.</w:t>
      </w:r>
    </w:p>
    <w:p>
      <w:pPr>
        <w:spacing w:after="100"/>
      </w:pPr>
      <w:r>
        <w:rPr>
          <w:b/>
          <w:bCs/>
          <w:color w:val="3F5C82"/>
          <w:sz w:val="21"/>
          <w:szCs w:val="21"/>
        </w:rPr>
        <w:t xml:space="preserve">Recommended fix: </w:t>
      </w:r>
      <w:r>
        <w:rPr>
          <w:sz w:val="21"/>
          <w:szCs w:val="21"/>
        </w:rPr>
        <w:t xml:space="preserve">Chain each audit-log entry's hash to the previous entry's hash (a simple Merkle/hash-chain within Postgres itself, independent of Fabric), so deleting a row breaks the chain and is immediately detectable.</w:t>
      </w:r>
    </w:p>
    <w:p>
      <w:pPr>
        <w:shd w:fill="FBF3D9" w:val="clear"/>
        <w:spacing w:after="40" w:before="240"/>
      </w:pPr>
      <w:r>
        <w:rPr>
          <w:b/>
          <w:bCs/>
          <w:color w:val="8A6D1A"/>
          <w:spacing w:val="10"/>
          <w:sz w:val="18"/>
          <w:szCs w:val="18"/>
        </w:rPr>
        <w:t xml:space="preserve">MEDIUM</w:t>
      </w:r>
      <w:r>
        <w:rPr>
          <w:i/>
          <w:iCs/>
          <w:color w:val="5A6474"/>
          <w:sz w:val="17"/>
          <w:szCs w:val="17"/>
        </w:rPr>
        <w:t xml:space="preserve">   #13  ·  Security</w:t>
      </w:r>
    </w:p>
    <w:p>
      <w:pPr>
        <w:spacing w:after="100"/>
      </w:pPr>
      <w:r>
        <w:rPr>
          <w:rFonts w:ascii="Cambria" w:cs="Cambria" w:eastAsia="Cambria" w:hAnsi="Cambria"/>
          <w:b/>
          <w:bCs/>
          <w:color w:val="1B2A4A"/>
          <w:sz w:val="24"/>
          <w:szCs w:val="24"/>
        </w:rPr>
        <w:t xml:space="preserve">No DPDP Act (India's Digital Personal Data Protection Act, 2023) compliance mapping</w:t>
      </w:r>
    </w:p>
    <w:p>
      <w:pPr>
        <w:spacing w:after="140"/>
      </w:pPr>
      <w:r>
        <w:rPr>
          <w:sz w:val="21"/>
          <w:szCs w:val="21"/>
        </w:rPr>
        <w:t xml:space="preserve">The system handles victim, accused, and medical PII at scale with no stated mapping to India's own data-protection law — consent basis, data-minimization justification, breach-notification process.</w:t>
      </w:r>
    </w:p>
    <w:p>
      <w:pPr>
        <w:spacing w:after="100"/>
      </w:pPr>
      <w:r>
        <w:rPr>
          <w:b/>
          <w:bCs/>
          <w:color w:val="3F5C82"/>
          <w:sz w:val="21"/>
          <w:szCs w:val="21"/>
        </w:rPr>
        <w:t xml:space="preserve">Why a judge catches this: </w:t>
      </w:r>
      <w:r>
        <w:rPr>
          <w:sz w:val="21"/>
          <w:szCs w:val="21"/>
        </w:rPr>
        <w:t xml:space="preserve">For a government-facing legal-data system built in 2026, DPDP Act awareness is close to a baseline expectation, and its complete absence from the pitch is conspicuous to anyone who knows the law exists.</w:t>
      </w:r>
    </w:p>
    <w:p>
      <w:pPr>
        <w:spacing w:after="100"/>
      </w:pPr>
      <w:r>
        <w:rPr>
          <w:b/>
          <w:bCs/>
          <w:color w:val="3F5C82"/>
          <w:sz w:val="21"/>
          <w:szCs w:val="21"/>
        </w:rPr>
        <w:t xml:space="preserve">Recommended fix: </w:t>
      </w:r>
      <w:r>
        <w:rPr>
          <w:sz w:val="21"/>
          <w:szCs w:val="21"/>
        </w:rPr>
        <w:t xml:space="preserve">A short compliance section: lawful basis (statutory function of law enforcement, not consent-based), data-minimization via the redaction/tiering system already built, and a named breach-notification owner.</w:t>
      </w:r>
    </w:p>
    <w:p>
      <w:pPr>
        <w:shd w:fill="FBF3D9" w:val="clear"/>
        <w:spacing w:after="40" w:before="240"/>
      </w:pPr>
      <w:r>
        <w:rPr>
          <w:b/>
          <w:bCs/>
          <w:color w:val="8A6D1A"/>
          <w:spacing w:val="10"/>
          <w:sz w:val="18"/>
          <w:szCs w:val="18"/>
        </w:rPr>
        <w:t xml:space="preserve">MEDIUM</w:t>
      </w:r>
      <w:r>
        <w:rPr>
          <w:i/>
          <w:iCs/>
          <w:color w:val="5A6474"/>
          <w:sz w:val="17"/>
          <w:szCs w:val="17"/>
        </w:rPr>
        <w:t xml:space="preserve">   #14  ·  Security</w:t>
      </w:r>
    </w:p>
    <w:p>
      <w:pPr>
        <w:spacing w:after="100"/>
      </w:pPr>
      <w:r>
        <w:rPr>
          <w:rFonts w:ascii="Cambria" w:cs="Cambria" w:eastAsia="Cambria" w:hAnsi="Cambria"/>
          <w:b/>
          <w:bCs/>
          <w:color w:val="1B2A4A"/>
          <w:sz w:val="24"/>
          <w:szCs w:val="24"/>
        </w:rPr>
        <w:t xml:space="preserve">No rate-limiting numbers or DDoS posture for the citizen-facing entry point</w:t>
      </w:r>
    </w:p>
    <w:p>
      <w:pPr>
        <w:spacing w:after="140"/>
      </w:pPr>
      <w:r>
        <w:rPr>
          <w:sz w:val="21"/>
          <w:szCs w:val="21"/>
        </w:rPr>
        <w:t xml:space="preserve">"Basic rate limiting" is asserted with no concrete numbers, and the victim-facing complaint submission endpoint — the system's only genuinely public, unauthenticated-adjacent surface — has no distinct hardening story from the internal, authenticated endpoints.</w:t>
      </w:r>
    </w:p>
    <w:p>
      <w:pPr>
        <w:spacing w:after="100"/>
      </w:pPr>
      <w:r>
        <w:rPr>
          <w:b/>
          <w:bCs/>
          <w:color w:val="3F5C82"/>
          <w:sz w:val="21"/>
          <w:szCs w:val="21"/>
        </w:rPr>
        <w:t xml:space="preserve">Why a judge catches this: </w:t>
      </w:r>
      <w:r>
        <w:rPr>
          <w:sz w:val="21"/>
          <w:szCs w:val="21"/>
        </w:rPr>
        <w:t xml:space="preserve">The public-facing entry point is the highest-exposure part of any government system, and it currently gets the least specific security treatment in the design.</w:t>
      </w:r>
    </w:p>
    <w:p>
      <w:pPr>
        <w:spacing w:after="100"/>
      </w:pPr>
      <w:r>
        <w:rPr>
          <w:b/>
          <w:bCs/>
          <w:color w:val="3F5C82"/>
          <w:sz w:val="21"/>
          <w:szCs w:val="21"/>
        </w:rPr>
        <w:t xml:space="preserve">Recommended fix: </w:t>
      </w:r>
      <w:r>
        <w:rPr>
          <w:sz w:val="21"/>
          <w:szCs w:val="21"/>
        </w:rPr>
        <w:t xml:space="preserve">State actual numbers (e.g., N requests/minute/IP), and treat the complaint-submission endpoint as its own hardened tier — CAPTCHA on repeated submissions, stricter rate limits than internal endpoints.</w:t>
      </w:r>
    </w:p>
    <w:p>
      <w:pPr>
        <w:shd w:fill="EDEEF1" w:val="clear"/>
        <w:spacing w:after="40" w:before="240"/>
      </w:pPr>
      <w:r>
        <w:rPr>
          <w:b/>
          <w:bCs/>
          <w:color w:val="5A6474"/>
          <w:spacing w:val="10"/>
          <w:sz w:val="18"/>
          <w:szCs w:val="18"/>
        </w:rPr>
        <w:t xml:space="preserve">LOW</w:t>
      </w:r>
      <w:r>
        <w:rPr>
          <w:i/>
          <w:iCs/>
          <w:color w:val="5A6474"/>
          <w:sz w:val="17"/>
          <w:szCs w:val="17"/>
        </w:rPr>
        <w:t xml:space="preserve">   #15  ·  Security</w:t>
      </w:r>
    </w:p>
    <w:p>
      <w:pPr>
        <w:spacing w:after="100"/>
      </w:pPr>
      <w:r>
        <w:rPr>
          <w:rFonts w:ascii="Cambria" w:cs="Cambria" w:eastAsia="Cambria" w:hAnsi="Cambria"/>
          <w:b/>
          <w:bCs/>
          <w:color w:val="1B2A4A"/>
          <w:sz w:val="24"/>
          <w:szCs w:val="24"/>
        </w:rPr>
        <w:t xml:space="preserve">No stated penetration-testing or security-audit plan</w:t>
      </w:r>
    </w:p>
    <w:p>
      <w:pPr>
        <w:spacing w:after="140"/>
      </w:pPr>
      <w:r>
        <w:rPr>
          <w:sz w:val="21"/>
          <w:szCs w:val="21"/>
        </w:rPr>
        <w:t xml:space="preserve">Even a stated intention (e.g., an OWASP ZAP pass before any pilot deployment) is absent.</w:t>
      </w:r>
    </w:p>
    <w:p>
      <w:pPr>
        <w:spacing w:after="100"/>
      </w:pPr>
      <w:r>
        <w:rPr>
          <w:b/>
          <w:bCs/>
          <w:color w:val="3F5C82"/>
          <w:sz w:val="21"/>
          <w:szCs w:val="21"/>
        </w:rPr>
        <w:t xml:space="preserve">Why a judge catches this: </w:t>
      </w:r>
      <w:r>
        <w:rPr>
          <w:sz w:val="21"/>
          <w:szCs w:val="21"/>
        </w:rPr>
        <w:t xml:space="preserve">Costs nothing to state and signals security maturity a panel is specifically listening for.</w:t>
      </w:r>
    </w:p>
    <w:p>
      <w:pPr>
        <w:spacing w:after="100"/>
      </w:pPr>
      <w:r>
        <w:rPr>
          <w:b/>
          <w:bCs/>
          <w:color w:val="3F5C82"/>
          <w:sz w:val="21"/>
          <w:szCs w:val="21"/>
        </w:rPr>
        <w:t xml:space="preserve">Recommended fix: </w:t>
      </w:r>
      <w:r>
        <w:rPr>
          <w:sz w:val="21"/>
          <w:szCs w:val="21"/>
        </w:rPr>
        <w:t xml:space="preserve">Add one line to the Concepts Checklist LATER tier naming a specific tool and trigger point.</w:t>
      </w:r>
    </w:p>
    <w:p>
      <w:r>
        <w:br w:type="page"/>
      </w:r>
    </w:p>
    <w:p>
      <w:pPr>
        <w:pStyle w:val="Heading1"/>
        <w:spacing w:after="180" w:before="420"/>
      </w:pPr>
      <w:r>
        <w:rPr>
          <w:rFonts w:ascii="Cambria" w:cs="Cambria" w:eastAsia="Cambria" w:hAnsi="Cambria"/>
          <w:b/>
          <w:bCs/>
          <w:color w:val="1B2A4A"/>
          <w:sz w:val="30"/>
          <w:szCs w:val="30"/>
        </w:rPr>
        <w:t xml:space="preserve">5. Design Issues</w:t>
      </w:r>
    </w:p>
    <w:p>
      <w:pPr>
        <w:shd w:fill="FBE8D6" w:val="clear"/>
        <w:spacing w:after="40" w:before="240"/>
      </w:pPr>
      <w:r>
        <w:rPr>
          <w:b/>
          <w:bCs/>
          <w:color w:val="B5651D"/>
          <w:spacing w:val="10"/>
          <w:sz w:val="18"/>
          <w:szCs w:val="18"/>
        </w:rPr>
        <w:t xml:space="preserve">HIGH</w:t>
      </w:r>
      <w:r>
        <w:rPr>
          <w:i/>
          <w:iCs/>
          <w:color w:val="5A6474"/>
          <w:sz w:val="17"/>
          <w:szCs w:val="17"/>
        </w:rPr>
        <w:t xml:space="preserve">   #16  ·  Design</w:t>
      </w:r>
    </w:p>
    <w:p>
      <w:pPr>
        <w:spacing w:after="100"/>
      </w:pPr>
      <w:r>
        <w:rPr>
          <w:rFonts w:ascii="Cambria" w:cs="Cambria" w:eastAsia="Cambria" w:hAnsi="Cambria"/>
          <w:b/>
          <w:bCs/>
          <w:color w:val="1B2A4A"/>
          <w:sz w:val="24"/>
          <w:szCs w:val="24"/>
        </w:rPr>
        <w:t xml:space="preserve">Case Diary entries appear to bypass the entire redaction pipeline</w:t>
      </w:r>
    </w:p>
    <w:p>
      <w:pPr>
        <w:spacing w:after="140"/>
      </w:pPr>
      <w:r>
        <w:rPr>
          <w:sz w:val="21"/>
          <w:szCs w:val="21"/>
        </w:rPr>
        <w:t xml:space="preserve">Case Diary is explicitly described as "not a Document upload" — meaning it does not go through OCR or the AI Parser. If an IO writes a victim's identity or medical detail directly into a diary entry, no auto-redaction is ever applied to it before other roles read it.</w:t>
      </w:r>
    </w:p>
    <w:p>
      <w:pPr>
        <w:spacing w:after="100"/>
      </w:pPr>
      <w:r>
        <w:rPr>
          <w:b/>
          <w:bCs/>
          <w:color w:val="3F5C82"/>
          <w:sz w:val="21"/>
          <w:szCs w:val="21"/>
        </w:rPr>
        <w:t xml:space="preserve">Why a judge catches this: </w:t>
      </w:r>
      <w:r>
        <w:rPr>
          <w:sz w:val="21"/>
          <w:szCs w:val="21"/>
        </w:rPr>
        <w:t xml:space="preserve">This directly undercuts the system's flagship claim. A judge who understands the architecture well enough to ask "does the Case Diary get redacted too?" will have found a real hole in the headline feature.</w:t>
      </w:r>
    </w:p>
    <w:p>
      <w:pPr>
        <w:spacing w:after="100"/>
      </w:pPr>
      <w:r>
        <w:rPr>
          <w:b/>
          <w:bCs/>
          <w:color w:val="3F5C82"/>
          <w:sz w:val="21"/>
          <w:szCs w:val="21"/>
        </w:rPr>
        <w:t xml:space="preserve">Recommended fix: </w:t>
      </w:r>
      <w:r>
        <w:rPr>
          <w:sz w:val="21"/>
          <w:szCs w:val="21"/>
        </w:rPr>
        <w:t xml:space="preserve">Either route Case Diary text through the AI Parser as well (treating it as a lightweight text document for tagging purposes only, not a file upload), or explicitly restrict Case Diary visibility to the same roles who'd see the case fully unredacted anyway — and state that restriction as a deliberate decision, not a silent gap.</w:t>
      </w:r>
    </w:p>
    <w:p>
      <w:pPr>
        <w:shd w:fill="FBF3D9" w:val="clear"/>
        <w:spacing w:after="40" w:before="240"/>
      </w:pPr>
      <w:r>
        <w:rPr>
          <w:b/>
          <w:bCs/>
          <w:color w:val="8A6D1A"/>
          <w:spacing w:val="10"/>
          <w:sz w:val="18"/>
          <w:szCs w:val="18"/>
        </w:rPr>
        <w:t xml:space="preserve">MEDIUM</w:t>
      </w:r>
      <w:r>
        <w:rPr>
          <w:i/>
          <w:iCs/>
          <w:color w:val="5A6474"/>
          <w:sz w:val="17"/>
          <w:szCs w:val="17"/>
        </w:rPr>
        <w:t xml:space="preserve">   #17  ·  Design</w:t>
      </w:r>
    </w:p>
    <w:p>
      <w:pPr>
        <w:spacing w:after="100"/>
      </w:pPr>
      <w:r>
        <w:rPr>
          <w:rFonts w:ascii="Cambria" w:cs="Cambria" w:eastAsia="Cambria" w:hAnsi="Cambria"/>
          <w:b/>
          <w:bCs/>
          <w:color w:val="1B2A4A"/>
          <w:sz w:val="24"/>
          <w:szCs w:val="24"/>
        </w:rPr>
        <w:t xml:space="preserve">The Tier-3 "generic default sensitivity profile" is referenced but never actually specified</w:t>
      </w:r>
    </w:p>
    <w:p>
      <w:pPr>
        <w:spacing w:after="140"/>
      </w:pPr>
      <w:r>
        <w:rPr>
          <w:sz w:val="21"/>
          <w:szCs w:val="21"/>
        </w:rPr>
        <w:t xml:space="preserve">Roughly 40+ of the 57 canonical document types are meant to inherit one generic default redaction profile. That profile's actual field rules (which entity types count as sensitive by default) are never concretely defined anywhere in the accessible documents.</w:t>
      </w:r>
    </w:p>
    <w:p>
      <w:pPr>
        <w:spacing w:after="100"/>
      </w:pPr>
      <w:r>
        <w:rPr>
          <w:b/>
          <w:bCs/>
          <w:color w:val="3F5C82"/>
          <w:sz w:val="21"/>
          <w:szCs w:val="21"/>
        </w:rPr>
        <w:t xml:space="preserve">Why a judge catches this: </w:t>
      </w:r>
      <w:r>
        <w:rPr>
          <w:sz w:val="21"/>
          <w:szCs w:val="21"/>
        </w:rPr>
        <w:t xml:space="preserve">This is the difference between a decision and a spec — right now nobody could actually implement Tier 3 from the documentation as it stands.</w:t>
      </w:r>
    </w:p>
    <w:p>
      <w:pPr>
        <w:spacing w:after="100"/>
      </w:pPr>
      <w:r>
        <w:rPr>
          <w:b/>
          <w:bCs/>
          <w:color w:val="3F5C82"/>
          <w:sz w:val="21"/>
          <w:szCs w:val="21"/>
        </w:rPr>
        <w:t xml:space="preserve">Recommended fix: </w:t>
      </w:r>
      <w:r>
        <w:rPr>
          <w:sz w:val="21"/>
          <w:szCs w:val="21"/>
        </w:rPr>
        <w:t xml:space="preserve">Write the actual default rule set (e.g., "any Presidio entity type in {PERSON, PHONE_NUMBER, LOCATION, ID_NUMBER, MEDICAL_CONDITION} is hidden by default; everything else shown") as a concrete config, not a description of the concept.</w:t>
      </w:r>
    </w:p>
    <w:p>
      <w:pPr>
        <w:shd w:fill="FBF3D9" w:val="clear"/>
        <w:spacing w:after="40" w:before="240"/>
      </w:pPr>
      <w:r>
        <w:rPr>
          <w:b/>
          <w:bCs/>
          <w:color w:val="8A6D1A"/>
          <w:spacing w:val="10"/>
          <w:sz w:val="18"/>
          <w:szCs w:val="18"/>
        </w:rPr>
        <w:t xml:space="preserve">MEDIUM</w:t>
      </w:r>
      <w:r>
        <w:rPr>
          <w:i/>
          <w:iCs/>
          <w:color w:val="5A6474"/>
          <w:sz w:val="17"/>
          <w:szCs w:val="17"/>
        </w:rPr>
        <w:t xml:space="preserve">   #18  ·  Design</w:t>
      </w:r>
    </w:p>
    <w:p>
      <w:pPr>
        <w:spacing w:after="100"/>
      </w:pPr>
      <w:r>
        <w:rPr>
          <w:rFonts w:ascii="Cambria" w:cs="Cambria" w:eastAsia="Cambria" w:hAnsi="Cambria"/>
          <w:b/>
          <w:bCs/>
          <w:color w:val="1B2A4A"/>
          <w:sz w:val="24"/>
          <w:szCs w:val="24"/>
        </w:rPr>
        <w:t xml:space="preserve">Records/NCRB Analyst's own organizational home is never stated</w:t>
      </w:r>
    </w:p>
    <w:p>
      <w:pPr>
        <w:spacing w:after="140"/>
      </w:pPr>
      <w:r>
        <w:rPr>
          <w:sz w:val="21"/>
          <w:szCs w:val="21"/>
        </w:rPr>
        <w:t xml:space="preserve">Every other non-Police role has an explicit org (Bank, Telecom, Hospital, FSL, each Court). The Records/NCRB Analyst — realistically a distinct central body, not a Police sub-unit — never gets an org assignment in any accessible document.</w:t>
      </w:r>
    </w:p>
    <w:p>
      <w:pPr>
        <w:spacing w:after="100"/>
      </w:pPr>
      <w:r>
        <w:rPr>
          <w:b/>
          <w:bCs/>
          <w:color w:val="3F5C82"/>
          <w:sz w:val="21"/>
          <w:szCs w:val="21"/>
        </w:rPr>
        <w:t xml:space="preserve">Why a judge catches this: </w:t>
      </w:r>
      <w:r>
        <w:rPr>
          <w:sz w:val="21"/>
          <w:szCs w:val="21"/>
        </w:rPr>
        <w:t xml:space="preserve">It's a small inconsistency, but the kind that surfaces exactly when someone tries to actually implement RBAC from the spec.</w:t>
      </w:r>
    </w:p>
    <w:p>
      <w:pPr>
        <w:spacing w:after="100"/>
      </w:pPr>
      <w:r>
        <w:rPr>
          <w:b/>
          <w:bCs/>
          <w:color w:val="3F5C82"/>
          <w:sz w:val="21"/>
          <w:szCs w:val="21"/>
        </w:rPr>
        <w:t xml:space="preserve">Recommended fix: </w:t>
      </w:r>
      <w:r>
        <w:rPr>
          <w:sz w:val="21"/>
          <w:szCs w:val="21"/>
        </w:rPr>
        <w:t xml:space="preserve">State explicitly: `org = NCRB` (or similar), separate from Police, matching how Bank/Telecom/Hospital are already handled.</w:t>
      </w:r>
    </w:p>
    <w:p>
      <w:pPr>
        <w:shd w:fill="EDEEF1" w:val="clear"/>
        <w:spacing w:after="40" w:before="240"/>
      </w:pPr>
      <w:r>
        <w:rPr>
          <w:b/>
          <w:bCs/>
          <w:color w:val="5A6474"/>
          <w:spacing w:val="10"/>
          <w:sz w:val="18"/>
          <w:szCs w:val="18"/>
        </w:rPr>
        <w:t xml:space="preserve">LOW</w:t>
      </w:r>
      <w:r>
        <w:rPr>
          <w:i/>
          <w:iCs/>
          <w:color w:val="5A6474"/>
          <w:sz w:val="17"/>
          <w:szCs w:val="17"/>
        </w:rPr>
        <w:t xml:space="preserve">   #19  ·  Design</w:t>
      </w:r>
    </w:p>
    <w:p>
      <w:pPr>
        <w:spacing w:after="100"/>
      </w:pPr>
      <w:r>
        <w:rPr>
          <w:rFonts w:ascii="Cambria" w:cs="Cambria" w:eastAsia="Cambria" w:hAnsi="Cambria"/>
          <w:b/>
          <w:bCs/>
          <w:color w:val="1B2A4A"/>
          <w:sz w:val="24"/>
          <w:szCs w:val="24"/>
        </w:rPr>
        <w:t xml:space="preserve">No case-closure / terminal-state definition when the bail track never resolves</w:t>
      </w:r>
    </w:p>
    <w:p>
      <w:pPr>
        <w:spacing w:after="140"/>
      </w:pPr>
      <w:r>
        <w:rPr>
          <w:sz w:val="21"/>
          <w:szCs w:val="21"/>
        </w:rPr>
        <w:t xml:space="preserve">Investigation reaches a terminal Judgment state, but bail_status has no described terminal state for the (common, real) case where an accused absconds or bail is permanently denied without a clean "resolved" status.</w:t>
      </w:r>
    </w:p>
    <w:p>
      <w:pPr>
        <w:spacing w:after="100"/>
      </w:pPr>
      <w:r>
        <w:rPr>
          <w:b/>
          <w:bCs/>
          <w:color w:val="3F5C82"/>
          <w:sz w:val="21"/>
          <w:szCs w:val="21"/>
        </w:rPr>
        <w:t xml:space="preserve">Why a judge catches this: </w:t>
      </w:r>
      <w:r>
        <w:rPr>
          <w:sz w:val="21"/>
          <w:szCs w:val="21"/>
        </w:rPr>
        <w:t xml:space="preserve">An edge case a careful reviewer will probe: "what does a fully closed case look like in your data model?"</w:t>
      </w:r>
    </w:p>
    <w:p>
      <w:pPr>
        <w:spacing w:after="100"/>
      </w:pPr>
      <w:r>
        <w:rPr>
          <w:b/>
          <w:bCs/>
          <w:color w:val="3F5C82"/>
          <w:sz w:val="21"/>
          <w:szCs w:val="21"/>
        </w:rPr>
        <w:t xml:space="preserve">Recommended fix: </w:t>
      </w:r>
      <w:r>
        <w:rPr>
          <w:sz w:val="21"/>
          <w:szCs w:val="21"/>
        </w:rPr>
        <w:t xml:space="preserve">Add explicit terminal bail_status values (e.g., Denied_Final, Absconded) alongside Surety_Registered.</w:t>
      </w:r>
    </w:p>
    <w:p>
      <w:r>
        <w:br w:type="page"/>
      </w:r>
    </w:p>
    <w:p>
      <w:pPr>
        <w:pStyle w:val="Heading1"/>
        <w:spacing w:after="180" w:before="420"/>
      </w:pPr>
      <w:r>
        <w:rPr>
          <w:rFonts w:ascii="Cambria" w:cs="Cambria" w:eastAsia="Cambria" w:hAnsi="Cambria"/>
          <w:b/>
          <w:bCs/>
          <w:color w:val="1B2A4A"/>
          <w:sz w:val="30"/>
          <w:szCs w:val="30"/>
        </w:rPr>
        <w:t xml:space="preserve">6. Pipeline Gaps</w:t>
      </w:r>
    </w:p>
    <w:p>
      <w:pPr>
        <w:shd w:fill="FBF3D9" w:val="clear"/>
        <w:spacing w:after="40" w:before="240"/>
      </w:pPr>
      <w:r>
        <w:rPr>
          <w:b/>
          <w:bCs/>
          <w:color w:val="8A6D1A"/>
          <w:spacing w:val="10"/>
          <w:sz w:val="18"/>
          <w:szCs w:val="18"/>
        </w:rPr>
        <w:t xml:space="preserve">MEDIUM</w:t>
      </w:r>
      <w:r>
        <w:rPr>
          <w:i/>
          <w:iCs/>
          <w:color w:val="5A6474"/>
          <w:sz w:val="17"/>
          <w:szCs w:val="17"/>
        </w:rPr>
        <w:t xml:space="preserve">   #20  ·  Pipeline</w:t>
      </w:r>
    </w:p>
    <w:p>
      <w:pPr>
        <w:spacing w:after="100"/>
      </w:pPr>
      <w:r>
        <w:rPr>
          <w:rFonts w:ascii="Cambria" w:cs="Cambria" w:eastAsia="Cambria" w:hAnsi="Cambria"/>
          <w:b/>
          <w:bCs/>
          <w:color w:val="1B2A4A"/>
          <w:sz w:val="24"/>
          <w:szCs w:val="24"/>
        </w:rPr>
        <w:t xml:space="preserve">No cross-case evidence linking</w:t>
      </w:r>
    </w:p>
    <w:p>
      <w:pPr>
        <w:spacing w:after="140"/>
      </w:pPr>
      <w:r>
        <w:rPr>
          <w:sz w:val="21"/>
          <w:szCs w:val="21"/>
        </w:rPr>
        <w:t xml:space="preserve">A Document belongs to exactly one Case. Real evidence — a single CCTV clip capturing two different incidents, a device dump relevant to two linked cases — has no modeled way to be associated with more than one case without duplication.</w:t>
      </w:r>
    </w:p>
    <w:p>
      <w:pPr>
        <w:spacing w:after="100"/>
      </w:pPr>
      <w:r>
        <w:rPr>
          <w:b/>
          <w:bCs/>
          <w:color w:val="3F5C82"/>
          <w:sz w:val="21"/>
          <w:szCs w:val="21"/>
        </w:rPr>
        <w:t xml:space="preserve">Why a judge catches this: </w:t>
      </w:r>
      <w:r>
        <w:rPr>
          <w:sz w:val="21"/>
          <w:szCs w:val="21"/>
        </w:rPr>
        <w:t xml:space="preserve">Organized/serial crime scenarios (explicitly a strength area for a system like this) are exactly where this gap would show up first.</w:t>
      </w:r>
    </w:p>
    <w:p>
      <w:pPr>
        <w:spacing w:after="100"/>
      </w:pPr>
      <w:r>
        <w:rPr>
          <w:b/>
          <w:bCs/>
          <w:color w:val="3F5C82"/>
          <w:sz w:val="21"/>
          <w:szCs w:val="21"/>
        </w:rPr>
        <w:t xml:space="preserve">Recommended fix: </w:t>
      </w:r>
      <w:r>
        <w:rPr>
          <w:sz w:val="21"/>
          <w:szCs w:val="21"/>
        </w:rPr>
        <w:t xml:space="preserve">A LATER-tier many-to-many CaseDocumentLink join, noted even if not built for the demo.</w:t>
      </w:r>
    </w:p>
    <w:p>
      <w:pPr>
        <w:shd w:fill="FBF3D9" w:val="clear"/>
        <w:spacing w:after="40" w:before="240"/>
      </w:pPr>
      <w:r>
        <w:rPr>
          <w:b/>
          <w:bCs/>
          <w:color w:val="8A6D1A"/>
          <w:spacing w:val="10"/>
          <w:sz w:val="18"/>
          <w:szCs w:val="18"/>
        </w:rPr>
        <w:t xml:space="preserve">MEDIUM</w:t>
      </w:r>
      <w:r>
        <w:rPr>
          <w:i/>
          <w:iCs/>
          <w:color w:val="5A6474"/>
          <w:sz w:val="17"/>
          <w:szCs w:val="17"/>
        </w:rPr>
        <w:t xml:space="preserve">   #21  ·  Pipeline</w:t>
      </w:r>
    </w:p>
    <w:p>
      <w:pPr>
        <w:spacing w:after="100"/>
      </w:pPr>
      <w:r>
        <w:rPr>
          <w:rFonts w:ascii="Cambria" w:cs="Cambria" w:eastAsia="Cambria" w:hAnsi="Cambria"/>
          <w:b/>
          <w:bCs/>
          <w:color w:val="1B2A4A"/>
          <w:sz w:val="24"/>
          <w:szCs w:val="24"/>
        </w:rPr>
        <w:t xml:space="preserve">No described behavior for evidence requests already in flight during IO reassignment</w:t>
      </w:r>
    </w:p>
    <w:p>
      <w:pPr>
        <w:spacing w:after="140"/>
      </w:pPr>
      <w:r>
        <w:rPr>
          <w:sz w:val="21"/>
          <w:szCs w:val="21"/>
        </w:rPr>
        <w:t xml:space="preserve">When an IO is reassigned mid-case, whether the new IO immediately inherits visibility into pending evidence requests created by the previous IO is unaddressed.</w:t>
      </w:r>
    </w:p>
    <w:p>
      <w:pPr>
        <w:spacing w:after="100"/>
      </w:pPr>
      <w:r>
        <w:rPr>
          <w:b/>
          <w:bCs/>
          <w:color w:val="3F5C82"/>
          <w:sz w:val="21"/>
          <w:szCs w:val="21"/>
        </w:rPr>
        <w:t xml:space="preserve">Why a judge catches this: </w:t>
      </w:r>
      <w:r>
        <w:rPr>
          <w:sz w:val="21"/>
          <w:szCs w:val="21"/>
        </w:rPr>
        <w:t xml:space="preserve">A natural pipeline question once the AND-join / evidence-request mechanism is understood.</w:t>
      </w:r>
    </w:p>
    <w:p>
      <w:pPr>
        <w:spacing w:after="100"/>
      </w:pPr>
      <w:r>
        <w:rPr>
          <w:b/>
          <w:bCs/>
          <w:color w:val="3F5C82"/>
          <w:sz w:val="21"/>
          <w:szCs w:val="21"/>
        </w:rPr>
        <w:t xml:space="preserve">Recommended fix: </w:t>
      </w:r>
      <w:r>
        <w:rPr>
          <w:sz w:val="21"/>
          <w:szCs w:val="21"/>
        </w:rPr>
        <w:t xml:space="preserve">State explicitly that EvidenceRequest ownership follows the Case, not the individual IO, so reassignment is transparent to in-flight requests.</w:t>
      </w:r>
    </w:p>
    <w:p>
      <w:pPr>
        <w:shd w:fill="EDEEF1" w:val="clear"/>
        <w:spacing w:after="40" w:before="240"/>
      </w:pPr>
      <w:r>
        <w:rPr>
          <w:b/>
          <w:bCs/>
          <w:color w:val="5A6474"/>
          <w:spacing w:val="10"/>
          <w:sz w:val="18"/>
          <w:szCs w:val="18"/>
        </w:rPr>
        <w:t xml:space="preserve">LOW</w:t>
      </w:r>
      <w:r>
        <w:rPr>
          <w:i/>
          <w:iCs/>
          <w:color w:val="5A6474"/>
          <w:sz w:val="17"/>
          <w:szCs w:val="17"/>
        </w:rPr>
        <w:t xml:space="preserve">   #22  ·  Pipeline</w:t>
      </w:r>
    </w:p>
    <w:p>
      <w:pPr>
        <w:spacing w:after="100"/>
      </w:pPr>
      <w:r>
        <w:rPr>
          <w:rFonts w:ascii="Cambria" w:cs="Cambria" w:eastAsia="Cambria" w:hAnsi="Cambria"/>
          <w:b/>
          <w:bCs/>
          <w:color w:val="1B2A4A"/>
          <w:sz w:val="24"/>
          <w:szCs w:val="24"/>
        </w:rPr>
        <w:t xml:space="preserve">No audit trail for changes to DocumentSchema / StageRequirements config themselves</w:t>
      </w:r>
    </w:p>
    <w:p>
      <w:pPr>
        <w:spacing w:after="140"/>
      </w:pPr>
      <w:r>
        <w:rPr>
          <w:sz w:val="21"/>
          <w:szCs w:val="21"/>
        </w:rPr>
        <w:t xml:space="preserve">The AI Parser's own decisions get rigorous, hash-chained, meta-audited treatment. Changes to the config that drives redaction and charge-sheet validation (who edited a schema or a stage requirement, and when) don't get the same treatment anywhere described.</w:t>
      </w:r>
    </w:p>
    <w:p>
      <w:pPr>
        <w:spacing w:after="100"/>
      </w:pPr>
      <w:r>
        <w:rPr>
          <w:b/>
          <w:bCs/>
          <w:color w:val="3F5C82"/>
          <w:sz w:val="21"/>
          <w:szCs w:val="21"/>
        </w:rPr>
        <w:t xml:space="preserve">Why a judge catches this: </w:t>
      </w:r>
      <w:r>
        <w:rPr>
          <w:sz w:val="21"/>
          <w:szCs w:val="21"/>
        </w:rPr>
        <w:t xml:space="preserve">An asymmetry a careful reviewer of the security model will notice: the AI is watched closely, the humans configuring it are not.</w:t>
      </w:r>
    </w:p>
    <w:p>
      <w:pPr>
        <w:spacing w:after="100"/>
      </w:pPr>
      <w:r>
        <w:rPr>
          <w:b/>
          <w:bCs/>
          <w:color w:val="3F5C82"/>
          <w:sz w:val="21"/>
          <w:szCs w:val="21"/>
        </w:rPr>
        <w:t xml:space="preserve">Recommended fix: </w:t>
      </w:r>
      <w:r>
        <w:rPr>
          <w:sz w:val="21"/>
          <w:szCs w:val="21"/>
        </w:rPr>
        <w:t xml:space="preserve">Route admin config changes through the same audit_log table used for everything else — cheap, since the mechanism already exists.</w:t>
      </w:r>
    </w:p>
    <w:p>
      <w:r>
        <w:br w:type="page"/>
      </w:r>
    </w:p>
    <w:p>
      <w:pPr>
        <w:pStyle w:val="Heading1"/>
        <w:spacing w:after="180" w:before="420"/>
      </w:pPr>
      <w:r>
        <w:rPr>
          <w:rFonts w:ascii="Cambria" w:cs="Cambria" w:eastAsia="Cambria" w:hAnsi="Cambria"/>
          <w:b/>
          <w:bCs/>
          <w:color w:val="1B2A4A"/>
          <w:sz w:val="30"/>
          <w:szCs w:val="30"/>
        </w:rPr>
        <w:t xml:space="preserve">7. Missing Selling Points</w:t>
      </w:r>
    </w:p>
    <w:p>
      <w:pPr>
        <w:spacing w:after="140"/>
      </w:pPr>
      <w:r>
        <w:rPr>
          <w:sz w:val="21"/>
          <w:szCs w:val="21"/>
        </w:rPr>
        <w:t xml:space="preserve">These aren't defects in the design — they're strengths the design already has that the current documentation doesn't sell, which costs real points in a judged setting.</w:t>
      </w:r>
    </w:p>
    <w:p>
      <w:pPr>
        <w:shd w:fill="FBE8D6" w:val="clear"/>
        <w:spacing w:after="40" w:before="240"/>
      </w:pPr>
      <w:r>
        <w:rPr>
          <w:b/>
          <w:bCs/>
          <w:color w:val="B5651D"/>
          <w:spacing w:val="10"/>
          <w:sz w:val="18"/>
          <w:szCs w:val="18"/>
        </w:rPr>
        <w:t xml:space="preserve">HIGH</w:t>
      </w:r>
      <w:r>
        <w:rPr>
          <w:i/>
          <w:iCs/>
          <w:color w:val="5A6474"/>
          <w:sz w:val="17"/>
          <w:szCs w:val="17"/>
        </w:rPr>
        <w:t xml:space="preserve">   #23  ·  Selling Point</w:t>
      </w:r>
    </w:p>
    <w:p>
      <w:pPr>
        <w:spacing w:after="100"/>
      </w:pPr>
      <w:r>
        <w:rPr>
          <w:rFonts w:ascii="Cambria" w:cs="Cambria" w:eastAsia="Cambria" w:hAnsi="Cambria"/>
          <w:b/>
          <w:bCs/>
          <w:color w:val="1B2A4A"/>
          <w:sz w:val="24"/>
          <w:szCs w:val="24"/>
        </w:rPr>
        <w:t xml:space="preserve">Data sovereignty is a headline claim buried as a footnote</w:t>
      </w:r>
    </w:p>
    <w:p>
      <w:pPr>
        <w:spacing w:after="140"/>
      </w:pPr>
      <w:r>
        <w:rPr>
          <w:sz w:val="21"/>
          <w:szCs w:val="21"/>
        </w:rPr>
        <w:t xml:space="preserve">"Zero external SaaS dependency" is mentioned but never elevated to what it actually is: a data-sovereignty guarantee for a government legal system — no victim, medical, or investigative data ever leaves Indian government-controlled infrastructure, no foreign cloud provider, no third-party AI API.</w:t>
      </w:r>
    </w:p>
    <w:p>
      <w:pPr>
        <w:spacing w:after="100"/>
      </w:pPr>
      <w:r>
        <w:rPr>
          <w:b/>
          <w:bCs/>
          <w:color w:val="3F5C82"/>
          <w:sz w:val="21"/>
          <w:szCs w:val="21"/>
        </w:rPr>
        <w:t xml:space="preserve">Recommended fix: </w:t>
      </w:r>
      <w:r>
        <w:rPr>
          <w:sz w:val="21"/>
          <w:szCs w:val="21"/>
        </w:rPr>
        <w:t xml:space="preserve">Give this its own slide/section with that framing explicitly, not a line inside an environments table.</w:t>
      </w:r>
    </w:p>
    <w:p>
      <w:pPr>
        <w:shd w:fill="FBE8D6" w:val="clear"/>
        <w:spacing w:after="40" w:before="240"/>
      </w:pPr>
      <w:r>
        <w:rPr>
          <w:b/>
          <w:bCs/>
          <w:color w:val="B5651D"/>
          <w:spacing w:val="10"/>
          <w:sz w:val="18"/>
          <w:szCs w:val="18"/>
        </w:rPr>
        <w:t xml:space="preserve">HIGH</w:t>
      </w:r>
      <w:r>
        <w:rPr>
          <w:i/>
          <w:iCs/>
          <w:color w:val="5A6474"/>
          <w:sz w:val="17"/>
          <w:szCs w:val="17"/>
        </w:rPr>
        <w:t xml:space="preserve">   #24  ·  Selling Point</w:t>
      </w:r>
    </w:p>
    <w:p>
      <w:pPr>
        <w:spacing w:after="100"/>
      </w:pPr>
      <w:r>
        <w:rPr>
          <w:rFonts w:ascii="Cambria" w:cs="Cambria" w:eastAsia="Cambria" w:hAnsi="Cambria"/>
          <w:b/>
          <w:bCs/>
          <w:color w:val="1B2A4A"/>
          <w:sz w:val="24"/>
          <w:szCs w:val="24"/>
        </w:rPr>
        <w:t xml:space="preserve">No multi-language / vernacular support story</w:t>
      </w:r>
    </w:p>
    <w:p>
      <w:pPr>
        <w:spacing w:after="140"/>
      </w:pPr>
      <w:r>
        <w:rPr>
          <w:sz w:val="21"/>
          <w:szCs w:val="21"/>
        </w:rPr>
        <w:t xml:space="preserve">India operates in 22 official languages. PaddleOCR and Presidio's default models are English-centric, and nothing in the pitch addresses regional-language FIRs or documents — a near-certain question in this problem domain.</w:t>
      </w:r>
    </w:p>
    <w:p>
      <w:pPr>
        <w:spacing w:after="100"/>
      </w:pPr>
      <w:r>
        <w:rPr>
          <w:b/>
          <w:bCs/>
          <w:color w:val="3F5C82"/>
          <w:sz w:val="21"/>
          <w:szCs w:val="21"/>
        </w:rPr>
        <w:t xml:space="preserve">Recommended fix: </w:t>
      </w:r>
      <w:r>
        <w:rPr>
          <w:sz w:val="21"/>
          <w:szCs w:val="21"/>
        </w:rPr>
        <w:t xml:space="preserve">State it as a named, scoped LATER item (PaddleOCR does support multi-language models; Presidio can take custom recognizers per language) rather than leaving it silent.</w:t>
      </w:r>
    </w:p>
    <w:p>
      <w:pPr>
        <w:shd w:fill="FBF3D9" w:val="clear"/>
        <w:spacing w:after="40" w:before="240"/>
      </w:pPr>
      <w:r>
        <w:rPr>
          <w:b/>
          <w:bCs/>
          <w:color w:val="8A6D1A"/>
          <w:spacing w:val="10"/>
          <w:sz w:val="18"/>
          <w:szCs w:val="18"/>
        </w:rPr>
        <w:t xml:space="preserve">MEDIUM</w:t>
      </w:r>
      <w:r>
        <w:rPr>
          <w:i/>
          <w:iCs/>
          <w:color w:val="5A6474"/>
          <w:sz w:val="17"/>
          <w:szCs w:val="17"/>
        </w:rPr>
        <w:t xml:space="preserve">   #25  ·  Selling Point</w:t>
      </w:r>
    </w:p>
    <w:p>
      <w:pPr>
        <w:spacing w:after="100"/>
      </w:pPr>
      <w:r>
        <w:rPr>
          <w:rFonts w:ascii="Cambria" w:cs="Cambria" w:eastAsia="Cambria" w:hAnsi="Cambria"/>
          <w:b/>
          <w:bCs/>
          <w:color w:val="1B2A4A"/>
          <w:sz w:val="24"/>
          <w:szCs w:val="24"/>
        </w:rPr>
        <w:t xml:space="preserve">No victim-facing case-status tracking</w:t>
      </w:r>
    </w:p>
    <w:p>
      <w:pPr>
        <w:spacing w:after="140"/>
      </w:pPr>
      <w:r>
        <w:rPr>
          <w:sz w:val="21"/>
          <w:szCs w:val="21"/>
        </w:rPr>
        <w:t xml:space="preserve">There's no described way for a victim/complainant to check their case's status without physically visiting the station — a citizen-transparency feature that scores well in civic-tech evaluation and is a natural extension of data already modeled.</w:t>
      </w:r>
    </w:p>
    <w:p>
      <w:pPr>
        <w:spacing w:after="100"/>
      </w:pPr>
      <w:r>
        <w:rPr>
          <w:b/>
          <w:bCs/>
          <w:color w:val="3F5C82"/>
          <w:sz w:val="21"/>
          <w:szCs w:val="21"/>
        </w:rPr>
        <w:t xml:space="preserve">Recommended fix: </w:t>
      </w:r>
      <w:r>
        <w:rPr>
          <w:sz w:val="21"/>
          <w:szCs w:val="21"/>
        </w:rPr>
        <w:t xml:space="preserve">A simple status-lookup view scoped to the complainant's own case, even read-only and minimal.</w:t>
      </w:r>
    </w:p>
    <w:p>
      <w:pPr>
        <w:shd w:fill="FBF3D9" w:val="clear"/>
        <w:spacing w:after="40" w:before="240"/>
      </w:pPr>
      <w:r>
        <w:rPr>
          <w:b/>
          <w:bCs/>
          <w:color w:val="8A6D1A"/>
          <w:spacing w:val="10"/>
          <w:sz w:val="18"/>
          <w:szCs w:val="18"/>
        </w:rPr>
        <w:t xml:space="preserve">MEDIUM</w:t>
      </w:r>
      <w:r>
        <w:rPr>
          <w:i/>
          <w:iCs/>
          <w:color w:val="5A6474"/>
          <w:sz w:val="17"/>
          <w:szCs w:val="17"/>
        </w:rPr>
        <w:t xml:space="preserve">   #26  ·  Selling Point</w:t>
      </w:r>
    </w:p>
    <w:p>
      <w:pPr>
        <w:spacing w:after="100"/>
      </w:pPr>
      <w:r>
        <w:rPr>
          <w:rFonts w:ascii="Cambria" w:cs="Cambria" w:eastAsia="Cambria" w:hAnsi="Cambria"/>
          <w:b/>
          <w:bCs/>
          <w:color w:val="1B2A4A"/>
          <w:sz w:val="24"/>
          <w:szCs w:val="24"/>
        </w:rPr>
        <w:t xml:space="preserve">No quantified impact claim</w:t>
      </w:r>
    </w:p>
    <w:p>
      <w:pPr>
        <w:spacing w:after="140"/>
      </w:pPr>
      <w:r>
        <w:rPr>
          <w:sz w:val="21"/>
          <w:szCs w:val="21"/>
        </w:rPr>
        <w:t xml:space="preserve">The pitch never states a projected numeric impact (time saved per case, percentage of paper handling eliminated, evidence-tampering incidents this design structurally prevents).</w:t>
      </w:r>
    </w:p>
    <w:p>
      <w:pPr>
        <w:spacing w:after="100"/>
      </w:pPr>
      <w:r>
        <w:rPr>
          <w:b/>
          <w:bCs/>
          <w:color w:val="3F5C82"/>
          <w:sz w:val="21"/>
          <w:szCs w:val="21"/>
        </w:rPr>
        <w:t xml:space="preserve">Recommended fix: </w:t>
      </w:r>
      <w:r>
        <w:rPr>
          <w:sz w:val="21"/>
          <w:szCs w:val="21"/>
        </w:rPr>
        <w:t xml:space="preserve">Even a reasoned estimate ("eliminates manual evidence hand-off logging for an estimated N% of inter-department transfers") gives judges a number to remember the pitch by.</w:t>
      </w:r>
    </w:p>
    <w:p>
      <w:pPr>
        <w:shd w:fill="EDEEF1" w:val="clear"/>
        <w:spacing w:after="40" w:before="240"/>
      </w:pPr>
      <w:r>
        <w:rPr>
          <w:b/>
          <w:bCs/>
          <w:color w:val="5A6474"/>
          <w:spacing w:val="10"/>
          <w:sz w:val="18"/>
          <w:szCs w:val="18"/>
        </w:rPr>
        <w:t xml:space="preserve">LOW</w:t>
      </w:r>
      <w:r>
        <w:rPr>
          <w:i/>
          <w:iCs/>
          <w:color w:val="5A6474"/>
          <w:sz w:val="17"/>
          <w:szCs w:val="17"/>
        </w:rPr>
        <w:t xml:space="preserve">   #27  ·  Selling Point</w:t>
      </w:r>
    </w:p>
    <w:p>
      <w:pPr>
        <w:spacing w:after="100"/>
      </w:pPr>
      <w:r>
        <w:rPr>
          <w:rFonts w:ascii="Cambria" w:cs="Cambria" w:eastAsia="Cambria" w:hAnsi="Cambria"/>
          <w:b/>
          <w:bCs/>
          <w:color w:val="1B2A4A"/>
          <w:sz w:val="24"/>
          <w:szCs w:val="24"/>
        </w:rPr>
        <w:t xml:space="preserve">No live "tamper attempt" demo moment planned</w:t>
      </w:r>
    </w:p>
    <w:p>
      <w:pPr>
        <w:spacing w:after="140"/>
      </w:pPr>
      <w:r>
        <w:rPr>
          <w:sz w:val="21"/>
          <w:szCs w:val="21"/>
        </w:rPr>
        <w:t xml:space="preserve">The blockchain hash-chain's value is best demonstrated, not described — e.g., live-editing a stored document and showing the system detect the mismatch against its Fabric-recorded hash.</w:t>
      </w:r>
    </w:p>
    <w:p>
      <w:pPr>
        <w:spacing w:after="100"/>
      </w:pPr>
      <w:r>
        <w:rPr>
          <w:b/>
          <w:bCs/>
          <w:color w:val="3F5C82"/>
          <w:sz w:val="21"/>
          <w:szCs w:val="21"/>
        </w:rPr>
        <w:t xml:space="preserve">Recommended fix: </w:t>
      </w:r>
      <w:r>
        <w:rPr>
          <w:sz w:val="21"/>
          <w:szCs w:val="21"/>
        </w:rPr>
        <w:t xml:space="preserve">Script this as a specific 30-second demo beat: it's the single most convincing thing this architecture can show a room full of judges.</w:t>
      </w:r>
    </w:p>
    <w:p>
      <w:r>
        <w:br w:type="page"/>
      </w:r>
    </w:p>
    <w:p>
      <w:pPr>
        <w:pStyle w:val="Heading1"/>
        <w:spacing w:after="180" w:before="420"/>
      </w:pPr>
      <w:r>
        <w:rPr>
          <w:rFonts w:ascii="Cambria" w:cs="Cambria" w:eastAsia="Cambria" w:hAnsi="Cambria"/>
          <w:b/>
          <w:bCs/>
          <w:color w:val="1B2A4A"/>
          <w:sz w:val="30"/>
          <w:szCs w:val="30"/>
        </w:rPr>
        <w:t xml:space="preserve">8. Presentation &amp; Flow Strategy Gaps</w:t>
      </w:r>
    </w:p>
    <w:p>
      <w:pPr>
        <w:shd w:fill="FBE8D6" w:val="clear"/>
        <w:spacing w:after="40" w:before="240"/>
      </w:pPr>
      <w:r>
        <w:rPr>
          <w:b/>
          <w:bCs/>
          <w:color w:val="B5651D"/>
          <w:spacing w:val="10"/>
          <w:sz w:val="18"/>
          <w:szCs w:val="18"/>
        </w:rPr>
        <w:t xml:space="preserve">HIGH</w:t>
      </w:r>
      <w:r>
        <w:rPr>
          <w:i/>
          <w:iCs/>
          <w:color w:val="5A6474"/>
          <w:sz w:val="17"/>
          <w:szCs w:val="17"/>
        </w:rPr>
        <w:t xml:space="preserve">   #28  ·  Presentation</w:t>
      </w:r>
    </w:p>
    <w:p>
      <w:pPr>
        <w:spacing w:after="100"/>
      </w:pPr>
      <w:r>
        <w:rPr>
          <w:rFonts w:ascii="Cambria" w:cs="Cambria" w:eastAsia="Cambria" w:hAnsi="Cambria"/>
          <w:b/>
          <w:bCs/>
          <w:color w:val="1B2A4A"/>
          <w:sz w:val="24"/>
          <w:szCs w:val="24"/>
        </w:rPr>
        <w:t xml:space="preserve">No problem-first narrative arc</w:t>
      </w:r>
    </w:p>
    <w:p>
      <w:pPr>
        <w:spacing w:after="140"/>
      </w:pPr>
      <w:r>
        <w:rPr>
          <w:sz w:val="21"/>
          <w:szCs w:val="21"/>
        </w:rPr>
        <w:t xml:space="preserve">The documentation opens directly on architecture. There's no crisp, numbers-backed statement of the problem (pending-case backlog, evidence-tampering incidents, average FIR-to-charge-sheet time) before the solution appears.</w:t>
      </w:r>
    </w:p>
    <w:p>
      <w:pPr>
        <w:spacing w:after="100"/>
      </w:pPr>
      <w:r>
        <w:rPr>
          <w:b/>
          <w:bCs/>
          <w:color w:val="3F5C82"/>
          <w:sz w:val="21"/>
          <w:szCs w:val="21"/>
        </w:rPr>
        <w:t xml:space="preserve">Why it matters: </w:t>
      </w:r>
      <w:r>
        <w:rPr>
          <w:sz w:val="21"/>
          <w:szCs w:val="21"/>
        </w:rPr>
        <w:t xml:space="preserve">Judging panels score problem framing heavily and often in the first 60 seconds of a pitch — leading with architecture skips the part that earns attention.</w:t>
      </w:r>
    </w:p>
    <w:p>
      <w:pPr>
        <w:spacing w:after="100"/>
      </w:pPr>
      <w:r>
        <w:rPr>
          <w:b/>
          <w:bCs/>
          <w:color w:val="3F5C82"/>
          <w:sz w:val="21"/>
          <w:szCs w:val="21"/>
        </w:rPr>
        <w:t xml:space="preserve">Recommended fix: </w:t>
      </w:r>
      <w:r>
        <w:rPr>
          <w:sz w:val="21"/>
          <w:szCs w:val="21"/>
        </w:rPr>
        <w:t xml:space="preserve">Open the pitch (not the engineering doc — a separate pitch narrative) with the problem in numbers, then the solution.</w:t>
      </w:r>
    </w:p>
    <w:p>
      <w:pPr>
        <w:shd w:fill="FBF3D9" w:val="clear"/>
        <w:spacing w:after="40" w:before="240"/>
      </w:pPr>
      <w:r>
        <w:rPr>
          <w:b/>
          <w:bCs/>
          <w:color w:val="8A6D1A"/>
          <w:spacing w:val="10"/>
          <w:sz w:val="18"/>
          <w:szCs w:val="18"/>
        </w:rPr>
        <w:t xml:space="preserve">MEDIUM</w:t>
      </w:r>
      <w:r>
        <w:rPr>
          <w:i/>
          <w:iCs/>
          <w:color w:val="5A6474"/>
          <w:sz w:val="17"/>
          <w:szCs w:val="17"/>
        </w:rPr>
        <w:t xml:space="preserve">   #29  ·  Presentation</w:t>
      </w:r>
    </w:p>
    <w:p>
      <w:pPr>
        <w:spacing w:after="100"/>
      </w:pPr>
      <w:r>
        <w:rPr>
          <w:rFonts w:ascii="Cambria" w:cs="Cambria" w:eastAsia="Cambria" w:hAnsi="Cambria"/>
          <w:b/>
          <w:bCs/>
          <w:color w:val="1B2A4A"/>
          <w:sz w:val="24"/>
          <w:szCs w:val="24"/>
        </w:rPr>
        <w:t xml:space="preserve">No competitive positioning against CCTNS / e-Courts</w:t>
      </w:r>
    </w:p>
    <w:p>
      <w:pPr>
        <w:spacing w:after="140"/>
      </w:pPr>
      <w:r>
        <w:rPr>
          <w:sz w:val="21"/>
          <w:szCs w:val="21"/>
        </w:rPr>
        <w:t xml:space="preserve">Ties to the CCTNS technical gap above (#7 in this report) but is also a presentation problem: not preempting "why not just use what already exists" leaves the team reactive in Q&amp;A instead of leading with the answer.</w:t>
      </w:r>
    </w:p>
    <w:p>
      <w:pPr>
        <w:spacing w:after="100"/>
      </w:pPr>
      <w:r>
        <w:rPr>
          <w:b/>
          <w:bCs/>
          <w:color w:val="3F5C82"/>
          <w:sz w:val="21"/>
          <w:szCs w:val="21"/>
        </w:rPr>
        <w:t xml:space="preserve">Recommended fix: </w:t>
      </w:r>
      <w:r>
        <w:rPr>
          <w:sz w:val="21"/>
          <w:szCs w:val="21"/>
        </w:rPr>
        <w:t xml:space="preserve">One explicit slide: what CCTNS/e-Courts do, what this adds on top (redaction + tamper-evidence + concurrent bail/investigation tracking), stated before anyone asks.</w:t>
      </w:r>
    </w:p>
    <w:p>
      <w:pPr>
        <w:shd w:fill="FBF3D9" w:val="clear"/>
        <w:spacing w:after="40" w:before="240"/>
      </w:pPr>
      <w:r>
        <w:rPr>
          <w:b/>
          <w:bCs/>
          <w:color w:val="8A6D1A"/>
          <w:spacing w:val="10"/>
          <w:sz w:val="18"/>
          <w:szCs w:val="18"/>
        </w:rPr>
        <w:t xml:space="preserve">MEDIUM</w:t>
      </w:r>
      <w:r>
        <w:rPr>
          <w:i/>
          <w:iCs/>
          <w:color w:val="5A6474"/>
          <w:sz w:val="17"/>
          <w:szCs w:val="17"/>
        </w:rPr>
        <w:t xml:space="preserve">   #30  ·  Presentation</w:t>
      </w:r>
    </w:p>
    <w:p>
      <w:pPr>
        <w:spacing w:after="100"/>
      </w:pPr>
      <w:r>
        <w:rPr>
          <w:rFonts w:ascii="Cambria" w:cs="Cambria" w:eastAsia="Cambria" w:hAnsi="Cambria"/>
          <w:b/>
          <w:bCs/>
          <w:color w:val="1B2A4A"/>
          <w:sz w:val="24"/>
          <w:szCs w:val="24"/>
        </w:rPr>
        <w:t xml:space="preserve">No UI/UX mockups or screens shown anywhere</w:t>
      </w:r>
    </w:p>
    <w:p>
      <w:pPr>
        <w:spacing w:after="140"/>
      </w:pPr>
      <w:r>
        <w:rPr>
          <w:sz w:val="21"/>
          <w:szCs w:val="21"/>
        </w:rPr>
        <w:t xml:space="preserve">Every artifact produced so far is backend architecture and data flow. Judges — and most panels include at least one non-deeply-technical member — respond strongly to seeing actual screens.</w:t>
      </w:r>
    </w:p>
    <w:p>
      <w:pPr>
        <w:spacing w:after="100"/>
      </w:pPr>
      <w:r>
        <w:rPr>
          <w:b/>
          <w:bCs/>
          <w:color w:val="3F5C82"/>
          <w:sz w:val="21"/>
          <w:szCs w:val="21"/>
        </w:rPr>
        <w:t xml:space="preserve">Recommended fix: </w:t>
      </w:r>
      <w:r>
        <w:rPr>
          <w:sz w:val="21"/>
          <w:szCs w:val="21"/>
        </w:rPr>
        <w:t xml:space="preserve">Even low-fidelity mockups of the 3-4 highest-impact screens (FIR intake, the redacted document view, the live chain-status badge) materially improve how the pitch lands.</w:t>
      </w:r>
    </w:p>
    <w:p>
      <w:pPr>
        <w:shd w:fill="FBF3D9" w:val="clear"/>
        <w:spacing w:after="40" w:before="240"/>
      </w:pPr>
      <w:r>
        <w:rPr>
          <w:b/>
          <w:bCs/>
          <w:color w:val="8A6D1A"/>
          <w:spacing w:val="10"/>
          <w:sz w:val="18"/>
          <w:szCs w:val="18"/>
        </w:rPr>
        <w:t xml:space="preserve">MEDIUM</w:t>
      </w:r>
      <w:r>
        <w:rPr>
          <w:i/>
          <w:iCs/>
          <w:color w:val="5A6474"/>
          <w:sz w:val="17"/>
          <w:szCs w:val="17"/>
        </w:rPr>
        <w:t xml:space="preserve">   #31  ·  Presentation</w:t>
      </w:r>
    </w:p>
    <w:p>
      <w:pPr>
        <w:spacing w:after="100"/>
      </w:pPr>
      <w:r>
        <w:rPr>
          <w:rFonts w:ascii="Cambria" w:cs="Cambria" w:eastAsia="Cambria" w:hAnsi="Cambria"/>
          <w:b/>
          <w:bCs/>
          <w:color w:val="1B2A4A"/>
          <w:sz w:val="24"/>
          <w:szCs w:val="24"/>
        </w:rPr>
        <w:t xml:space="preserve">The engineering-audit tone would undercut confidence if shown to judges as-is</w:t>
      </w:r>
    </w:p>
    <w:p>
      <w:pPr>
        <w:spacing w:after="140"/>
      </w:pPr>
      <w:r>
        <w:rPr>
          <w:sz w:val="21"/>
          <w:szCs w:val="21"/>
        </w:rPr>
        <w:t xml:space="preserve">SYSTEM_DESIGN.md is written in a rigorous, self-critical engineering voice — heavy on "not yet confirmed," "explicitly deferred," "a real gap." That tone is exactly right for internal engineering review and exactly wrong for a judge-facing pitch, where the same honesty needs to be reframed as scoped decisions rather than open uncertainties.</w:t>
      </w:r>
    </w:p>
    <w:p>
      <w:pPr>
        <w:spacing w:after="100"/>
      </w:pPr>
      <w:r>
        <w:rPr>
          <w:b/>
          <w:bCs/>
          <w:color w:val="3F5C82"/>
          <w:sz w:val="21"/>
          <w:szCs w:val="21"/>
        </w:rPr>
        <w:t xml:space="preserve">Recommended fix: </w:t>
      </w:r>
      <w:r>
        <w:rPr>
          <w:sz w:val="21"/>
          <w:szCs w:val="21"/>
        </w:rPr>
        <w:t xml:space="preserve">Keep this document for the team. Build a separate, short pitch narrative that leads with what's strong and confident, and only surfaces a limitation when directly asked — the underlying honesty doesn't have to be the pitch's default voice.</w:t>
      </w:r>
    </w:p>
    <w:p>
      <w:pPr>
        <w:shd w:fill="EDEEF1" w:val="clear"/>
        <w:spacing w:after="40" w:before="240"/>
      </w:pPr>
      <w:r>
        <w:rPr>
          <w:b/>
          <w:bCs/>
          <w:color w:val="5A6474"/>
          <w:spacing w:val="10"/>
          <w:sz w:val="18"/>
          <w:szCs w:val="18"/>
        </w:rPr>
        <w:t xml:space="preserve">LOW</w:t>
      </w:r>
      <w:r>
        <w:rPr>
          <w:i/>
          <w:iCs/>
          <w:color w:val="5A6474"/>
          <w:sz w:val="17"/>
          <w:szCs w:val="17"/>
        </w:rPr>
        <w:t xml:space="preserve">   #32  ·  Presentation</w:t>
      </w:r>
    </w:p>
    <w:p>
      <w:pPr>
        <w:spacing w:after="100"/>
      </w:pPr>
      <w:r>
        <w:rPr>
          <w:rFonts w:ascii="Cambria" w:cs="Cambria" w:eastAsia="Cambria" w:hAnsi="Cambria"/>
          <w:b/>
          <w:bCs/>
          <w:color w:val="1B2A4A"/>
          <w:sz w:val="24"/>
          <w:szCs w:val="24"/>
        </w:rPr>
        <w:t xml:space="preserve">No rehearsed answer set for the questions this very report predicts</w:t>
      </w:r>
    </w:p>
    <w:p>
      <w:pPr>
        <w:spacing w:after="140"/>
      </w:pPr>
      <w:r>
        <w:rPr>
          <w:sz w:val="21"/>
          <w:szCs w:val="21"/>
        </w:rPr>
        <w:t xml:space="preserve">Every finding above is also a likely judge question. There's currently no prepared, one-line answer for each, ready to be delivered confidently rather than worked out live.</w:t>
      </w:r>
    </w:p>
    <w:p>
      <w:pPr>
        <w:spacing w:after="100"/>
      </w:pPr>
      <w:r>
        <w:rPr>
          <w:b/>
          <w:bCs/>
          <w:color w:val="3F5C82"/>
          <w:sz w:val="21"/>
          <w:szCs w:val="21"/>
        </w:rPr>
        <w:t xml:space="preserve">Recommended fix: </w:t>
      </w:r>
      <w:r>
        <w:rPr>
          <w:sz w:val="21"/>
          <w:szCs w:val="21"/>
        </w:rPr>
        <w:t xml:space="preserve">Once this report is triaged, turn the "Recommended fix" column into a one-page Q&amp;A cheat sheet the team reviews before presenting — independent of whether every fix is actually built by then.</w:t>
      </w:r>
    </w:p>
    <w:p>
      <w:r>
        <w:br w:type="page"/>
      </w:r>
    </w:p>
    <w:p>
      <w:pPr>
        <w:pStyle w:val="Heading1"/>
        <w:spacing w:after="180" w:before="420"/>
      </w:pPr>
      <w:r>
        <w:rPr>
          <w:rFonts w:ascii="Cambria" w:cs="Cambria" w:eastAsia="Cambria" w:hAnsi="Cambria"/>
          <w:b/>
          <w:bCs/>
          <w:color w:val="1B2A4A"/>
          <w:sz w:val="30"/>
          <w:szCs w:val="30"/>
        </w:rPr>
        <w:t xml:space="preserve">9. Priority Matrix</w:t>
      </w:r>
    </w:p>
    <w:p>
      <w:pPr>
        <w:spacing w:after="140"/>
      </w:pPr>
      <w:r>
        <w:rPr>
          <w:sz w:val="21"/>
          <w:szCs w:val="21"/>
        </w:rPr>
        <w:t xml:space="preserve">Ordered for triage — CRITICAL items affect what a judge sees before the design is even evaluated; everything else is ordered by severity, then by how cheaply it closes.</w:t>
      </w:r>
    </w:p>
    <w:tbl>
      <w:tblPr>
        <w:tblW w:type="dxa" w:w="9070"/>
        <w:tblBorders>
          <w:top w:val="single" w:color="C7CFDD" w:sz="2"/>
          <w:left w:val="single" w:color="C7CFDD" w:sz="2"/>
          <w:bottom w:val="single" w:color="C7CFDD" w:sz="2"/>
          <w:right w:val="single" w:color="C7CFDD" w:sz="2"/>
          <w:insideH w:val="single" w:color="DDE3EC" w:sz="2"/>
          <w:insideV w:val="single" w:color="DDE3EC" w:sz="2"/>
        </w:tblBorders>
      </w:tblPr>
      <w:tblGrid>
        <w:gridCol w:w="100"/>
        <w:gridCol w:w="100"/>
        <w:gridCol w:w="100"/>
        <w:gridCol w:w="100"/>
      </w:tblGrid>
      <w:tr>
        <w:trPr>
          <w:tblHeader/>
        </w:trPr>
        <w:tc>
          <w:tcPr>
            <w:shd w:fill="1B2A4A" w:val="clear"/>
            <w:tcMar>
              <w:top w:type="dxa" w:w="80"/>
              <w:left w:type="dxa" w:w="100"/>
              <w:bottom w:type="dxa" w:w="80"/>
              <w:right w:type="dxa" w:w="100"/>
            </w:tcMar>
          </w:tcPr>
          <w:p>
            <w:r>
              <w:rPr>
                <w:b/>
                <w:bCs/>
                <w:color w:val="FFFFFF"/>
                <w:sz w:val="19"/>
                <w:szCs w:val="19"/>
              </w:rPr>
              <w:t xml:space="preserve">#</w:t>
            </w:r>
          </w:p>
        </w:tc>
        <w:tc>
          <w:tcPr>
            <w:shd w:fill="1B2A4A" w:val="clear"/>
            <w:tcMar>
              <w:top w:type="dxa" w:w="80"/>
              <w:left w:type="dxa" w:w="100"/>
              <w:bottom w:type="dxa" w:w="80"/>
              <w:right w:type="dxa" w:w="100"/>
            </w:tcMar>
          </w:tcPr>
          <w:p>
            <w:r>
              <w:rPr>
                <w:b/>
                <w:bCs/>
                <w:color w:val="FFFFFF"/>
                <w:sz w:val="19"/>
                <w:szCs w:val="19"/>
              </w:rPr>
              <w:t xml:space="preserve">Finding</w:t>
            </w:r>
          </w:p>
        </w:tc>
        <w:tc>
          <w:tcPr>
            <w:shd w:fill="1B2A4A" w:val="clear"/>
            <w:tcMar>
              <w:top w:type="dxa" w:w="80"/>
              <w:left w:type="dxa" w:w="100"/>
              <w:bottom w:type="dxa" w:w="80"/>
              <w:right w:type="dxa" w:w="100"/>
            </w:tcMar>
          </w:tcPr>
          <w:p>
            <w:r>
              <w:rPr>
                <w:b/>
                <w:bCs/>
                <w:color w:val="FFFFFF"/>
                <w:sz w:val="19"/>
                <w:szCs w:val="19"/>
              </w:rPr>
              <w:t xml:space="preserve">Severity</w:t>
            </w:r>
          </w:p>
        </w:tc>
        <w:tc>
          <w:tcPr>
            <w:shd w:fill="1B2A4A" w:val="clear"/>
            <w:tcMar>
              <w:top w:type="dxa" w:w="80"/>
              <w:left w:type="dxa" w:w="100"/>
              <w:bottom w:type="dxa" w:w="80"/>
              <w:right w:type="dxa" w:w="100"/>
            </w:tcMar>
          </w:tcPr>
          <w:p>
            <w:r>
              <w:rPr>
                <w:b/>
                <w:bCs/>
                <w:color w:val="FFFFFF"/>
                <w:sz w:val="19"/>
                <w:szCs w:val="19"/>
              </w:rPr>
              <w:t xml:space="preserve">Tier</w:t>
            </w:r>
          </w:p>
        </w:tc>
      </w:tr>
      <w:tr>
        <w:tc>
          <w:tcPr>
            <w:tcW w:type="dxa" w:w="500"/>
            <w:shd w:fill="FFFFFF" w:val="clear"/>
            <w:tcMar>
              <w:top w:type="dxa" w:w="70"/>
              <w:left w:type="dxa" w:w="100"/>
              <w:bottom w:type="dxa" w:w="70"/>
              <w:right w:type="dxa" w:w="100"/>
            </w:tcMar>
          </w:tcPr>
          <w:p>
            <w:r>
              <w:rPr>
                <w:b w:val="false"/>
                <w:bCs w:val="false"/>
                <w:sz w:val="19"/>
                <w:szCs w:val="19"/>
              </w:rPr>
              <w:t xml:space="preserve">1</w:t>
            </w:r>
          </w:p>
        </w:tc>
        <w:tc>
          <w:tcPr>
            <w:tcW w:type="dxa" w:w="5200"/>
            <w:shd w:fill="FFFFFF" w:val="clear"/>
            <w:tcMar>
              <w:top w:type="dxa" w:w="70"/>
              <w:left w:type="dxa" w:w="100"/>
              <w:bottom w:type="dxa" w:w="70"/>
              <w:right w:type="dxa" w:w="100"/>
            </w:tcMar>
          </w:tcPr>
          <w:p>
            <w:r>
              <w:rPr>
                <w:b w:val="false"/>
                <w:bCs w:val="false"/>
                <w:sz w:val="19"/>
                <w:szCs w:val="19"/>
              </w:rPr>
              <w:t xml:space="preserve">SYSTEM_DESIGN.md points to a deleted file (LegaDoc_v2.md)</w:t>
            </w:r>
          </w:p>
        </w:tc>
        <w:tc>
          <w:tcPr>
            <w:tcW w:type="dxa" w:w="1500"/>
            <w:shd w:fill="FFFFFF" w:val="clear"/>
            <w:tcMar>
              <w:top w:type="dxa" w:w="70"/>
              <w:left w:type="dxa" w:w="100"/>
              <w:bottom w:type="dxa" w:w="70"/>
              <w:right w:type="dxa" w:w="100"/>
            </w:tcMar>
          </w:tcPr>
          <w:p>
            <w:r>
              <w:rPr>
                <w:b/>
                <w:bCs/>
                <w:color w:val="A23B2E"/>
                <w:sz w:val="19"/>
                <w:szCs w:val="19"/>
              </w:rPr>
              <w:t xml:space="preserve">CRITICAL</w:t>
            </w:r>
          </w:p>
        </w:tc>
        <w:tc>
          <w:tcPr>
            <w:tcW w:type="dxa" w:w="1870"/>
            <w:shd w:fill="FFFFFF" w:val="clear"/>
            <w:tcMar>
              <w:top w:type="dxa" w:w="70"/>
              <w:left w:type="dxa" w:w="100"/>
              <w:bottom w:type="dxa" w:w="70"/>
              <w:right w:type="dxa" w:w="100"/>
            </w:tcMar>
          </w:tcPr>
          <w:p>
            <w:r>
              <w:rPr>
                <w:b/>
                <w:bCs/>
                <w:color w:val="3F5C82"/>
                <w:sz w:val="19"/>
                <w:szCs w:val="19"/>
              </w:rPr>
              <w:t xml:space="preserve">Fix first</w:t>
            </w:r>
          </w:p>
        </w:tc>
      </w:tr>
      <w:tr>
        <w:tc>
          <w:tcPr>
            <w:tcW w:type="dxa" w:w="500"/>
            <w:shd w:fill="EEF2F8" w:val="clear"/>
            <w:tcMar>
              <w:top w:type="dxa" w:w="70"/>
              <w:left w:type="dxa" w:w="100"/>
              <w:bottom w:type="dxa" w:w="70"/>
              <w:right w:type="dxa" w:w="100"/>
            </w:tcMar>
          </w:tcPr>
          <w:p>
            <w:r>
              <w:rPr>
                <w:b w:val="false"/>
                <w:bCs w:val="false"/>
                <w:sz w:val="19"/>
                <w:szCs w:val="19"/>
              </w:rPr>
              <w:t xml:space="preserve">2</w:t>
            </w:r>
          </w:p>
        </w:tc>
        <w:tc>
          <w:tcPr>
            <w:tcW w:type="dxa" w:w="5200"/>
            <w:shd w:fill="EEF2F8" w:val="clear"/>
            <w:tcMar>
              <w:top w:type="dxa" w:w="70"/>
              <w:left w:type="dxa" w:w="100"/>
              <w:bottom w:type="dxa" w:w="70"/>
              <w:right w:type="dxa" w:w="100"/>
            </w:tcMar>
          </w:tcPr>
          <w:p>
            <w:r>
              <w:rPr>
                <w:b w:val="false"/>
                <w:bCs w:val="false"/>
                <w:sz w:val="19"/>
                <w:szCs w:val="19"/>
              </w:rPr>
              <w:t xml:space="preserve">Repository contains no code, not even the scaffold</w:t>
            </w:r>
          </w:p>
        </w:tc>
        <w:tc>
          <w:tcPr>
            <w:tcW w:type="dxa" w:w="1500"/>
            <w:shd w:fill="EEF2F8" w:val="clear"/>
            <w:tcMar>
              <w:top w:type="dxa" w:w="70"/>
              <w:left w:type="dxa" w:w="100"/>
              <w:bottom w:type="dxa" w:w="70"/>
              <w:right w:type="dxa" w:w="100"/>
            </w:tcMar>
          </w:tcPr>
          <w:p>
            <w:r>
              <w:rPr>
                <w:b/>
                <w:bCs/>
                <w:color w:val="A23B2E"/>
                <w:sz w:val="19"/>
                <w:szCs w:val="19"/>
              </w:rPr>
              <w:t xml:space="preserve">CRITICAL</w:t>
            </w:r>
          </w:p>
        </w:tc>
        <w:tc>
          <w:tcPr>
            <w:tcW w:type="dxa" w:w="1870"/>
            <w:shd w:fill="EEF2F8" w:val="clear"/>
            <w:tcMar>
              <w:top w:type="dxa" w:w="70"/>
              <w:left w:type="dxa" w:w="100"/>
              <w:bottom w:type="dxa" w:w="70"/>
              <w:right w:type="dxa" w:w="100"/>
            </w:tcMar>
          </w:tcPr>
          <w:p>
            <w:r>
              <w:rPr>
                <w:b/>
                <w:bCs/>
                <w:color w:val="3F5C82"/>
                <w:sz w:val="19"/>
                <w:szCs w:val="19"/>
              </w:rPr>
              <w:t xml:space="preserve">Fix first</w:t>
            </w:r>
          </w:p>
        </w:tc>
      </w:tr>
      <w:tr>
        <w:tc>
          <w:tcPr>
            <w:tcW w:type="dxa" w:w="500"/>
            <w:shd w:fill="FFFFFF" w:val="clear"/>
            <w:tcMar>
              <w:top w:type="dxa" w:w="70"/>
              <w:left w:type="dxa" w:w="100"/>
              <w:bottom w:type="dxa" w:w="70"/>
              <w:right w:type="dxa" w:w="100"/>
            </w:tcMar>
          </w:tcPr>
          <w:p>
            <w:r>
              <w:rPr>
                <w:b w:val="false"/>
                <w:bCs w:val="false"/>
                <w:sz w:val="19"/>
                <w:szCs w:val="19"/>
              </w:rPr>
              <w:t xml:space="preserve">3</w:t>
            </w:r>
          </w:p>
        </w:tc>
        <w:tc>
          <w:tcPr>
            <w:tcW w:type="dxa" w:w="5200"/>
            <w:shd w:fill="FFFFFF" w:val="clear"/>
            <w:tcMar>
              <w:top w:type="dxa" w:w="70"/>
              <w:left w:type="dxa" w:w="100"/>
              <w:bottom w:type="dxa" w:w="70"/>
              <w:right w:type="dxa" w:w="100"/>
            </w:tcMar>
          </w:tcPr>
          <w:p>
            <w:r>
              <w:rPr>
                <w:b w:val="false"/>
                <w:bCs w:val="false"/>
                <w:sz w:val="19"/>
                <w:szCs w:val="19"/>
              </w:rPr>
              <w:t xml:space="preserve">No root README</w:t>
            </w:r>
          </w:p>
        </w:tc>
        <w:tc>
          <w:tcPr>
            <w:tcW w:type="dxa" w:w="1500"/>
            <w:shd w:fill="FFFFFF" w:val="clear"/>
            <w:tcMar>
              <w:top w:type="dxa" w:w="70"/>
              <w:left w:type="dxa" w:w="100"/>
              <w:bottom w:type="dxa" w:w="70"/>
              <w:right w:type="dxa" w:w="100"/>
            </w:tcMar>
          </w:tcPr>
          <w:p>
            <w:r>
              <w:rPr>
                <w:b/>
                <w:bCs/>
                <w:color w:val="B5651D"/>
                <w:sz w:val="19"/>
                <w:szCs w:val="19"/>
              </w:rPr>
              <w:t xml:space="preserve">HIGH</w:t>
            </w:r>
          </w:p>
        </w:tc>
        <w:tc>
          <w:tcPr>
            <w:tcW w:type="dxa" w:w="1870"/>
            <w:shd w:fill="FFFFFF" w:val="clear"/>
            <w:tcMar>
              <w:top w:type="dxa" w:w="70"/>
              <w:left w:type="dxa" w:w="100"/>
              <w:bottom w:type="dxa" w:w="70"/>
              <w:right w:type="dxa" w:w="100"/>
            </w:tcMar>
          </w:tcPr>
          <w:p>
            <w:r>
              <w:rPr>
                <w:b/>
                <w:bCs/>
                <w:color w:val="3F5C82"/>
                <w:sz w:val="19"/>
                <w:szCs w:val="19"/>
              </w:rPr>
              <w:t xml:space="preserve">Fix first</w:t>
            </w:r>
          </w:p>
        </w:tc>
      </w:tr>
      <w:tr>
        <w:tc>
          <w:tcPr>
            <w:tcW w:type="dxa" w:w="500"/>
            <w:shd w:fill="EEF2F8" w:val="clear"/>
            <w:tcMar>
              <w:top w:type="dxa" w:w="70"/>
              <w:left w:type="dxa" w:w="100"/>
              <w:bottom w:type="dxa" w:w="70"/>
              <w:right w:type="dxa" w:w="100"/>
            </w:tcMar>
          </w:tcPr>
          <w:p>
            <w:r>
              <w:rPr>
                <w:b w:val="false"/>
                <w:bCs w:val="false"/>
                <w:sz w:val="19"/>
                <w:szCs w:val="19"/>
              </w:rPr>
              <w:t xml:space="preserve">4</w:t>
            </w:r>
          </w:p>
        </w:tc>
        <w:tc>
          <w:tcPr>
            <w:tcW w:type="dxa" w:w="5200"/>
            <w:shd w:fill="EEF2F8" w:val="clear"/>
            <w:tcMar>
              <w:top w:type="dxa" w:w="70"/>
              <w:left w:type="dxa" w:w="100"/>
              <w:bottom w:type="dxa" w:w="70"/>
              <w:right w:type="dxa" w:w="100"/>
            </w:tcMar>
          </w:tcPr>
          <w:p>
            <w:r>
              <w:rPr>
                <w:b w:val="false"/>
                <w:bCs w:val="false"/>
                <w:sz w:val="19"/>
                <w:szCs w:val="19"/>
              </w:rPr>
              <w:t xml:space="preserve">Case Diary bypasses the redaction pipeline</w:t>
            </w:r>
          </w:p>
        </w:tc>
        <w:tc>
          <w:tcPr>
            <w:tcW w:type="dxa" w:w="1500"/>
            <w:shd w:fill="EEF2F8" w:val="clear"/>
            <w:tcMar>
              <w:top w:type="dxa" w:w="70"/>
              <w:left w:type="dxa" w:w="100"/>
              <w:bottom w:type="dxa" w:w="70"/>
              <w:right w:type="dxa" w:w="100"/>
            </w:tcMar>
          </w:tcPr>
          <w:p>
            <w:r>
              <w:rPr>
                <w:b/>
                <w:bCs/>
                <w:color w:val="B5651D"/>
                <w:sz w:val="19"/>
                <w:szCs w:val="19"/>
              </w:rPr>
              <w:t xml:space="preserve">HIGH</w:t>
            </w:r>
          </w:p>
        </w:tc>
        <w:tc>
          <w:tcPr>
            <w:tcW w:type="dxa" w:w="1870"/>
            <w:shd w:fill="EEF2F8" w:val="clear"/>
            <w:tcMar>
              <w:top w:type="dxa" w:w="70"/>
              <w:left w:type="dxa" w:w="100"/>
              <w:bottom w:type="dxa" w:w="70"/>
              <w:right w:type="dxa" w:w="100"/>
            </w:tcMar>
          </w:tcPr>
          <w:p>
            <w:r>
              <w:rPr>
                <w:b/>
                <w:bCs/>
                <w:color w:val="3F5C82"/>
                <w:sz w:val="19"/>
                <w:szCs w:val="19"/>
              </w:rPr>
              <w:t xml:space="preserve">Fix first</w:t>
            </w:r>
          </w:p>
        </w:tc>
      </w:tr>
      <w:tr>
        <w:tc>
          <w:tcPr>
            <w:tcW w:type="dxa" w:w="500"/>
            <w:shd w:fill="FFFFFF" w:val="clear"/>
            <w:tcMar>
              <w:top w:type="dxa" w:w="70"/>
              <w:left w:type="dxa" w:w="100"/>
              <w:bottom w:type="dxa" w:w="70"/>
              <w:right w:type="dxa" w:w="100"/>
            </w:tcMar>
          </w:tcPr>
          <w:p>
            <w:r>
              <w:rPr>
                <w:b w:val="false"/>
                <w:bCs w:val="false"/>
                <w:sz w:val="19"/>
                <w:szCs w:val="19"/>
              </w:rPr>
              <w:t xml:space="preserve">5</w:t>
            </w:r>
          </w:p>
        </w:tc>
        <w:tc>
          <w:tcPr>
            <w:tcW w:type="dxa" w:w="5200"/>
            <w:shd w:fill="FFFFFF" w:val="clear"/>
            <w:tcMar>
              <w:top w:type="dxa" w:w="70"/>
              <w:left w:type="dxa" w:w="100"/>
              <w:bottom w:type="dxa" w:w="70"/>
              <w:right w:type="dxa" w:w="100"/>
            </w:tcMar>
          </w:tcPr>
          <w:p>
            <w:r>
              <w:rPr>
                <w:b w:val="false"/>
                <w:bCs w:val="false"/>
                <w:sz w:val="19"/>
                <w:szCs w:val="19"/>
              </w:rPr>
              <w:t xml:space="preserve">Audit log's own sequence isn't tamper-evident</w:t>
            </w:r>
          </w:p>
        </w:tc>
        <w:tc>
          <w:tcPr>
            <w:tcW w:type="dxa" w:w="1500"/>
            <w:shd w:fill="FFFFFF" w:val="clear"/>
            <w:tcMar>
              <w:top w:type="dxa" w:w="70"/>
              <w:left w:type="dxa" w:w="100"/>
              <w:bottom w:type="dxa" w:w="70"/>
              <w:right w:type="dxa" w:w="100"/>
            </w:tcMar>
          </w:tcPr>
          <w:p>
            <w:r>
              <w:rPr>
                <w:b/>
                <w:bCs/>
                <w:color w:val="B5651D"/>
                <w:sz w:val="19"/>
                <w:szCs w:val="19"/>
              </w:rPr>
              <w:t xml:space="preserve">HIGH</w:t>
            </w:r>
          </w:p>
        </w:tc>
        <w:tc>
          <w:tcPr>
            <w:tcW w:type="dxa" w:w="1870"/>
            <w:shd w:fill="FFFFFF" w:val="clear"/>
            <w:tcMar>
              <w:top w:type="dxa" w:w="70"/>
              <w:left w:type="dxa" w:w="100"/>
              <w:bottom w:type="dxa" w:w="70"/>
              <w:right w:type="dxa" w:w="100"/>
            </w:tcMar>
          </w:tcPr>
          <w:p>
            <w:r>
              <w:rPr>
                <w:b/>
                <w:bCs/>
                <w:color w:val="3F5C82"/>
                <w:sz w:val="19"/>
                <w:szCs w:val="19"/>
              </w:rPr>
              <w:t xml:space="preserve">Fix first</w:t>
            </w:r>
          </w:p>
        </w:tc>
      </w:tr>
      <w:tr>
        <w:tc>
          <w:tcPr>
            <w:tcW w:type="dxa" w:w="500"/>
            <w:shd w:fill="EEF2F8" w:val="clear"/>
            <w:tcMar>
              <w:top w:type="dxa" w:w="70"/>
              <w:left w:type="dxa" w:w="100"/>
              <w:bottom w:type="dxa" w:w="70"/>
              <w:right w:type="dxa" w:w="100"/>
            </w:tcMar>
          </w:tcPr>
          <w:p>
            <w:r>
              <w:rPr>
                <w:b w:val="false"/>
                <w:bCs w:val="false"/>
                <w:sz w:val="19"/>
                <w:szCs w:val="19"/>
              </w:rPr>
              <w:t xml:space="preserve">6</w:t>
            </w:r>
          </w:p>
        </w:tc>
        <w:tc>
          <w:tcPr>
            <w:tcW w:type="dxa" w:w="5200"/>
            <w:shd w:fill="EEF2F8" w:val="clear"/>
            <w:tcMar>
              <w:top w:type="dxa" w:w="70"/>
              <w:left w:type="dxa" w:w="100"/>
              <w:bottom w:type="dxa" w:w="70"/>
              <w:right w:type="dxa" w:w="100"/>
            </w:tcMar>
          </w:tcPr>
          <w:p>
            <w:r>
              <w:rPr>
                <w:b w:val="false"/>
                <w:bCs w:val="false"/>
                <w:sz w:val="19"/>
                <w:szCs w:val="19"/>
              </w:rPr>
              <w:t xml:space="preserve">No encryption specifics stated</w:t>
            </w:r>
          </w:p>
        </w:tc>
        <w:tc>
          <w:tcPr>
            <w:tcW w:type="dxa" w:w="1500"/>
            <w:shd w:fill="EEF2F8" w:val="clear"/>
            <w:tcMar>
              <w:top w:type="dxa" w:w="70"/>
              <w:left w:type="dxa" w:w="100"/>
              <w:bottom w:type="dxa" w:w="70"/>
              <w:right w:type="dxa" w:w="100"/>
            </w:tcMar>
          </w:tcPr>
          <w:p>
            <w:r>
              <w:rPr>
                <w:b/>
                <w:bCs/>
                <w:color w:val="B5651D"/>
                <w:sz w:val="19"/>
                <w:szCs w:val="19"/>
              </w:rPr>
              <w:t xml:space="preserve">HIGH</w:t>
            </w:r>
          </w:p>
        </w:tc>
        <w:tc>
          <w:tcPr>
            <w:tcW w:type="dxa" w:w="1870"/>
            <w:shd w:fill="EEF2F8" w:val="clear"/>
            <w:tcMar>
              <w:top w:type="dxa" w:w="70"/>
              <w:left w:type="dxa" w:w="100"/>
              <w:bottom w:type="dxa" w:w="70"/>
              <w:right w:type="dxa" w:w="100"/>
            </w:tcMar>
          </w:tcPr>
          <w:p>
            <w:r>
              <w:rPr>
                <w:b/>
                <w:bCs/>
                <w:color w:val="3F5C82"/>
                <w:sz w:val="19"/>
                <w:szCs w:val="19"/>
              </w:rPr>
              <w:t xml:space="preserve">Fix first</w:t>
            </w:r>
          </w:p>
        </w:tc>
      </w:tr>
      <w:tr>
        <w:tc>
          <w:tcPr>
            <w:tcW w:type="dxa" w:w="500"/>
            <w:shd w:fill="FFFFFF" w:val="clear"/>
            <w:tcMar>
              <w:top w:type="dxa" w:w="70"/>
              <w:left w:type="dxa" w:w="100"/>
              <w:bottom w:type="dxa" w:w="70"/>
              <w:right w:type="dxa" w:w="100"/>
            </w:tcMar>
          </w:tcPr>
          <w:p>
            <w:r>
              <w:rPr>
                <w:b w:val="false"/>
                <w:bCs w:val="false"/>
                <w:sz w:val="19"/>
                <w:szCs w:val="19"/>
              </w:rPr>
              <w:t xml:space="preserve">7</w:t>
            </w:r>
          </w:p>
        </w:tc>
        <w:tc>
          <w:tcPr>
            <w:tcW w:type="dxa" w:w="5200"/>
            <w:shd w:fill="FFFFFF" w:val="clear"/>
            <w:tcMar>
              <w:top w:type="dxa" w:w="70"/>
              <w:left w:type="dxa" w:w="100"/>
              <w:bottom w:type="dxa" w:w="70"/>
              <w:right w:type="dxa" w:w="100"/>
            </w:tcMar>
          </w:tcPr>
          <w:p>
            <w:r>
              <w:rPr>
                <w:b w:val="false"/>
                <w:bCs w:val="false"/>
                <w:sz w:val="19"/>
                <w:szCs w:val="19"/>
              </w:rPr>
              <w:t xml:space="preserve">No key-management / rotation story</w:t>
            </w:r>
          </w:p>
        </w:tc>
        <w:tc>
          <w:tcPr>
            <w:tcW w:type="dxa" w:w="1500"/>
            <w:shd w:fill="FFFFFF" w:val="clear"/>
            <w:tcMar>
              <w:top w:type="dxa" w:w="70"/>
              <w:left w:type="dxa" w:w="100"/>
              <w:bottom w:type="dxa" w:w="70"/>
              <w:right w:type="dxa" w:w="100"/>
            </w:tcMar>
          </w:tcPr>
          <w:p>
            <w:r>
              <w:rPr>
                <w:b/>
                <w:bCs/>
                <w:color w:val="B5651D"/>
                <w:sz w:val="19"/>
                <w:szCs w:val="19"/>
              </w:rPr>
              <w:t xml:space="preserve">HIGH</w:t>
            </w:r>
          </w:p>
        </w:tc>
        <w:tc>
          <w:tcPr>
            <w:tcW w:type="dxa" w:w="1870"/>
            <w:shd w:fill="FFFFFF" w:val="clear"/>
            <w:tcMar>
              <w:top w:type="dxa" w:w="70"/>
              <w:left w:type="dxa" w:w="100"/>
              <w:bottom w:type="dxa" w:w="70"/>
              <w:right w:type="dxa" w:w="100"/>
            </w:tcMar>
          </w:tcPr>
          <w:p>
            <w:r>
              <w:rPr>
                <w:b/>
                <w:bCs/>
                <w:color w:val="3F5C82"/>
                <w:sz w:val="19"/>
                <w:szCs w:val="19"/>
              </w:rPr>
              <w:t xml:space="preserve">Fix first</w:t>
            </w:r>
          </w:p>
        </w:tc>
      </w:tr>
      <w:tr>
        <w:tc>
          <w:tcPr>
            <w:tcW w:type="dxa" w:w="500"/>
            <w:shd w:fill="EEF2F8" w:val="clear"/>
            <w:tcMar>
              <w:top w:type="dxa" w:w="70"/>
              <w:left w:type="dxa" w:w="100"/>
              <w:bottom w:type="dxa" w:w="70"/>
              <w:right w:type="dxa" w:w="100"/>
            </w:tcMar>
          </w:tcPr>
          <w:p>
            <w:r>
              <w:rPr>
                <w:b w:val="false"/>
                <w:bCs w:val="false"/>
                <w:sz w:val="19"/>
                <w:szCs w:val="19"/>
              </w:rPr>
              <w:t xml:space="preserve">8</w:t>
            </w:r>
          </w:p>
        </w:tc>
        <w:tc>
          <w:tcPr>
            <w:tcW w:type="dxa" w:w="5200"/>
            <w:shd w:fill="EEF2F8" w:val="clear"/>
            <w:tcMar>
              <w:top w:type="dxa" w:w="70"/>
              <w:left w:type="dxa" w:w="100"/>
              <w:bottom w:type="dxa" w:w="70"/>
              <w:right w:type="dxa" w:w="100"/>
            </w:tcMar>
          </w:tcPr>
          <w:p>
            <w:r>
              <w:rPr>
                <w:b w:val="false"/>
                <w:bCs w:val="false"/>
                <w:sz w:val="19"/>
                <w:szCs w:val="19"/>
              </w:rPr>
              <w:t xml:space="preserve">No input-validation story for free-text fields</w:t>
            </w:r>
          </w:p>
        </w:tc>
        <w:tc>
          <w:tcPr>
            <w:tcW w:type="dxa" w:w="1500"/>
            <w:shd w:fill="EEF2F8" w:val="clear"/>
            <w:tcMar>
              <w:top w:type="dxa" w:w="70"/>
              <w:left w:type="dxa" w:w="100"/>
              <w:bottom w:type="dxa" w:w="70"/>
              <w:right w:type="dxa" w:w="100"/>
            </w:tcMar>
          </w:tcPr>
          <w:p>
            <w:r>
              <w:rPr>
                <w:b/>
                <w:bCs/>
                <w:color w:val="B5651D"/>
                <w:sz w:val="19"/>
                <w:szCs w:val="19"/>
              </w:rPr>
              <w:t xml:space="preserve">HIGH</w:t>
            </w:r>
          </w:p>
        </w:tc>
        <w:tc>
          <w:tcPr>
            <w:tcW w:type="dxa" w:w="1870"/>
            <w:shd w:fill="EEF2F8" w:val="clear"/>
            <w:tcMar>
              <w:top w:type="dxa" w:w="70"/>
              <w:left w:type="dxa" w:w="100"/>
              <w:bottom w:type="dxa" w:w="70"/>
              <w:right w:type="dxa" w:w="100"/>
            </w:tcMar>
          </w:tcPr>
          <w:p>
            <w:r>
              <w:rPr>
                <w:b/>
                <w:bCs/>
                <w:color w:val="3F5C82"/>
                <w:sz w:val="19"/>
                <w:szCs w:val="19"/>
              </w:rPr>
              <w:t xml:space="preserve">Fix first</w:t>
            </w:r>
          </w:p>
        </w:tc>
      </w:tr>
      <w:tr>
        <w:tc>
          <w:tcPr>
            <w:tcW w:type="dxa" w:w="500"/>
            <w:shd w:fill="FFFFFF" w:val="clear"/>
            <w:tcMar>
              <w:top w:type="dxa" w:w="70"/>
              <w:left w:type="dxa" w:w="100"/>
              <w:bottom w:type="dxa" w:w="70"/>
              <w:right w:type="dxa" w:w="100"/>
            </w:tcMar>
          </w:tcPr>
          <w:p>
            <w:r>
              <w:rPr>
                <w:b w:val="false"/>
                <w:bCs w:val="false"/>
                <w:sz w:val="19"/>
                <w:szCs w:val="19"/>
              </w:rPr>
              <w:t xml:space="preserve">9</w:t>
            </w:r>
          </w:p>
        </w:tc>
        <w:tc>
          <w:tcPr>
            <w:tcW w:type="dxa" w:w="5200"/>
            <w:shd w:fill="FFFFFF" w:val="clear"/>
            <w:tcMar>
              <w:top w:type="dxa" w:w="70"/>
              <w:left w:type="dxa" w:w="100"/>
              <w:bottom w:type="dxa" w:w="70"/>
              <w:right w:type="dxa" w:w="100"/>
            </w:tcMar>
          </w:tcPr>
          <w:p>
            <w:r>
              <w:rPr>
                <w:b w:val="false"/>
                <w:bCs w:val="false"/>
                <w:sz w:val="19"/>
                <w:szCs w:val="19"/>
              </w:rPr>
              <w:t xml:space="preserve">Data sovereignty pitch is buried</w:t>
            </w:r>
          </w:p>
        </w:tc>
        <w:tc>
          <w:tcPr>
            <w:tcW w:type="dxa" w:w="1500"/>
            <w:shd w:fill="FFFFFF" w:val="clear"/>
            <w:tcMar>
              <w:top w:type="dxa" w:w="70"/>
              <w:left w:type="dxa" w:w="100"/>
              <w:bottom w:type="dxa" w:w="70"/>
              <w:right w:type="dxa" w:w="100"/>
            </w:tcMar>
          </w:tcPr>
          <w:p>
            <w:r>
              <w:rPr>
                <w:b/>
                <w:bCs/>
                <w:color w:val="B5651D"/>
                <w:sz w:val="19"/>
                <w:szCs w:val="19"/>
              </w:rPr>
              <w:t xml:space="preserve">HIGH</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10</w:t>
            </w:r>
          </w:p>
        </w:tc>
        <w:tc>
          <w:tcPr>
            <w:tcW w:type="dxa" w:w="5200"/>
            <w:shd w:fill="EEF2F8" w:val="clear"/>
            <w:tcMar>
              <w:top w:type="dxa" w:w="70"/>
              <w:left w:type="dxa" w:w="100"/>
              <w:bottom w:type="dxa" w:w="70"/>
              <w:right w:type="dxa" w:w="100"/>
            </w:tcMar>
          </w:tcPr>
          <w:p>
            <w:r>
              <w:rPr>
                <w:b w:val="false"/>
                <w:bCs w:val="false"/>
                <w:sz w:val="19"/>
                <w:szCs w:val="19"/>
              </w:rPr>
              <w:t xml:space="preserve">No multi-language / vernacular story</w:t>
            </w:r>
          </w:p>
        </w:tc>
        <w:tc>
          <w:tcPr>
            <w:tcW w:type="dxa" w:w="1500"/>
            <w:shd w:fill="EEF2F8" w:val="clear"/>
            <w:tcMar>
              <w:top w:type="dxa" w:w="70"/>
              <w:left w:type="dxa" w:w="100"/>
              <w:bottom w:type="dxa" w:w="70"/>
              <w:right w:type="dxa" w:w="100"/>
            </w:tcMar>
          </w:tcPr>
          <w:p>
            <w:r>
              <w:rPr>
                <w:b/>
                <w:bCs/>
                <w:color w:val="B5651D"/>
                <w:sz w:val="19"/>
                <w:szCs w:val="19"/>
              </w:rPr>
              <w:t xml:space="preserve">HIGH</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r>
        <w:tc>
          <w:tcPr>
            <w:tcW w:type="dxa" w:w="500"/>
            <w:shd w:fill="FFFFFF" w:val="clear"/>
            <w:tcMar>
              <w:top w:type="dxa" w:w="70"/>
              <w:left w:type="dxa" w:w="100"/>
              <w:bottom w:type="dxa" w:w="70"/>
              <w:right w:type="dxa" w:w="100"/>
            </w:tcMar>
          </w:tcPr>
          <w:p>
            <w:r>
              <w:rPr>
                <w:b w:val="false"/>
                <w:bCs w:val="false"/>
                <w:sz w:val="19"/>
                <w:szCs w:val="19"/>
              </w:rPr>
              <w:t xml:space="preserve">11</w:t>
            </w:r>
          </w:p>
        </w:tc>
        <w:tc>
          <w:tcPr>
            <w:tcW w:type="dxa" w:w="5200"/>
            <w:shd w:fill="FFFFFF" w:val="clear"/>
            <w:tcMar>
              <w:top w:type="dxa" w:w="70"/>
              <w:left w:type="dxa" w:w="100"/>
              <w:bottom w:type="dxa" w:w="70"/>
              <w:right w:type="dxa" w:w="100"/>
            </w:tcMar>
          </w:tcPr>
          <w:p>
            <w:r>
              <w:rPr>
                <w:b w:val="false"/>
                <w:bCs w:val="false"/>
                <w:sz w:val="19"/>
                <w:szCs w:val="19"/>
              </w:rPr>
              <w:t xml:space="preserve">No problem-first narrative arc</w:t>
            </w:r>
          </w:p>
        </w:tc>
        <w:tc>
          <w:tcPr>
            <w:tcW w:type="dxa" w:w="1500"/>
            <w:shd w:fill="FFFFFF" w:val="clear"/>
            <w:tcMar>
              <w:top w:type="dxa" w:w="70"/>
              <w:left w:type="dxa" w:w="100"/>
              <w:bottom w:type="dxa" w:w="70"/>
              <w:right w:type="dxa" w:w="100"/>
            </w:tcMar>
          </w:tcPr>
          <w:p>
            <w:r>
              <w:rPr>
                <w:b/>
                <w:bCs/>
                <w:color w:val="B5651D"/>
                <w:sz w:val="19"/>
                <w:szCs w:val="19"/>
              </w:rPr>
              <w:t xml:space="preserve">HIGH</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12</w:t>
            </w:r>
          </w:p>
        </w:tc>
        <w:tc>
          <w:tcPr>
            <w:tcW w:type="dxa" w:w="5200"/>
            <w:shd w:fill="EEF2F8" w:val="clear"/>
            <w:tcMar>
              <w:top w:type="dxa" w:w="70"/>
              <w:left w:type="dxa" w:w="100"/>
              <w:bottom w:type="dxa" w:w="70"/>
              <w:right w:type="dxa" w:w="100"/>
            </w:tcMar>
          </w:tcPr>
          <w:p>
            <w:r>
              <w:rPr>
                <w:b w:val="false"/>
                <w:bCs w:val="false"/>
                <w:sz w:val="19"/>
                <w:szCs w:val="19"/>
              </w:rPr>
              <w:t xml:space="preserve">Tier-3 default redaction profile never concretely specified</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Before build</w:t>
            </w:r>
          </w:p>
        </w:tc>
      </w:tr>
      <w:tr>
        <w:tc>
          <w:tcPr>
            <w:tcW w:type="dxa" w:w="500"/>
            <w:shd w:fill="FFFFFF" w:val="clear"/>
            <w:tcMar>
              <w:top w:type="dxa" w:w="70"/>
              <w:left w:type="dxa" w:w="100"/>
              <w:bottom w:type="dxa" w:w="70"/>
              <w:right w:type="dxa" w:w="100"/>
            </w:tcMar>
          </w:tcPr>
          <w:p>
            <w:r>
              <w:rPr>
                <w:b w:val="false"/>
                <w:bCs w:val="false"/>
                <w:sz w:val="19"/>
                <w:szCs w:val="19"/>
              </w:rPr>
              <w:t xml:space="preserve">13</w:t>
            </w:r>
          </w:p>
        </w:tc>
        <w:tc>
          <w:tcPr>
            <w:tcW w:type="dxa" w:w="5200"/>
            <w:shd w:fill="FFFFFF" w:val="clear"/>
            <w:tcMar>
              <w:top w:type="dxa" w:w="70"/>
              <w:left w:type="dxa" w:w="100"/>
              <w:bottom w:type="dxa" w:w="70"/>
              <w:right w:type="dxa" w:w="100"/>
            </w:tcMar>
          </w:tcPr>
          <w:p>
            <w:r>
              <w:rPr>
                <w:b w:val="false"/>
                <w:bCs w:val="false"/>
                <w:sz w:val="19"/>
                <w:szCs w:val="19"/>
              </w:rPr>
              <w:t xml:space="preserve">Records/NCRB Analyst org membership unstated</w:t>
            </w:r>
          </w:p>
        </w:tc>
        <w:tc>
          <w:tcPr>
            <w:tcW w:type="dxa" w:w="1500"/>
            <w:shd w:fill="FFFFFF" w:val="clear"/>
            <w:tcMar>
              <w:top w:type="dxa" w:w="70"/>
              <w:left w:type="dxa" w:w="100"/>
              <w:bottom w:type="dxa" w:w="70"/>
              <w:right w:type="dxa" w:w="100"/>
            </w:tcMar>
          </w:tcPr>
          <w:p>
            <w:r>
              <w:rPr>
                <w:b/>
                <w:bCs/>
                <w:color w:val="8A6D1A"/>
                <w:sz w:val="19"/>
                <w:szCs w:val="19"/>
              </w:rPr>
              <w:t xml:space="preserve">MEDIUM</w:t>
            </w:r>
          </w:p>
        </w:tc>
        <w:tc>
          <w:tcPr>
            <w:tcW w:type="dxa" w:w="1870"/>
            <w:shd w:fill="FFFFFF" w:val="clear"/>
            <w:tcMar>
              <w:top w:type="dxa" w:w="70"/>
              <w:left w:type="dxa" w:w="100"/>
              <w:bottom w:type="dxa" w:w="70"/>
              <w:right w:type="dxa" w:w="100"/>
            </w:tcMar>
          </w:tcPr>
          <w:p>
            <w:r>
              <w:rPr>
                <w:b/>
                <w:bCs/>
                <w:color w:val="3F5C82"/>
                <w:sz w:val="19"/>
                <w:szCs w:val="19"/>
              </w:rPr>
              <w:t xml:space="preserve">Before build</w:t>
            </w:r>
          </w:p>
        </w:tc>
      </w:tr>
      <w:tr>
        <w:tc>
          <w:tcPr>
            <w:tcW w:type="dxa" w:w="500"/>
            <w:shd w:fill="EEF2F8" w:val="clear"/>
            <w:tcMar>
              <w:top w:type="dxa" w:w="70"/>
              <w:left w:type="dxa" w:w="100"/>
              <w:bottom w:type="dxa" w:w="70"/>
              <w:right w:type="dxa" w:w="100"/>
            </w:tcMar>
          </w:tcPr>
          <w:p>
            <w:r>
              <w:rPr>
                <w:b w:val="false"/>
                <w:bCs w:val="false"/>
                <w:sz w:val="19"/>
                <w:szCs w:val="19"/>
              </w:rPr>
              <w:t xml:space="preserve">14</w:t>
            </w:r>
          </w:p>
        </w:tc>
        <w:tc>
          <w:tcPr>
            <w:tcW w:type="dxa" w:w="5200"/>
            <w:shd w:fill="EEF2F8" w:val="clear"/>
            <w:tcMar>
              <w:top w:type="dxa" w:w="70"/>
              <w:left w:type="dxa" w:w="100"/>
              <w:bottom w:type="dxa" w:w="70"/>
              <w:right w:type="dxa" w:w="100"/>
            </w:tcMar>
          </w:tcPr>
          <w:p>
            <w:r>
              <w:rPr>
                <w:b w:val="false"/>
                <w:bCs w:val="false"/>
                <w:sz w:val="19"/>
                <w:szCs w:val="19"/>
              </w:rPr>
              <w:t xml:space="preserve">No offline / low-connectivity story</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r>
        <w:tc>
          <w:tcPr>
            <w:tcW w:type="dxa" w:w="500"/>
            <w:shd w:fill="FFFFFF" w:val="clear"/>
            <w:tcMar>
              <w:top w:type="dxa" w:w="70"/>
              <w:left w:type="dxa" w:w="100"/>
              <w:bottom w:type="dxa" w:w="70"/>
              <w:right w:type="dxa" w:w="100"/>
            </w:tcMar>
          </w:tcPr>
          <w:p>
            <w:r>
              <w:rPr>
                <w:b w:val="false"/>
                <w:bCs w:val="false"/>
                <w:sz w:val="19"/>
                <w:szCs w:val="19"/>
              </w:rPr>
              <w:t xml:space="preserve">15</w:t>
            </w:r>
          </w:p>
        </w:tc>
        <w:tc>
          <w:tcPr>
            <w:tcW w:type="dxa" w:w="5200"/>
            <w:shd w:fill="FFFFFF" w:val="clear"/>
            <w:tcMar>
              <w:top w:type="dxa" w:w="70"/>
              <w:left w:type="dxa" w:w="100"/>
              <w:bottom w:type="dxa" w:w="70"/>
              <w:right w:type="dxa" w:w="100"/>
            </w:tcMar>
          </w:tcPr>
          <w:p>
            <w:r>
              <w:rPr>
                <w:b w:val="false"/>
                <w:bCs w:val="false"/>
                <w:sz w:val="19"/>
                <w:szCs w:val="19"/>
              </w:rPr>
              <w:t xml:space="preserve">No mobile / field-use consideration</w:t>
            </w:r>
          </w:p>
        </w:tc>
        <w:tc>
          <w:tcPr>
            <w:tcW w:type="dxa" w:w="1500"/>
            <w:shd w:fill="FFFFFF" w:val="clear"/>
            <w:tcMar>
              <w:top w:type="dxa" w:w="70"/>
              <w:left w:type="dxa" w:w="100"/>
              <w:bottom w:type="dxa" w:w="70"/>
              <w:right w:type="dxa" w:w="100"/>
            </w:tcMar>
          </w:tcPr>
          <w:p>
            <w:r>
              <w:rPr>
                <w:b/>
                <w:bCs/>
                <w:color w:val="8A6D1A"/>
                <w:sz w:val="19"/>
                <w:szCs w:val="19"/>
              </w:rPr>
              <w:t xml:space="preserve">MEDIUM</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16</w:t>
            </w:r>
          </w:p>
        </w:tc>
        <w:tc>
          <w:tcPr>
            <w:tcW w:type="dxa" w:w="5200"/>
            <w:shd w:fill="EEF2F8" w:val="clear"/>
            <w:tcMar>
              <w:top w:type="dxa" w:w="70"/>
              <w:left w:type="dxa" w:w="100"/>
              <w:bottom w:type="dxa" w:w="70"/>
              <w:right w:type="dxa" w:w="100"/>
            </w:tcMar>
          </w:tcPr>
          <w:p>
            <w:r>
              <w:rPr>
                <w:b w:val="false"/>
                <w:bCs w:val="false"/>
                <w:sz w:val="19"/>
                <w:szCs w:val="19"/>
              </w:rPr>
              <w:t xml:space="preserve">No malware/format scanning on uploads</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Before build</w:t>
            </w:r>
          </w:p>
        </w:tc>
      </w:tr>
      <w:tr>
        <w:tc>
          <w:tcPr>
            <w:tcW w:type="dxa" w:w="500"/>
            <w:shd w:fill="FFFFFF" w:val="clear"/>
            <w:tcMar>
              <w:top w:type="dxa" w:w="70"/>
              <w:left w:type="dxa" w:w="100"/>
              <w:bottom w:type="dxa" w:w="70"/>
              <w:right w:type="dxa" w:w="100"/>
            </w:tcMar>
          </w:tcPr>
          <w:p>
            <w:r>
              <w:rPr>
                <w:b w:val="false"/>
                <w:bCs w:val="false"/>
                <w:sz w:val="19"/>
                <w:szCs w:val="19"/>
              </w:rPr>
              <w:t xml:space="preserve">17</w:t>
            </w:r>
          </w:p>
        </w:tc>
        <w:tc>
          <w:tcPr>
            <w:tcW w:type="dxa" w:w="5200"/>
            <w:shd w:fill="FFFFFF" w:val="clear"/>
            <w:tcMar>
              <w:top w:type="dxa" w:w="70"/>
              <w:left w:type="dxa" w:w="100"/>
              <w:bottom w:type="dxa" w:w="70"/>
              <w:right w:type="dxa" w:w="100"/>
            </w:tcMar>
          </w:tcPr>
          <w:p>
            <w:r>
              <w:rPr>
                <w:b w:val="false"/>
                <w:bCs w:val="false"/>
                <w:sz w:val="19"/>
                <w:szCs w:val="19"/>
              </w:rPr>
              <w:t xml:space="preserve">No search / cross-case analytics</w:t>
            </w:r>
          </w:p>
        </w:tc>
        <w:tc>
          <w:tcPr>
            <w:tcW w:type="dxa" w:w="1500"/>
            <w:shd w:fill="FFFFFF" w:val="clear"/>
            <w:tcMar>
              <w:top w:type="dxa" w:w="70"/>
              <w:left w:type="dxa" w:w="100"/>
              <w:bottom w:type="dxa" w:w="70"/>
              <w:right w:type="dxa" w:w="100"/>
            </w:tcMar>
          </w:tcPr>
          <w:p>
            <w:r>
              <w:rPr>
                <w:b/>
                <w:bCs/>
                <w:color w:val="8A6D1A"/>
                <w:sz w:val="19"/>
                <w:szCs w:val="19"/>
              </w:rPr>
              <w:t xml:space="preserve">MEDIUM</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18</w:t>
            </w:r>
          </w:p>
        </w:tc>
        <w:tc>
          <w:tcPr>
            <w:tcW w:type="dxa" w:w="5200"/>
            <w:shd w:fill="EEF2F8" w:val="clear"/>
            <w:tcMar>
              <w:top w:type="dxa" w:w="70"/>
              <w:left w:type="dxa" w:w="100"/>
              <w:bottom w:type="dxa" w:w="70"/>
              <w:right w:type="dxa" w:w="100"/>
            </w:tcMar>
          </w:tcPr>
          <w:p>
            <w:r>
              <w:rPr>
                <w:b w:val="false"/>
                <w:bCs w:val="false"/>
                <w:sz w:val="19"/>
                <w:szCs w:val="19"/>
              </w:rPr>
              <w:t xml:space="preserve">No DPDP Act compliance mapping</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r>
        <w:tc>
          <w:tcPr>
            <w:tcW w:type="dxa" w:w="500"/>
            <w:shd w:fill="FFFFFF" w:val="clear"/>
            <w:tcMar>
              <w:top w:type="dxa" w:w="70"/>
              <w:left w:type="dxa" w:w="100"/>
              <w:bottom w:type="dxa" w:w="70"/>
              <w:right w:type="dxa" w:w="100"/>
            </w:tcMar>
          </w:tcPr>
          <w:p>
            <w:r>
              <w:rPr>
                <w:b w:val="false"/>
                <w:bCs w:val="false"/>
                <w:sz w:val="19"/>
                <w:szCs w:val="19"/>
              </w:rPr>
              <w:t xml:space="preserve">19</w:t>
            </w:r>
          </w:p>
        </w:tc>
        <w:tc>
          <w:tcPr>
            <w:tcW w:type="dxa" w:w="5200"/>
            <w:shd w:fill="FFFFFF" w:val="clear"/>
            <w:tcMar>
              <w:top w:type="dxa" w:w="70"/>
              <w:left w:type="dxa" w:w="100"/>
              <w:bottom w:type="dxa" w:w="70"/>
              <w:right w:type="dxa" w:w="100"/>
            </w:tcMar>
          </w:tcPr>
          <w:p>
            <w:r>
              <w:rPr>
                <w:b w:val="false"/>
                <w:bCs w:val="false"/>
                <w:sz w:val="19"/>
                <w:szCs w:val="19"/>
              </w:rPr>
              <w:t xml:space="preserve">No rate-limiting numbers for public endpoint</w:t>
            </w:r>
          </w:p>
        </w:tc>
        <w:tc>
          <w:tcPr>
            <w:tcW w:type="dxa" w:w="1500"/>
            <w:shd w:fill="FFFFFF" w:val="clear"/>
            <w:tcMar>
              <w:top w:type="dxa" w:w="70"/>
              <w:left w:type="dxa" w:w="100"/>
              <w:bottom w:type="dxa" w:w="70"/>
              <w:right w:type="dxa" w:w="100"/>
            </w:tcMar>
          </w:tcPr>
          <w:p>
            <w:r>
              <w:rPr>
                <w:b/>
                <w:bCs/>
                <w:color w:val="8A6D1A"/>
                <w:sz w:val="19"/>
                <w:szCs w:val="19"/>
              </w:rPr>
              <w:t xml:space="preserve">MEDIUM</w:t>
            </w:r>
          </w:p>
        </w:tc>
        <w:tc>
          <w:tcPr>
            <w:tcW w:type="dxa" w:w="1870"/>
            <w:shd w:fill="FFFFFF" w:val="clear"/>
            <w:tcMar>
              <w:top w:type="dxa" w:w="70"/>
              <w:left w:type="dxa" w:w="100"/>
              <w:bottom w:type="dxa" w:w="70"/>
              <w:right w:type="dxa" w:w="100"/>
            </w:tcMar>
          </w:tcPr>
          <w:p>
            <w:r>
              <w:rPr>
                <w:b/>
                <w:bCs/>
                <w:color w:val="3F5C82"/>
                <w:sz w:val="19"/>
                <w:szCs w:val="19"/>
              </w:rPr>
              <w:t xml:space="preserve">Before build</w:t>
            </w:r>
          </w:p>
        </w:tc>
      </w:tr>
      <w:tr>
        <w:tc>
          <w:tcPr>
            <w:tcW w:type="dxa" w:w="500"/>
            <w:shd w:fill="EEF2F8" w:val="clear"/>
            <w:tcMar>
              <w:top w:type="dxa" w:w="70"/>
              <w:left w:type="dxa" w:w="100"/>
              <w:bottom w:type="dxa" w:w="70"/>
              <w:right w:type="dxa" w:w="100"/>
            </w:tcMar>
          </w:tcPr>
          <w:p>
            <w:r>
              <w:rPr>
                <w:b w:val="false"/>
                <w:bCs w:val="false"/>
                <w:sz w:val="19"/>
                <w:szCs w:val="19"/>
              </w:rPr>
              <w:t xml:space="preserve">20</w:t>
            </w:r>
          </w:p>
        </w:tc>
        <w:tc>
          <w:tcPr>
            <w:tcW w:type="dxa" w:w="5200"/>
            <w:shd w:fill="EEF2F8" w:val="clear"/>
            <w:tcMar>
              <w:top w:type="dxa" w:w="70"/>
              <w:left w:type="dxa" w:w="100"/>
              <w:bottom w:type="dxa" w:w="70"/>
              <w:right w:type="dxa" w:w="100"/>
            </w:tcMar>
          </w:tcPr>
          <w:p>
            <w:r>
              <w:rPr>
                <w:b w:val="false"/>
                <w:bCs w:val="false"/>
                <w:sz w:val="19"/>
                <w:szCs w:val="19"/>
              </w:rPr>
              <w:t xml:space="preserve">No cross-case evidence linking</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Later</w:t>
            </w:r>
          </w:p>
        </w:tc>
      </w:tr>
      <w:tr>
        <w:tc>
          <w:tcPr>
            <w:tcW w:type="dxa" w:w="500"/>
            <w:shd w:fill="FFFFFF" w:val="clear"/>
            <w:tcMar>
              <w:top w:type="dxa" w:w="70"/>
              <w:left w:type="dxa" w:w="100"/>
              <w:bottom w:type="dxa" w:w="70"/>
              <w:right w:type="dxa" w:w="100"/>
            </w:tcMar>
          </w:tcPr>
          <w:p>
            <w:r>
              <w:rPr>
                <w:b w:val="false"/>
                <w:bCs w:val="false"/>
                <w:sz w:val="19"/>
                <w:szCs w:val="19"/>
              </w:rPr>
              <w:t xml:space="preserve">21</w:t>
            </w:r>
          </w:p>
        </w:tc>
        <w:tc>
          <w:tcPr>
            <w:tcW w:type="dxa" w:w="5200"/>
            <w:shd w:fill="FFFFFF" w:val="clear"/>
            <w:tcMar>
              <w:top w:type="dxa" w:w="70"/>
              <w:left w:type="dxa" w:w="100"/>
              <w:bottom w:type="dxa" w:w="70"/>
              <w:right w:type="dxa" w:w="100"/>
            </w:tcMar>
          </w:tcPr>
          <w:p>
            <w:r>
              <w:rPr>
                <w:b w:val="false"/>
                <w:bCs w:val="false"/>
                <w:sz w:val="19"/>
                <w:szCs w:val="19"/>
              </w:rPr>
              <w:t xml:space="preserve">IO-reassignment behavior on in-flight requests unstated</w:t>
            </w:r>
          </w:p>
        </w:tc>
        <w:tc>
          <w:tcPr>
            <w:tcW w:type="dxa" w:w="1500"/>
            <w:shd w:fill="FFFFFF" w:val="clear"/>
            <w:tcMar>
              <w:top w:type="dxa" w:w="70"/>
              <w:left w:type="dxa" w:w="100"/>
              <w:bottom w:type="dxa" w:w="70"/>
              <w:right w:type="dxa" w:w="100"/>
            </w:tcMar>
          </w:tcPr>
          <w:p>
            <w:r>
              <w:rPr>
                <w:b/>
                <w:bCs/>
                <w:color w:val="8A6D1A"/>
                <w:sz w:val="19"/>
                <w:szCs w:val="19"/>
              </w:rPr>
              <w:t xml:space="preserve">MEDIUM</w:t>
            </w:r>
          </w:p>
        </w:tc>
        <w:tc>
          <w:tcPr>
            <w:tcW w:type="dxa" w:w="1870"/>
            <w:shd w:fill="FFFFFF" w:val="clear"/>
            <w:tcMar>
              <w:top w:type="dxa" w:w="70"/>
              <w:left w:type="dxa" w:w="100"/>
              <w:bottom w:type="dxa" w:w="70"/>
              <w:right w:type="dxa" w:w="100"/>
            </w:tcMar>
          </w:tcPr>
          <w:p>
            <w:r>
              <w:rPr>
                <w:b/>
                <w:bCs/>
                <w:color w:val="3F5C82"/>
                <w:sz w:val="19"/>
                <w:szCs w:val="19"/>
              </w:rPr>
              <w:t xml:space="preserve">Before build</w:t>
            </w:r>
          </w:p>
        </w:tc>
      </w:tr>
      <w:tr>
        <w:tc>
          <w:tcPr>
            <w:tcW w:type="dxa" w:w="500"/>
            <w:shd w:fill="EEF2F8" w:val="clear"/>
            <w:tcMar>
              <w:top w:type="dxa" w:w="70"/>
              <w:left w:type="dxa" w:w="100"/>
              <w:bottom w:type="dxa" w:w="70"/>
              <w:right w:type="dxa" w:w="100"/>
            </w:tcMar>
          </w:tcPr>
          <w:p>
            <w:r>
              <w:rPr>
                <w:b w:val="false"/>
                <w:bCs w:val="false"/>
                <w:sz w:val="19"/>
                <w:szCs w:val="19"/>
              </w:rPr>
              <w:t xml:space="preserve">22</w:t>
            </w:r>
          </w:p>
        </w:tc>
        <w:tc>
          <w:tcPr>
            <w:tcW w:type="dxa" w:w="5200"/>
            <w:shd w:fill="EEF2F8" w:val="clear"/>
            <w:tcMar>
              <w:top w:type="dxa" w:w="70"/>
              <w:left w:type="dxa" w:w="100"/>
              <w:bottom w:type="dxa" w:w="70"/>
              <w:right w:type="dxa" w:w="100"/>
            </w:tcMar>
          </w:tcPr>
          <w:p>
            <w:r>
              <w:rPr>
                <w:b w:val="false"/>
                <w:bCs w:val="false"/>
                <w:sz w:val="19"/>
                <w:szCs w:val="19"/>
              </w:rPr>
              <w:t xml:space="preserve">No victim-facing status tracking</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r>
        <w:tc>
          <w:tcPr>
            <w:tcW w:type="dxa" w:w="500"/>
            <w:shd w:fill="FFFFFF" w:val="clear"/>
            <w:tcMar>
              <w:top w:type="dxa" w:w="70"/>
              <w:left w:type="dxa" w:w="100"/>
              <w:bottom w:type="dxa" w:w="70"/>
              <w:right w:type="dxa" w:w="100"/>
            </w:tcMar>
          </w:tcPr>
          <w:p>
            <w:r>
              <w:rPr>
                <w:b w:val="false"/>
                <w:bCs w:val="false"/>
                <w:sz w:val="19"/>
                <w:szCs w:val="19"/>
              </w:rPr>
              <w:t xml:space="preserve">23</w:t>
            </w:r>
          </w:p>
        </w:tc>
        <w:tc>
          <w:tcPr>
            <w:tcW w:type="dxa" w:w="5200"/>
            <w:shd w:fill="FFFFFF" w:val="clear"/>
            <w:tcMar>
              <w:top w:type="dxa" w:w="70"/>
              <w:left w:type="dxa" w:w="100"/>
              <w:bottom w:type="dxa" w:w="70"/>
              <w:right w:type="dxa" w:w="100"/>
            </w:tcMar>
          </w:tcPr>
          <w:p>
            <w:r>
              <w:rPr>
                <w:b w:val="false"/>
                <w:bCs w:val="false"/>
                <w:sz w:val="19"/>
                <w:szCs w:val="19"/>
              </w:rPr>
              <w:t xml:space="preserve">No quantified impact claim</w:t>
            </w:r>
          </w:p>
        </w:tc>
        <w:tc>
          <w:tcPr>
            <w:tcW w:type="dxa" w:w="1500"/>
            <w:shd w:fill="FFFFFF" w:val="clear"/>
            <w:tcMar>
              <w:top w:type="dxa" w:w="70"/>
              <w:left w:type="dxa" w:w="100"/>
              <w:bottom w:type="dxa" w:w="70"/>
              <w:right w:type="dxa" w:w="100"/>
            </w:tcMar>
          </w:tcPr>
          <w:p>
            <w:r>
              <w:rPr>
                <w:b/>
                <w:bCs/>
                <w:color w:val="8A6D1A"/>
                <w:sz w:val="19"/>
                <w:szCs w:val="19"/>
              </w:rPr>
              <w:t xml:space="preserve">MEDIUM</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24</w:t>
            </w:r>
          </w:p>
        </w:tc>
        <w:tc>
          <w:tcPr>
            <w:tcW w:type="dxa" w:w="5200"/>
            <w:shd w:fill="EEF2F8" w:val="clear"/>
            <w:tcMar>
              <w:top w:type="dxa" w:w="70"/>
              <w:left w:type="dxa" w:w="100"/>
              <w:bottom w:type="dxa" w:w="70"/>
              <w:right w:type="dxa" w:w="100"/>
            </w:tcMar>
          </w:tcPr>
          <w:p>
            <w:r>
              <w:rPr>
                <w:b w:val="false"/>
                <w:bCs w:val="false"/>
                <w:sz w:val="19"/>
                <w:szCs w:val="19"/>
              </w:rPr>
              <w:t xml:space="preserve">No competitive positioning vs. CCTNS/e-Courts</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r>
        <w:tc>
          <w:tcPr>
            <w:tcW w:type="dxa" w:w="500"/>
            <w:shd w:fill="FFFFFF" w:val="clear"/>
            <w:tcMar>
              <w:top w:type="dxa" w:w="70"/>
              <w:left w:type="dxa" w:w="100"/>
              <w:bottom w:type="dxa" w:w="70"/>
              <w:right w:type="dxa" w:w="100"/>
            </w:tcMar>
          </w:tcPr>
          <w:p>
            <w:r>
              <w:rPr>
                <w:b w:val="false"/>
                <w:bCs w:val="false"/>
                <w:sz w:val="19"/>
                <w:szCs w:val="19"/>
              </w:rPr>
              <w:t xml:space="preserve">25</w:t>
            </w:r>
          </w:p>
        </w:tc>
        <w:tc>
          <w:tcPr>
            <w:tcW w:type="dxa" w:w="5200"/>
            <w:shd w:fill="FFFFFF" w:val="clear"/>
            <w:tcMar>
              <w:top w:type="dxa" w:w="70"/>
              <w:left w:type="dxa" w:w="100"/>
              <w:bottom w:type="dxa" w:w="70"/>
              <w:right w:type="dxa" w:w="100"/>
            </w:tcMar>
          </w:tcPr>
          <w:p>
            <w:r>
              <w:rPr>
                <w:b w:val="false"/>
                <w:bCs w:val="false"/>
                <w:sz w:val="19"/>
                <w:szCs w:val="19"/>
              </w:rPr>
              <w:t xml:space="preserve">No UI/UX mockups shown anywhere</w:t>
            </w:r>
          </w:p>
        </w:tc>
        <w:tc>
          <w:tcPr>
            <w:tcW w:type="dxa" w:w="1500"/>
            <w:shd w:fill="FFFFFF" w:val="clear"/>
            <w:tcMar>
              <w:top w:type="dxa" w:w="70"/>
              <w:left w:type="dxa" w:w="100"/>
              <w:bottom w:type="dxa" w:w="70"/>
              <w:right w:type="dxa" w:w="100"/>
            </w:tcMar>
          </w:tcPr>
          <w:p>
            <w:r>
              <w:rPr>
                <w:b/>
                <w:bCs/>
                <w:color w:val="8A6D1A"/>
                <w:sz w:val="19"/>
                <w:szCs w:val="19"/>
              </w:rPr>
              <w:t xml:space="preserve">MEDIUM</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26</w:t>
            </w:r>
          </w:p>
        </w:tc>
        <w:tc>
          <w:tcPr>
            <w:tcW w:type="dxa" w:w="5200"/>
            <w:shd w:fill="EEF2F8" w:val="clear"/>
            <w:tcMar>
              <w:top w:type="dxa" w:w="70"/>
              <w:left w:type="dxa" w:w="100"/>
              <w:bottom w:type="dxa" w:w="70"/>
              <w:right w:type="dxa" w:w="100"/>
            </w:tcMar>
          </w:tcPr>
          <w:p>
            <w:r>
              <w:rPr>
                <w:b w:val="false"/>
                <w:bCs w:val="false"/>
                <w:sz w:val="19"/>
                <w:szCs w:val="19"/>
              </w:rPr>
              <w:t xml:space="preserve">Engineering-audit tone unsuited to a judge-facing pitch</w:t>
            </w:r>
          </w:p>
        </w:tc>
        <w:tc>
          <w:tcPr>
            <w:tcW w:type="dxa" w:w="1500"/>
            <w:shd w:fill="EEF2F8" w:val="clear"/>
            <w:tcMar>
              <w:top w:type="dxa" w:w="70"/>
              <w:left w:type="dxa" w:w="100"/>
              <w:bottom w:type="dxa" w:w="70"/>
              <w:right w:type="dxa" w:w="100"/>
            </w:tcMar>
          </w:tcPr>
          <w:p>
            <w:r>
              <w:rPr>
                <w:b/>
                <w:bCs/>
                <w:color w:val="8A6D1A"/>
                <w:sz w:val="19"/>
                <w:szCs w:val="19"/>
              </w:rPr>
              <w:t xml:space="preserve">MEDIUM</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r>
        <w:tc>
          <w:tcPr>
            <w:tcW w:type="dxa" w:w="500"/>
            <w:shd w:fill="FFFFFF" w:val="clear"/>
            <w:tcMar>
              <w:top w:type="dxa" w:w="70"/>
              <w:left w:type="dxa" w:w="100"/>
              <w:bottom w:type="dxa" w:w="70"/>
              <w:right w:type="dxa" w:w="100"/>
            </w:tcMar>
          </w:tcPr>
          <w:p>
            <w:r>
              <w:rPr>
                <w:b w:val="false"/>
                <w:bCs w:val="false"/>
                <w:sz w:val="19"/>
                <w:szCs w:val="19"/>
              </w:rPr>
              <w:t xml:space="preserve">27</w:t>
            </w:r>
          </w:p>
        </w:tc>
        <w:tc>
          <w:tcPr>
            <w:tcW w:type="dxa" w:w="5200"/>
            <w:shd w:fill="FFFFFF" w:val="clear"/>
            <w:tcMar>
              <w:top w:type="dxa" w:w="70"/>
              <w:left w:type="dxa" w:w="100"/>
              <w:bottom w:type="dxa" w:w="70"/>
              <w:right w:type="dxa" w:w="100"/>
            </w:tcMar>
          </w:tcPr>
          <w:p>
            <w:r>
              <w:rPr>
                <w:b w:val="false"/>
                <w:bCs w:val="false"/>
                <w:sz w:val="19"/>
                <w:szCs w:val="19"/>
              </w:rPr>
              <w:t xml:space="preserve">No CCTNS/e-Courts/ICJS integration story</w:t>
            </w:r>
          </w:p>
        </w:tc>
        <w:tc>
          <w:tcPr>
            <w:tcW w:type="dxa" w:w="1500"/>
            <w:shd w:fill="FFFFFF" w:val="clear"/>
            <w:tcMar>
              <w:top w:type="dxa" w:w="70"/>
              <w:left w:type="dxa" w:w="100"/>
              <w:bottom w:type="dxa" w:w="70"/>
              <w:right w:type="dxa" w:w="100"/>
            </w:tcMar>
          </w:tcPr>
          <w:p>
            <w:r>
              <w:rPr>
                <w:b/>
                <w:bCs/>
                <w:color w:val="5A6474"/>
                <w:sz w:val="19"/>
                <w:szCs w:val="19"/>
              </w:rPr>
              <w:t xml:space="preserve">LOW</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28</w:t>
            </w:r>
          </w:p>
        </w:tc>
        <w:tc>
          <w:tcPr>
            <w:tcW w:type="dxa" w:w="5200"/>
            <w:shd w:fill="EEF2F8" w:val="clear"/>
            <w:tcMar>
              <w:top w:type="dxa" w:w="70"/>
              <w:left w:type="dxa" w:w="100"/>
              <w:bottom w:type="dxa" w:w="70"/>
              <w:right w:type="dxa" w:w="100"/>
            </w:tcMar>
          </w:tcPr>
          <w:p>
            <w:r>
              <w:rPr>
                <w:b w:val="false"/>
                <w:bCs w:val="false"/>
                <w:sz w:val="19"/>
                <w:szCs w:val="19"/>
              </w:rPr>
              <w:t xml:space="preserve">No pen-test / security-audit plan stated</w:t>
            </w:r>
          </w:p>
        </w:tc>
        <w:tc>
          <w:tcPr>
            <w:tcW w:type="dxa" w:w="1500"/>
            <w:shd w:fill="EEF2F8" w:val="clear"/>
            <w:tcMar>
              <w:top w:type="dxa" w:w="70"/>
              <w:left w:type="dxa" w:w="100"/>
              <w:bottom w:type="dxa" w:w="70"/>
              <w:right w:type="dxa" w:w="100"/>
            </w:tcMar>
          </w:tcPr>
          <w:p>
            <w:r>
              <w:rPr>
                <w:b/>
                <w:bCs/>
                <w:color w:val="5A6474"/>
                <w:sz w:val="19"/>
                <w:szCs w:val="19"/>
              </w:rPr>
              <w:t xml:space="preserve">LOW</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r>
        <w:tc>
          <w:tcPr>
            <w:tcW w:type="dxa" w:w="500"/>
            <w:shd w:fill="FFFFFF" w:val="clear"/>
            <w:tcMar>
              <w:top w:type="dxa" w:w="70"/>
              <w:left w:type="dxa" w:w="100"/>
              <w:bottom w:type="dxa" w:w="70"/>
              <w:right w:type="dxa" w:w="100"/>
            </w:tcMar>
          </w:tcPr>
          <w:p>
            <w:r>
              <w:rPr>
                <w:b w:val="false"/>
                <w:bCs w:val="false"/>
                <w:sz w:val="19"/>
                <w:szCs w:val="19"/>
              </w:rPr>
              <w:t xml:space="preserve">29</w:t>
            </w:r>
          </w:p>
        </w:tc>
        <w:tc>
          <w:tcPr>
            <w:tcW w:type="dxa" w:w="5200"/>
            <w:shd w:fill="FFFFFF" w:val="clear"/>
            <w:tcMar>
              <w:top w:type="dxa" w:w="70"/>
              <w:left w:type="dxa" w:w="100"/>
              <w:bottom w:type="dxa" w:w="70"/>
              <w:right w:type="dxa" w:w="100"/>
            </w:tcMar>
          </w:tcPr>
          <w:p>
            <w:r>
              <w:rPr>
                <w:b w:val="false"/>
                <w:bCs w:val="false"/>
                <w:sz w:val="19"/>
                <w:szCs w:val="19"/>
              </w:rPr>
              <w:t xml:space="preserve">No case-closure terminal state for unresolved bail</w:t>
            </w:r>
          </w:p>
        </w:tc>
        <w:tc>
          <w:tcPr>
            <w:tcW w:type="dxa" w:w="1500"/>
            <w:shd w:fill="FFFFFF" w:val="clear"/>
            <w:tcMar>
              <w:top w:type="dxa" w:w="70"/>
              <w:left w:type="dxa" w:w="100"/>
              <w:bottom w:type="dxa" w:w="70"/>
              <w:right w:type="dxa" w:w="100"/>
            </w:tcMar>
          </w:tcPr>
          <w:p>
            <w:r>
              <w:rPr>
                <w:b/>
                <w:bCs/>
                <w:color w:val="5A6474"/>
                <w:sz w:val="19"/>
                <w:szCs w:val="19"/>
              </w:rPr>
              <w:t xml:space="preserve">LOW</w:t>
            </w:r>
          </w:p>
        </w:tc>
        <w:tc>
          <w:tcPr>
            <w:tcW w:type="dxa" w:w="1870"/>
            <w:shd w:fill="FFFFFF" w:val="clear"/>
            <w:tcMar>
              <w:top w:type="dxa" w:w="70"/>
              <w:left w:type="dxa" w:w="100"/>
              <w:bottom w:type="dxa" w:w="70"/>
              <w:right w:type="dxa" w:w="100"/>
            </w:tcMar>
          </w:tcPr>
          <w:p>
            <w:r>
              <w:rPr>
                <w:b/>
                <w:bCs/>
                <w:color w:val="3F5C82"/>
                <w:sz w:val="19"/>
                <w:szCs w:val="19"/>
              </w:rPr>
              <w:t xml:space="preserve">Later</w:t>
            </w:r>
          </w:p>
        </w:tc>
      </w:tr>
      <w:tr>
        <w:tc>
          <w:tcPr>
            <w:tcW w:type="dxa" w:w="500"/>
            <w:shd w:fill="EEF2F8" w:val="clear"/>
            <w:tcMar>
              <w:top w:type="dxa" w:w="70"/>
              <w:left w:type="dxa" w:w="100"/>
              <w:bottom w:type="dxa" w:w="70"/>
              <w:right w:type="dxa" w:w="100"/>
            </w:tcMar>
          </w:tcPr>
          <w:p>
            <w:r>
              <w:rPr>
                <w:b w:val="false"/>
                <w:bCs w:val="false"/>
                <w:sz w:val="19"/>
                <w:szCs w:val="19"/>
              </w:rPr>
              <w:t xml:space="preserve">30</w:t>
            </w:r>
          </w:p>
        </w:tc>
        <w:tc>
          <w:tcPr>
            <w:tcW w:type="dxa" w:w="5200"/>
            <w:shd w:fill="EEF2F8" w:val="clear"/>
            <w:tcMar>
              <w:top w:type="dxa" w:w="70"/>
              <w:left w:type="dxa" w:w="100"/>
              <w:bottom w:type="dxa" w:w="70"/>
              <w:right w:type="dxa" w:w="100"/>
            </w:tcMar>
          </w:tcPr>
          <w:p>
            <w:r>
              <w:rPr>
                <w:b w:val="false"/>
                <w:bCs w:val="false"/>
                <w:sz w:val="19"/>
                <w:szCs w:val="19"/>
              </w:rPr>
              <w:t xml:space="preserve">No admin config-change audit trail</w:t>
            </w:r>
          </w:p>
        </w:tc>
        <w:tc>
          <w:tcPr>
            <w:tcW w:type="dxa" w:w="1500"/>
            <w:shd w:fill="EEF2F8" w:val="clear"/>
            <w:tcMar>
              <w:top w:type="dxa" w:w="70"/>
              <w:left w:type="dxa" w:w="100"/>
              <w:bottom w:type="dxa" w:w="70"/>
              <w:right w:type="dxa" w:w="100"/>
            </w:tcMar>
          </w:tcPr>
          <w:p>
            <w:r>
              <w:rPr>
                <w:b/>
                <w:bCs/>
                <w:color w:val="5A6474"/>
                <w:sz w:val="19"/>
                <w:szCs w:val="19"/>
              </w:rPr>
              <w:t xml:space="preserve">LOW</w:t>
            </w:r>
          </w:p>
        </w:tc>
        <w:tc>
          <w:tcPr>
            <w:tcW w:type="dxa" w:w="1870"/>
            <w:shd w:fill="EEF2F8" w:val="clear"/>
            <w:tcMar>
              <w:top w:type="dxa" w:w="70"/>
              <w:left w:type="dxa" w:w="100"/>
              <w:bottom w:type="dxa" w:w="70"/>
              <w:right w:type="dxa" w:w="100"/>
            </w:tcMar>
          </w:tcPr>
          <w:p>
            <w:r>
              <w:rPr>
                <w:b/>
                <w:bCs/>
                <w:color w:val="3F5C82"/>
                <w:sz w:val="19"/>
                <w:szCs w:val="19"/>
              </w:rPr>
              <w:t xml:space="preserve">Later</w:t>
            </w:r>
          </w:p>
        </w:tc>
      </w:tr>
      <w:tr>
        <w:tc>
          <w:tcPr>
            <w:tcW w:type="dxa" w:w="500"/>
            <w:shd w:fill="FFFFFF" w:val="clear"/>
            <w:tcMar>
              <w:top w:type="dxa" w:w="70"/>
              <w:left w:type="dxa" w:w="100"/>
              <w:bottom w:type="dxa" w:w="70"/>
              <w:right w:type="dxa" w:w="100"/>
            </w:tcMar>
          </w:tcPr>
          <w:p>
            <w:r>
              <w:rPr>
                <w:b w:val="false"/>
                <w:bCs w:val="false"/>
                <w:sz w:val="19"/>
                <w:szCs w:val="19"/>
              </w:rPr>
              <w:t xml:space="preserve">31</w:t>
            </w:r>
          </w:p>
        </w:tc>
        <w:tc>
          <w:tcPr>
            <w:tcW w:type="dxa" w:w="5200"/>
            <w:shd w:fill="FFFFFF" w:val="clear"/>
            <w:tcMar>
              <w:top w:type="dxa" w:w="70"/>
              <w:left w:type="dxa" w:w="100"/>
              <w:bottom w:type="dxa" w:w="70"/>
              <w:right w:type="dxa" w:w="100"/>
            </w:tcMar>
          </w:tcPr>
          <w:p>
            <w:r>
              <w:rPr>
                <w:b w:val="false"/>
                <w:bCs w:val="false"/>
                <w:sz w:val="19"/>
                <w:szCs w:val="19"/>
              </w:rPr>
              <w:t xml:space="preserve">No live tamper-attempt demo moment planned</w:t>
            </w:r>
          </w:p>
        </w:tc>
        <w:tc>
          <w:tcPr>
            <w:tcW w:type="dxa" w:w="1500"/>
            <w:shd w:fill="FFFFFF" w:val="clear"/>
            <w:tcMar>
              <w:top w:type="dxa" w:w="70"/>
              <w:left w:type="dxa" w:w="100"/>
              <w:bottom w:type="dxa" w:w="70"/>
              <w:right w:type="dxa" w:w="100"/>
            </w:tcMar>
          </w:tcPr>
          <w:p>
            <w:r>
              <w:rPr>
                <w:b/>
                <w:bCs/>
                <w:color w:val="5A6474"/>
                <w:sz w:val="19"/>
                <w:szCs w:val="19"/>
              </w:rPr>
              <w:t xml:space="preserve">LOW</w:t>
            </w:r>
          </w:p>
        </w:tc>
        <w:tc>
          <w:tcPr>
            <w:tcW w:type="dxa" w:w="1870"/>
            <w:shd w:fill="FFFFFF" w:val="clear"/>
            <w:tcMar>
              <w:top w:type="dxa" w:w="70"/>
              <w:left w:type="dxa" w:w="100"/>
              <w:bottom w:type="dxa" w:w="70"/>
              <w:right w:type="dxa" w:w="100"/>
            </w:tcMar>
          </w:tcPr>
          <w:p>
            <w:r>
              <w:rPr>
                <w:b/>
                <w:bCs/>
                <w:color w:val="3F5C82"/>
                <w:sz w:val="19"/>
                <w:szCs w:val="19"/>
              </w:rPr>
              <w:t xml:space="preserve">Before pitch</w:t>
            </w:r>
          </w:p>
        </w:tc>
      </w:tr>
      <w:tr>
        <w:tc>
          <w:tcPr>
            <w:tcW w:type="dxa" w:w="500"/>
            <w:shd w:fill="EEF2F8" w:val="clear"/>
            <w:tcMar>
              <w:top w:type="dxa" w:w="70"/>
              <w:left w:type="dxa" w:w="100"/>
              <w:bottom w:type="dxa" w:w="70"/>
              <w:right w:type="dxa" w:w="100"/>
            </w:tcMar>
          </w:tcPr>
          <w:p>
            <w:r>
              <w:rPr>
                <w:b w:val="false"/>
                <w:bCs w:val="false"/>
                <w:sz w:val="19"/>
                <w:szCs w:val="19"/>
              </w:rPr>
              <w:t xml:space="preserve">32</w:t>
            </w:r>
          </w:p>
        </w:tc>
        <w:tc>
          <w:tcPr>
            <w:tcW w:type="dxa" w:w="5200"/>
            <w:shd w:fill="EEF2F8" w:val="clear"/>
            <w:tcMar>
              <w:top w:type="dxa" w:w="70"/>
              <w:left w:type="dxa" w:w="100"/>
              <w:bottom w:type="dxa" w:w="70"/>
              <w:right w:type="dxa" w:w="100"/>
            </w:tcMar>
          </w:tcPr>
          <w:p>
            <w:r>
              <w:rPr>
                <w:b w:val="false"/>
                <w:bCs w:val="false"/>
                <w:sz w:val="19"/>
                <w:szCs w:val="19"/>
              </w:rPr>
              <w:t xml:space="preserve">No rehearsed Q&amp;A answer set</w:t>
            </w:r>
          </w:p>
        </w:tc>
        <w:tc>
          <w:tcPr>
            <w:tcW w:type="dxa" w:w="1500"/>
            <w:shd w:fill="EEF2F8" w:val="clear"/>
            <w:tcMar>
              <w:top w:type="dxa" w:w="70"/>
              <w:left w:type="dxa" w:w="100"/>
              <w:bottom w:type="dxa" w:w="70"/>
              <w:right w:type="dxa" w:w="100"/>
            </w:tcMar>
          </w:tcPr>
          <w:p>
            <w:r>
              <w:rPr>
                <w:b/>
                <w:bCs/>
                <w:color w:val="5A6474"/>
                <w:sz w:val="19"/>
                <w:szCs w:val="19"/>
              </w:rPr>
              <w:t xml:space="preserve">LOW</w:t>
            </w:r>
          </w:p>
        </w:tc>
        <w:tc>
          <w:tcPr>
            <w:tcW w:type="dxa" w:w="1870"/>
            <w:shd w:fill="EEF2F8" w:val="clear"/>
            <w:tcMar>
              <w:top w:type="dxa" w:w="70"/>
              <w:left w:type="dxa" w:w="100"/>
              <w:bottom w:type="dxa" w:w="70"/>
              <w:right w:type="dxa" w:w="100"/>
            </w:tcMar>
          </w:tcPr>
          <w:p>
            <w:r>
              <w:rPr>
                <w:b/>
                <w:bCs/>
                <w:color w:val="3F5C82"/>
                <w:sz w:val="19"/>
                <w:szCs w:val="19"/>
              </w:rPr>
              <w:t xml:space="preserve">Before pitch</w:t>
            </w:r>
          </w:p>
        </w:tc>
      </w:tr>
    </w:tbl>
    <w:p>
      <w:r>
        <w:br w:type="page"/>
      </w:r>
    </w:p>
    <w:p>
      <w:pPr>
        <w:pStyle w:val="Heading1"/>
        <w:spacing w:after="180" w:before="420"/>
      </w:pPr>
      <w:r>
        <w:rPr>
          <w:rFonts w:ascii="Cambria" w:cs="Cambria" w:eastAsia="Cambria" w:hAnsi="Cambria"/>
          <w:b/>
          <w:bCs/>
          <w:color w:val="1B2A4A"/>
          <w:sz w:val="30"/>
          <w:szCs w:val="30"/>
        </w:rPr>
        <w:t xml:space="preserve">10. Recommended Next Steps</w:t>
      </w:r>
    </w:p>
    <w:p>
      <w:pPr>
        <w:spacing w:after="140"/>
      </w:pPr>
      <w:r>
        <w:rPr>
          <w:sz w:val="21"/>
          <w:szCs w:val="21"/>
        </w:rPr>
        <w:t xml:space="preserve">This report is the audit only — nothing above has been changed in the design or the repository. Suggested sequencing once you approve:</w:t>
      </w:r>
    </w:p>
    <w:p>
      <w:pPr>
        <w:pStyle w:val="ListParagraph"/>
        <w:numPr>
          <w:ilvl w:val="0"/>
          <w:numId w:val="1"/>
        </w:numPr>
        <w:spacing w:after="80"/>
      </w:pPr>
      <w:r>
        <w:rPr>
          <w:sz w:val="21"/>
          <w:szCs w:val="21"/>
        </w:rPr>
        <w:t xml:space="preserve">Triage this report: mark each finding accept / reject / defer. A few (like multi-language and mobile) may be deliberate, stated exclusions rather than fixes — that's a legitimate outcome, as long as it's a decision, not a silence.</w:t>
      </w:r>
    </w:p>
    <w:p>
      <w:pPr>
        <w:pStyle w:val="ListParagraph"/>
        <w:numPr>
          <w:ilvl w:val="0"/>
          <w:numId w:val="1"/>
        </w:numPr>
        <w:spacing w:after="80"/>
      </w:pPr>
      <w:r>
        <w:rPr>
          <w:sz w:val="21"/>
          <w:szCs w:val="21"/>
        </w:rPr>
        <w:t xml:space="preserve">Fix the three CRITICAL/repo-readiness items first — they cost the least effort and the most credibility if left as-is.</w:t>
      </w:r>
    </w:p>
    <w:p>
      <w:pPr>
        <w:pStyle w:val="ListParagraph"/>
        <w:numPr>
          <w:ilvl w:val="0"/>
          <w:numId w:val="1"/>
        </w:numPr>
        <w:spacing w:after="80"/>
      </w:pPr>
      <w:r>
        <w:rPr>
          <w:sz w:val="21"/>
          <w:szCs w:val="21"/>
        </w:rPr>
        <w:t xml:space="preserve">Fold the accepted HIGH-severity technical and security items into SYSTEM_DESIGN.md directly.</w:t>
      </w:r>
    </w:p>
    <w:p>
      <w:pPr>
        <w:pStyle w:val="ListParagraph"/>
        <w:numPr>
          <w:ilvl w:val="0"/>
          <w:numId w:val="1"/>
        </w:numPr>
        <w:spacing w:after="80"/>
      </w:pPr>
      <w:r>
        <w:rPr>
          <w:sz w:val="21"/>
          <w:szCs w:val="21"/>
        </w:rPr>
        <w:t xml:space="preserve">Build the pitch narrative as a separate artifact from the engineering document — same facts, different voice, leading with the Missing Selling Points section above.</w:t>
      </w:r>
    </w:p>
    <w:p>
      <w:pPr>
        <w:pStyle w:val="ListParagraph"/>
        <w:numPr>
          <w:ilvl w:val="0"/>
          <w:numId w:val="1"/>
        </w:numPr>
        <w:spacing w:after="80"/>
      </w:pPr>
      <w:r>
        <w:rPr>
          <w:sz w:val="21"/>
          <w:szCs w:val="21"/>
        </w:rPr>
        <w:t xml:space="preserve">Turn the Recommended-fix column into the team's Q&amp;A prep sheet regardless of how many items are actually built before judging.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2026-09-01T05:35:45.054Z</dcterms:created>
  <dcterms:modified xsi:type="dcterms:W3CDTF">2026-09-01T05:35:45.055Z</dcterms:modified>
</cp:coreProperties>
</file>

<file path=docProps/custom.xml><?xml version="1.0" encoding="utf-8"?>
<Properties xmlns="http://schemas.openxmlformats.org/officeDocument/2006/custom-properties" xmlns:vt="http://schemas.openxmlformats.org/officeDocument/2006/docPropsVTypes"/>
</file>