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3F5C82"/>
          <w:spacing w:val="20"/>
          <w:sz w:val="28"/>
          <w:szCs w:val="28"/>
        </w:rPr>
        <w:t xml:space="preserve">SIH26190</w:t>
      </w:r>
    </w:p>
    <w:p>
      <w:pPr>
        <w:spacing w:after="200"/>
        <w:jc w:val="center"/>
      </w:pPr>
      <w:r>
        <w:rPr>
          <w:b/>
          <w:bCs/>
          <w:color w:val="1B2A4A"/>
          <w:sz w:val="52"/>
          <w:szCs w:val="52"/>
        </w:rPr>
        <w:t xml:space="preserve">Secure Digital Document Management System</w:t>
      </w:r>
    </w:p>
    <w:p>
      <w:pPr>
        <w:spacing w:after="600"/>
        <w:jc w:val="center"/>
      </w:pPr>
      <w:r>
        <w:rPr>
          <w:i/>
          <w:iCs/>
          <w:color w:val="3F5C82"/>
          <w:sz w:val="24"/>
          <w:szCs w:val="24"/>
        </w:rPr>
        <w:t xml:space="preserve">Full System Design Reference — Architecture, Connections, Flows &amp; Domain Views</w:t>
      </w:r>
    </w:p>
    <w:p>
      <w:r>
        <w:br w:type="page"/>
      </w:r>
    </w:p>
    <w:p>
      <w:pPr>
        <w:pStyle w:val="Title"/>
        <w:spacing w:after="200" w:before="20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System Design — SIH26190 Secure Digital Document Management System</w:t>
      </w:r>
    </w:p>
    <w:p>
      <w:pPr>
        <w:pStyle w:val="Heading1"/>
        <w:spacing w:after="160" w:before="3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Full Reference: Architecture, Connections, Flows &amp; Domain Views</w:t>
      </w:r>
    </w:p>
    <w:p>
      <w:pPr>
        <w:shd w:fill="EEF2F8" w:val="clear"/>
        <w:spacing w:after="100" w:before="100"/>
        <w:ind w:left="400"/>
      </w:pPr>
      <w:r>
        <w:rPr>
          <w:b/>
          <w:bCs/>
          <w:i/>
          <w:iCs/>
          <w:strike w:val="false"/>
          <w:color w:val="3F5C82"/>
          <w:sz w:val="21"/>
          <w:szCs w:val="21"/>
        </w:rPr>
        <w:t xml:space="preserve">Source of truth</w:t>
      </w: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: this document diagrams and explains decisions already made in</w:t>
      </w:r>
    </w:p>
    <w:p>
      <w:pPr>
        <w:shd w:fill="EEF2F8" w:val="clear"/>
        <w:spacing w:after="100" w:before="100"/>
        <w:ind w:left="400"/>
      </w:pP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[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8A2BE2"/>
          <w:sz w:val="19"/>
          <w:szCs w:val="19"/>
        </w:rPr>
        <w:t xml:space="preserve">LegaDoc_v2.md</w:t>
      </w: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](LegaDoc_v2.md), [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8A2BE2"/>
          <w:sz w:val="19"/>
          <w:szCs w:val="19"/>
        </w:rPr>
        <w:t xml:space="preserve">SIH26190_Role_Document_Taxonomy.docx</w:t>
      </w: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](SIH26190_Role_Document_Taxonomy.docx),</w:t>
      </w:r>
    </w:p>
    <w:p>
      <w:pPr>
        <w:shd w:fill="EEF2F8" w:val="clear"/>
        <w:spacing w:after="100" w:before="100"/>
        <w:ind w:left="400"/>
      </w:pP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and [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8A2BE2"/>
          <w:sz w:val="19"/>
          <w:szCs w:val="19"/>
        </w:rPr>
        <w:t xml:space="preserve">SIH26190_Architecture.pptx</w:t>
      </w: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](SIH26190_Architecture.pptx). Nothing here re-litigates those</w:t>
      </w:r>
    </w:p>
    <w:p>
      <w:pPr>
        <w:shd w:fill="EEF2F8" w:val="clear"/>
        <w:spacing w:after="100" w:before="100"/>
        <w:ind w:left="400"/>
      </w:pP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decisions (tiered DocumentSchema, Domestic Violence as demo showcase, all-Python stack, org-vs-role</w:t>
      </w:r>
    </w:p>
    <w:p>
      <w:pPr>
        <w:shd w:fill="EEF2F8" w:val="clear"/>
        <w:spacing w:after="100" w:before="100"/>
        <w:ind w:left="400"/>
      </w:pP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boundary for specialized police units, etc.) — it goes one layer deeper: every connection in the</w:t>
      </w:r>
    </w:p>
    <w:p>
      <w:pPr>
        <w:shd w:fill="EEF2F8" w:val="clear"/>
        <w:spacing w:after="100" w:before="100"/>
        <w:ind w:left="400"/>
      </w:pP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system, every flow end-to-end, and every real-world domain's view into the platform.</w:t>
      </w:r>
    </w:p>
    <w:p>
      <w:pPr>
        <w:pStyle w:val="Heading1"/>
        <w:spacing w:after="160" w:before="3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Scope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A multi-organization case management system for law enforcement, forensic, medical, and judicial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bodies to jointly manage a criminal case's full lifecycle — FIR through investigation, parallel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evidence collection, an independently-running bail track, charge sheet filing, and court disposition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(trial → judgment). Field-level sensitivity redaction is AI-assisted (self-hosted, non-generative)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with a human override path; every state-changing action is hash-chained to a permissioned blockchain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ledger for tamper evidence.</w:t>
      </w:r>
    </w:p>
    <w:p>
      <w:pPr>
        <w:pStyle w:val="Heading1"/>
        <w:spacing w:after="160" w:before="3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Scale tier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MVP-that-becomes-a-capstone — 1 week to a demoable build, 5-person team, zero external SaaS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dependencies. Full reasoning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LegaDoc_v2.md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's Scale Tier section; unchanged here.</w:t>
      </w:r>
    </w:p>
    <w:p>
      <w:pPr>
        <w:pBdr>
          <w:bottom w:val="single" w:color="C7CFDD" w:sz="6"/>
        </w:pBdr>
        <w:spacing w:after="200"/>
      </w:pPr>
    </w:p>
    <w:p>
      <w:pPr>
        <w:pStyle w:val="Heading1"/>
        <w:spacing w:after="160" w:before="3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Architecture</w:t>
      </w:r>
    </w:p>
    <w:p>
      <w:pPr>
        <w:pStyle w:val="Heading2"/>
        <w:spacing w:after="120" w:before="2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C4 Context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1360627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360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C4 Container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100126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001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7CFDD" w:sz="6"/>
        </w:pBdr>
        <w:spacing w:after="200"/>
      </w:pPr>
    </w:p>
    <w:p>
      <w:pPr>
        <w:pStyle w:val="Heading1"/>
        <w:spacing w:after="160" w:before="3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System Connections — Usage Reference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This is the expansion of the Container Diagram's arrows into something a team member can build and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debug from — not just "A talks to B" but why the connection exists, how it fails, and what tool sits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on it. Numbers below match the diagram; the table after it is the thing to actually reference while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building.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255117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70"/>
        <w:tblBorders>
          <w:top w:val="single" w:color="C7CFDD" w:sz="2"/>
          <w:left w:val="single" w:color="C7CFDD" w:sz="2"/>
          <w:bottom w:val="single" w:color="C7CFDD" w:sz="2"/>
          <w:right w:val="single" w:color="C7CFDD" w:sz="2"/>
          <w:insideH w:val="single" w:color="DDE3EC" w:sz="2"/>
          <w:insideV w:val="single" w:color="DDE3EC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14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814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Connection</w:t>
            </w:r>
          </w:p>
        </w:tc>
        <w:tc>
          <w:tcPr>
            <w:tcW w:type="dxa" w:w="1814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Use case — why it exists</w:t>
            </w:r>
          </w:p>
        </w:tc>
        <w:tc>
          <w:tcPr>
            <w:tcW w:type="dxa" w:w="1814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Drawbacks &amp; failure modes</w:t>
            </w:r>
          </w:p>
        </w:tc>
        <w:tc>
          <w:tcPr>
            <w:tcW w:type="dxa" w:w="1814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Tooling</w:t>
            </w:r>
          </w:p>
        </w:tc>
      </w:tr>
      <w:tr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Roles → Web App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Every human interaction with the system starts here — the one entry point for 10 different role types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Client-side only; a compromised browser session is a compromised role until the JWT expires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React SPA, HTTPS</w:t>
            </w:r>
          </w:p>
        </w:tc>
      </w:tr>
      <w:tr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Web App → API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Every read/write goes through one enforcement point (RBAC + redaction), never direct DB access from the browser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If the API is down, the whole system is down — no offline mode, no read-through cache at MVP scale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REST/JSON, JWT (role + org claim)</w:t>
            </w:r>
          </w:p>
        </w:tc>
      </w:tr>
      <w:tr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API → DB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Source of truth for every structured fact in the system (cases, documents metadata, evidence, bail, config, audit)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Single real point of failure in this design (per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8A2BE2"/>
                <w:sz w:val="19"/>
                <w:szCs w:val="19"/>
              </w:rPr>
              <w:t xml:space="preserve">LegaDoc_v2.md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's dependency table) — no read replica at MVP scale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PostgreSQL, SQL over service credential</w:t>
            </w:r>
          </w:p>
        </w:tc>
      </w:tr>
      <w:tr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API → Object Storage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Raw files (scans, CCTV, device dumps) don't belong in relational rows — keeps DB lean and lets large binaries scale independently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Upload/fetch failures are surfaced to the user directly; no server-side retry beyond client-triggered re-upload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MinIO (S3-compatible), TLS, per-org scoped path</w:t>
            </w:r>
          </w:p>
        </w:tc>
      </w:tr>
      <w:tr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API → Job Queue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Decouples slow work (OCR, AI-tagging, blockchain writes) from the request/response cycle — the user gets a 202, not a multi-second wait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Fire-and-forget enqueue: if Redis is down, jobs are never queued (not silently lost, but visibly failed at enqueue time, not hidden)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Redis + Celery, idempotency key in every job payload</w:t>
            </w:r>
          </w:p>
        </w:tc>
      </w:tr>
      <w:tr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Queue → OCR Worker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Text-bearing documents need extraction before anything downstream (tagging, redaction) can happen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Retried with backoff; after N failures, dead-lettered + flagged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8A2BE2"/>
                <w:sz w:val="19"/>
                <w:szCs w:val="19"/>
              </w:rPr>
              <w:t xml:space="preserve">GET /documents?status=needs_review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Celery, PaddleOCR</w:t>
            </w:r>
          </w:p>
        </w:tc>
      </w:tr>
      <w:tr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Queue → AI Parser Worker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Delivers the AI-parse job the OCR worker enqueues — this is the automatic-redaction step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On repeated failure, </w:t>
            </w:r>
            <w:r>
              <w:rPr>
                <w:b/>
                <w:bCs/>
                <w:i w:val="false"/>
                <w:iCs w:val="false"/>
                <w:strike w:val="false"/>
                <w:sz w:val="21"/>
                <w:szCs w:val="21"/>
              </w:rPr>
              <w:t xml:space="preserve">fails closed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: document defaults to fully redacted, not fully exposed, and flags for review — the one failure mode in this system deliberately designed to be safe rather than convenient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Celery, Presidio + spaCy NER</w:t>
            </w:r>
          </w:p>
        </w:tc>
      </w:tr>
      <w:tr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Queue → Chain Worker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Delivers the hash-write job — runs independently of the OCR/AI-parse track since it only needs the raw file bytes, which never change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Fabric transaction submission is this system's single most flaky integration point (community-maintained Python SDK) — retried with backoff, and has a manual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8A2BE2"/>
                <w:sz w:val="19"/>
                <w:szCs w:val="19"/>
              </w:rPr>
              <w:t xml:space="preserve">retry-chain-write</w:t>
            </w: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 admin escape hatch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Celery, fabric-sdk-py</w:t>
            </w:r>
          </w:p>
        </w:tc>
      </w:tr>
      <w:tr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OCR Worker → DB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Persists extracted structured fields so the AI Parser and the redaction filter both have something to read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Re-extraction only happens if the document is re-uploaded as a new version — an OCR mistake on v1 doesn't silently self-correct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SQL</w:t>
            </w:r>
          </w:p>
        </w:tc>
      </w:tr>
      <w:tr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OCR Worker → Object Storage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Needs the actual file bytes to run PaddleOCR against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Read-only; a storage outage here just delays extraction, it can't corrupt the stored original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S3 API</w:t>
            </w:r>
          </w:p>
        </w:tc>
      </w:tr>
      <w:tr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OCR Worker → Job Queue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This is the causal link between extraction finishing and auto-redaction starting — OCR doesn't call the AI Parser directly, it hands off through the same queue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If this enqueue silently failed, a document could sit "extracted but never tagged" indefinitely — worth an explicit test case, not just a hope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Celery</w:t>
            </w:r>
          </w:p>
        </w:tc>
      </w:tr>
      <w:tr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AI Parser → DB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Writes the auto-tagged sensitivity spans (entity type + location + confidence — </w:t>
            </w:r>
            <w:r>
              <w:rPr>
                <w:b/>
                <w:bCs/>
                <w:i w:val="false"/>
                <w:iCs w:val="false"/>
                <w:strike w:val="false"/>
                <w:sz w:val="21"/>
                <w:szCs w:val="21"/>
              </w:rPr>
              <w:t xml:space="preserve">never the raw redacted text itself</w:t>
            </w: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)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If this write is what fails repeatedly (not just the tagging logic), the fail-closed rule still applies — the document stays "processing," never silently serves an untagged view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SQL</w:t>
            </w:r>
          </w:p>
        </w:tc>
      </w:tr>
      <w:tr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Chain Worker → DB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Reads the document hash to sign, then writes back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8A2BE2"/>
                <w:sz w:val="19"/>
                <w:szCs w:val="19"/>
              </w:rPr>
              <w:t xml:space="preserve">chain_status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 (pending/confirmed/failed)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The classic split-brain risk: Fabric confirms but the DB write crashes before recording it — this is exactly why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8A2BE2"/>
                <w:sz w:val="19"/>
                <w:szCs w:val="19"/>
              </w:rPr>
              <w:t xml:space="preserve">retry-chain-write</w:t>
            </w: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 reuses the *original* idempotency key instead of minting a new one</w:t>
            </w:r>
          </w:p>
        </w:tc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SQL</w:t>
            </w:r>
          </w:p>
        </w:tc>
      </w:tr>
      <w:tr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Chain Worker → Fabric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The actual tamper-evidence mechanism — a signed hash transaction per document, submitted under the org's own Fabric MSP identity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On repeated endorsement failure, the document is flagged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8A2BE2"/>
                <w:sz w:val="19"/>
                <w:szCs w:val="19"/>
              </w:rPr>
              <w:t xml:space="preserve">chain_status=failed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 for manual review; there is no inbound webhook from Fabric — confirmation is read back by polling, deliberately, to avoid standing up event-listening infrastructure at MVP scale</w:t>
            </w:r>
          </w:p>
        </w:tc>
        <w:tc>
          <w:tcPr>
            <w:tcW w:type="dxa" w:w="1814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</w:rPr>
              <w:t xml:space="preserve">Fabric Gateway gRPC, fabric-sdk-py, org signing key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Full per-arrow sync/async, retry, and volume detail (the compact version of this same table) already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lives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LegaDoc_v2.md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's </w:t>
      </w:r>
      <w:r>
        <w:rPr>
          <w:b/>
          <w:bCs/>
          <w:i w:val="false"/>
          <w:iCs w:val="false"/>
          <w:strike w:val="false"/>
          <w:sz w:val="21"/>
          <w:szCs w:val="21"/>
        </w:rPr>
        <w:t xml:space="preserve">Arrow Specifications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section — this table is the "why and how it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breaks" companion to that one, not a replacement.</w:t>
      </w:r>
    </w:p>
    <w:p>
      <w:pPr>
        <w:pBdr>
          <w:bottom w:val="single" w:color="C7CFDD" w:sz="6"/>
        </w:pBdr>
        <w:spacing w:after="200"/>
      </w:pPr>
    </w:p>
    <w:p>
      <w:pPr>
        <w:pStyle w:val="Heading1"/>
        <w:spacing w:after="160" w:before="3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Key Flows</w:t>
      </w:r>
    </w:p>
    <w:p>
      <w:pPr>
        <w:pStyle w:val="Heading2"/>
        <w:spacing w:after="120" w:before="2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Flow 1 — FIR Registration &amp; Case Creation (synchronous)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19819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98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Use case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the victim needs a case number to reference immediately — this is the one flow where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waiting on anything async (even a blockchain write) would be a bad user experience for zero benefit.</w:t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Drawback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because it's fully synchronous end-to-end except the hash-write, a slow DB transaction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here is directly felt by a victim standing at a desk — this is the one endpoint worth watching for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p99 latency even at demo scale.</w:t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Tooling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FastAPI request handler + a single DB transaction; no queue involvement except the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fire-and-forget hash-write enqueue.</w:t>
      </w:r>
    </w:p>
    <w:p>
      <w:pPr>
        <w:pBdr>
          <w:bottom w:val="single" w:color="C7CFDD" w:sz="6"/>
        </w:pBdr>
        <w:spacing w:after="200"/>
      </w:pPr>
    </w:p>
    <w:p>
      <w:pPr>
        <w:pStyle w:val="Heading2"/>
        <w:spacing w:after="120" w:before="2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Flow 2 — Document Upload → OCR → AI-Parsed Redaction → Blockchain Hash-Write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*(the core technical differentiator — two independent parallel tracks)*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388848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8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Use case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this is the flow that makes the whole "tamper-evident + auto-redacted" pitch real — a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document is simultaneously being made legally provable (hash on Fabric) and safe to share across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organizations (auto-tagged redaction), without either process blocking the other or blocking the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uploader.</w:t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Drawbacks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The AI Parser's out-of-the-box NER model wasn't trained on Indian legal/medical/police-report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language — expect real misses on domain-specific fields until recognizer patterns are tuned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per document type. This is precisely why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redact-tag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exists as a correction path, not a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nice-to-have.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Two independent async tracks means two independent places a document can get "stuck" —</w:t>
      </w:r>
    </w:p>
    <w:p>
      <w:pPr>
        <w:spacing w:after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chain_status=pending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forever,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status=processing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forever. Both have a designed recovery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path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retry-chain-write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and the AI Parser's fail-closed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needs_review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flag respectively) —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neither should ever require a manual DB edit to unstick.</w:t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Tooling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MinIO (storage), Celery (queue), PaddleOCR (extraction), Presidio + spaCy (tagging),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fabric-sdk-py (hashing).</w:t>
      </w:r>
    </w:p>
    <w:p>
      <w:pPr>
        <w:pBdr>
          <w:bottom w:val="single" w:color="C7CFDD" w:sz="6"/>
        </w:pBdr>
        <w:spacing w:after="200"/>
      </w:pPr>
    </w:p>
    <w:p>
      <w:pPr>
        <w:pStyle w:val="Heading2"/>
        <w:spacing w:after="120" w:before="2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Flow 3 — Parallel Evidence Requests (AND-join) → Charge Sheet Filing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326440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Use case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real investigations don't get evidence back in a fixed order — Bank might respond in a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day, Digital FSL in three weeks. Modeling this as N independent rows with an AND-join gate (rather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than a fixed sequence) is what makes the design match how evidence actually arrives.</w:t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Drawbacks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external authorities are real institutions with real response-time variance outside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this system's control. A single slow authority blocks charge-sheet filing indefinitely — there's no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reminder/escalation job at MVP scale (explicitly deferred to LATER), so a stuck request currently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relies on the IO noticing and following up manually.</w:t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Tooling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plain synchronous API calls + a DB-side validation query against the</w:t>
      </w:r>
    </w:p>
    <w:p>
      <w:pPr>
        <w:spacing w:after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StageRequirements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config table — no queue involvement, this is fast enough to stay synchronous.</w:t>
      </w:r>
    </w:p>
    <w:p>
      <w:pPr>
        <w:pBdr>
          <w:bottom w:val="single" w:color="C7CFDD" w:sz="6"/>
        </w:pBdr>
        <w:spacing w:after="200"/>
      </w:pPr>
    </w:p>
    <w:p>
      <w:pPr>
        <w:pStyle w:val="Heading2"/>
        <w:spacing w:after="120" w:before="2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Flow 4 — Bail Track (runs independently of the Investigation Track)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32095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Use case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investigation_status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bail_status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are two independent columns on the same case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row — a case can be "Charge Sheet Ready" while bail is still "Hearing Scheduled," and vice versa.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Domestic Violence was chosen as the demo showcase specifically because it's the only women-safety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case in the taxonomy with a *confirmed* bail pathway, so this flow can actually run live in a demo.</w:t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Drawbacks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9 of the 15 crime types have "bail pathway not yet confirmed" in the source taxonomy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data (some legally load-bearing — NDPS Section 37, non-bailable sexual-offence classifications).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Doesn't block this flow or the demo, but it's a real legal-accuracy gap if the system is asked to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make a bail-pathway claim for those crime types.</w:t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Tooling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same as Flow 3 — synchronous API + DB state transition, no queue.</w:t>
      </w:r>
    </w:p>
    <w:p>
      <w:pPr>
        <w:pBdr>
          <w:bottom w:val="single" w:color="C7CFDD" w:sz="6"/>
        </w:pBdr>
        <w:spacing w:after="200"/>
      </w:pPr>
    </w:p>
    <w:p>
      <w:pPr>
        <w:pStyle w:val="Heading2"/>
        <w:spacing w:after="120" w:before="2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Flow 5 — Trial → Judgment (Court Disposition)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261975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61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Use case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closes the investigation-track state diagram's final transition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Trial → Judgment → [*]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), which — before this design pass — had no backing endpoint at all despite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being named in the Scope statement ("...charge sheet filing, and court disposition").</w:t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Drawbacks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this flow deliberately does *not* model what happens inside a trial (witness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examination, adjournments, multiple hearing dates) — it only records the two endpoints that matter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to this system's state machine. If the team later needs finer-grained trial tracking, this is a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LATER item, not a gap in what's built now.</w:t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Tooling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identical shape to the bail endpoints — synchronous API + DB state transition.</w:t>
      </w:r>
    </w:p>
    <w:p>
      <w:pPr>
        <w:pBdr>
          <w:bottom w:val="single" w:color="C7CFDD" w:sz="6"/>
        </w:pBdr>
        <w:spacing w:after="200"/>
      </w:pPr>
    </w:p>
    <w:p>
      <w:pPr>
        <w:pStyle w:val="Heading2"/>
        <w:spacing w:after="120" w:before="2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Flow 6 — AI Parser Audit Trail: Who Can See What the AI Decided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28186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81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Use case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proves two separate things — that the AI's redaction decisions are tamper-evident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(same hash-chain as everything else), and that access to the *detail* of those decisions is itself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tracked, not just the decisions.</w:t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Drawbacks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the meta-audit doubles the write volume on this specific endpoint (every read is now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also a write) — negligible at demo scale, worth knowing if this endpoint is ever exposed to a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high-frequency automated caller later.</w:t>
      </w:r>
    </w:p>
    <w:p>
      <w:pPr>
        <w:spacing w:after="14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Tooling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same append-only audit log table as everything else; no separate logging system.</w:t>
      </w:r>
    </w:p>
    <w:p>
      <w:pPr>
        <w:pBdr>
          <w:bottom w:val="single" w:color="C7CFDD" w:sz="6"/>
        </w:pBdr>
        <w:spacing w:after="200"/>
      </w:pPr>
    </w:p>
    <w:p>
      <w:pPr>
        <w:pStyle w:val="Heading1"/>
        <w:spacing w:after="160" w:before="3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Domain Views — Diagrams &amp; Use Cases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Each of the system's real-world domains gets its own view: what its actors actually do, which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endpoints they touch, and what's non-obvious or risky about building for that domain specifically.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This is the layer between "here's a container diagram" and "here's how a Women Cell officer's day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actually goes."</w:t>
      </w:r>
    </w:p>
    <w:p>
      <w:pPr>
        <w:pStyle w:val="Heading2"/>
        <w:spacing w:after="120" w:before="2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Domain 1 — Police &amp; Investigation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30175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Use cases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register FIR, assign/reassign IO, request evidence from external authorities,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upload documents, maintain a running case diary, record an arrest (which starts the independent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Bail Track), correct an AI Parser mis-tag.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Endpoints touched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/cases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/cases/:id/assign-io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/reassign-io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/evidence-requests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</w:t>
      </w:r>
    </w:p>
    <w:p>
      <w:pPr>
        <w:spacing w:after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/documents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/cases/:id/case-diary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/bail/arrest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/documents/:id/redact-tag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Risks / non-obvious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specialized units (Women Cell, Cyber Cell, Narcotics Police, Traffic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Police, Crime Scene Unit, Rescue Team, Counselor) are </w:t>
      </w:r>
      <w:r>
        <w:rPr>
          <w:b/>
          <w:bCs/>
          <w:i w:val="false"/>
          <w:iCs w:val="false"/>
          <w:strike w:val="false"/>
          <w:sz w:val="21"/>
          <w:szCs w:val="21"/>
        </w:rPr>
        <w:t xml:space="preserve">roles inside the Police org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not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separate tenants — easy to accidentally model as separate orgs, which would break the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cross-tenant RBAC middleware's simple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org_id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check. Case Diary is an append-only running log,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distinct from a Document upload — conflating the two loses the "running notebook" semantics real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investigations need.</w:t>
      </w:r>
    </w:p>
    <w:p>
      <w:pPr>
        <w:pStyle w:val="Heading2"/>
        <w:spacing w:after="120" w:before="2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Domain 2 — Forensic (FSL / Digital FSL)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150190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50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Use cases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fulfill a routed evidence request; attach the resulting forensic report (general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FSL: Fingerprint/DNA/Chemical/Blood/Biological reports; Digital FSL: IP Logs, Device Report, SIM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Details for cyber cases).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Endpoints touched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GET /cases/:id/evidence-requests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(own only),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POST /evidence-requests/:id/submit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POST /documents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Risks / non-obvious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access must be scoped to </w:t>
      </w:r>
      <w:r>
        <w:rPr>
          <w:b/>
          <w:bCs/>
          <w:i w:val="false"/>
          <w:iCs w:val="false"/>
          <w:strike w:val="false"/>
          <w:sz w:val="21"/>
          <w:szCs w:val="21"/>
        </w:rPr>
        <w:t xml:space="preserve">the specific request routed to them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never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the rest of the case file — if this is implemented as "any user in the FSL org can see anything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tagged FSL" instead of "only requests explicitly assigned to this org," it silently becomes a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much bigger information leak than intended.</w:t>
      </w:r>
    </w:p>
    <w:p>
      <w:pPr>
        <w:pStyle w:val="Heading2"/>
        <w:spacing w:after="120" w:before="2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Domain 3 — Medical (Hospital)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44577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Use cases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submit MLC (Medical Legal Certificate) or Injury Certificate/Report for Robbery,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Road Accident, Assault, Rape, Domestic Violence, Acid Attack cases.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Endpoints touched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same evidence-request/document pattern as Forensic.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Risks / non-obvious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MLC is one of only three </w:t>
      </w:r>
      <w:r>
        <w:rPr>
          <w:b/>
          <w:bCs/>
          <w:i w:val="false"/>
          <w:iCs w:val="false"/>
          <w:strike w:val="false"/>
          <w:sz w:val="21"/>
          <w:szCs w:val="21"/>
        </w:rPr>
        <w:t xml:space="preserve">Tier 1 full-custom DocumentSchema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types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precisely because of its sensitivity concentration — this is also the document type where the AI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Parser's out-of-the-box accuracy gap (medical/diagnosis fields, caste/religion-adjacent fields)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matters most. Recognizer tuning here is not optional polish.</w:t>
      </w:r>
    </w:p>
    <w:p>
      <w:pPr>
        <w:pStyle w:val="Heading2"/>
        <w:spacing w:after="120" w:before="2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Domain 4 — Financial &amp; Verification Authorities (Bank, Telecom, RTO)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143332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43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Use cases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Bank/Telecom fulfill Cyber Fraud evidence requests (Bank Statement, UPI records,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CDR, SIM details); RTO verifies vehicle registration/insurance for Road Accident cases. This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domain is the clearest real-world demonstration of Flow 3's AND-join.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Endpoints touched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same evidence-request/document pattern.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Risks / non-obvious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these are genuinely separate real-world institutions (unlike the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internal police specialized units) — the correct place to actually create a new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org_id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. Real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response-time variance (days to weeks) means a slow authority silently blocks charge-sheet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filing with no reminder mechanism at MVP scale — a known, accepted LATER gap, not an oversight.</w:t>
      </w:r>
    </w:p>
    <w:p>
      <w:pPr>
        <w:pStyle w:val="Heading2"/>
        <w:spacing w:after="120" w:before="2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Domain 5 — Judiciary (Magistrate / Sessions / NDPS Court)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429996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29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Use cases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schedule and record bail hearings/orders; schedule trial hearings and record final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judgment. Magistrate/Sessions/NDPS Court each own their org, matched to crime type and severity.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Endpoints touched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/bail/hearing-notice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/bail/order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/trial/hearing-notice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/judgment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full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GET /cases/:id/audit-log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access (Court gets the unredacted full trail per the Access Model).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Risks / non-obvious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hearing-notice and order actions share the same Court role — they're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differentiated by audit-log action type, </w:t>
      </w:r>
      <w:r>
        <w:rPr>
          <w:b/>
          <w:bCs/>
          <w:i w:val="false"/>
          <w:iCs w:val="false"/>
          <w:strike w:val="false"/>
          <w:sz w:val="21"/>
          <w:szCs w:val="21"/>
        </w:rPr>
        <w:t xml:space="preserve">not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a separate "Judge" role. A team member modeling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RBAC from scratch might reach for a Judge role that doesn't exist in this design on purpose.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Court-instance routing (which specific Magistrate Court, not just which level) isn't modeled —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fine at single-court demo scale, a real limitation past it.</w:t>
      </w:r>
    </w:p>
    <w:p>
      <w:pPr>
        <w:pStyle w:val="Heading2"/>
        <w:spacing w:after="120" w:before="2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Domain 6 — Defense / Accused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26883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Use cases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file a bail application, register a surety bond — submission-only, nothing else.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Endpoints touched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/bail/application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/bail/surety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GET /cases/:id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(own bail submissions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only).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Risks / non-obvious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this is the domain with the least access and the most consequence if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RBAC is implemented loosely — Defense/Accused must </w:t>
      </w:r>
      <w:r>
        <w:rPr>
          <w:b/>
          <w:bCs/>
          <w:i w:val="false"/>
          <w:iCs w:val="false"/>
          <w:strike w:val="false"/>
          <w:sz w:val="21"/>
          <w:szCs w:val="21"/>
        </w:rPr>
        <w:t xml:space="preserve">never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see investigation materials during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an active investigation, per the Access Model. This is exactly why Auth/RBAC tests are the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system's stated #1 testing priority: a broken filter here is not a cosmetic bug.</w:t>
      </w:r>
    </w:p>
    <w:p>
      <w:pPr>
        <w:pStyle w:val="Heading2"/>
        <w:spacing w:after="120" w:before="2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Domain 7 — Records / NCRB Reporting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74752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74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Use cases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read de-identified case metadata (crime type, status, dates, court level) for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reporting — nothing else.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Endpoints touched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GET /reports/case-metadata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Risks / non-obvious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this role deliberately gets </w:t>
      </w:r>
      <w:r>
        <w:rPr>
          <w:b/>
          <w:bCs/>
          <w:i w:val="false"/>
          <w:iCs w:val="false"/>
          <w:strike w:val="false"/>
          <w:sz w:val="21"/>
          <w:szCs w:val="21"/>
        </w:rPr>
        <w:t xml:space="preserve">its own dedicated Postgres view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never a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filtered pass through the normal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/cases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/documents/:id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endpoints. That's not extra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engineering for its own sake — it's the one domain in this system architected to make the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"someone forgot to apply the redaction filter on this code path" bug class structurally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impossible rather than just tested against.</w:t>
      </w:r>
    </w:p>
    <w:p>
      <w:pPr>
        <w:pStyle w:val="Heading2"/>
        <w:spacing w:after="120" w:before="2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Domain 8 — Platform / Admin (Schema Config, AI Parser, Security)</w:t>
      </w:r>
    </w:p>
    <w:p>
      <w:pPr>
        <w:spacing w:after="100" w:before="200"/>
        <w:jc w:val="center"/>
      </w:pPr>
      <w:r>
        <w:drawing>
          <wp:inline distT="0" distB="0" distL="0" distR="0">
            <wp:extent cx="6172200" cy="9395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93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Use cases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onboard organizations, manage the tiered DocumentSchema registry, configure AI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Parser recognizer mappings per document type, manage Stage Requirements, manually recover a stuck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chain-write, read the full AI Parser audit trail.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Endpoints touched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everything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/admin/*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plus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/documents/:id/retry-chain-write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and</w:t>
      </w:r>
    </w:p>
    <w:p>
      <w:pPr>
        <w:spacing w:after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/cases/:id/audit-log/ai-parser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Risks / non-obvious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: this role concentrates nearly every genuinely dangerous capability in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the system — a schema change affects redaction correctness system-wide, a recognizer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misconfiguration affects AI Parser accuracy, and the ai-parser audit endpoint is the most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sensitive read path that exists. A compromised Admin credential is the single highest-impact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credential here, which is exactly why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retry-chain-write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reuses idempotency keys and the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ai-parser audit endpoint has no bulk/cross-case export — both are deliberate blast-radius limits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on this one role, not incidental design choices.</w:t>
      </w:r>
    </w:p>
    <w:p>
      <w:pPr>
        <w:pBdr>
          <w:bottom w:val="single" w:color="C7CFDD" w:sz="6"/>
        </w:pBdr>
        <w:spacing w:after="200"/>
      </w:pPr>
    </w:p>
    <w:p>
      <w:pPr>
        <w:pStyle w:val="Heading1"/>
        <w:spacing w:after="160" w:before="3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Interface Contracts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Full 36-row endpoint table, arrow specifications, and async pattern decisions already live in</w:t>
      </w:r>
    </w:p>
    <w:p>
      <w:pPr>
        <w:spacing w:after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LegaDoc_v2.md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's </w:t>
      </w:r>
      <w:r>
        <w:rPr>
          <w:b/>
          <w:bCs/>
          <w:i w:val="false"/>
          <w:iCs w:val="false"/>
          <w:strike w:val="false"/>
          <w:sz w:val="21"/>
          <w:szCs w:val="21"/>
        </w:rPr>
        <w:t xml:space="preserve">Interface Contracts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section — reused here by reference rather than duplicated,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since nothing about them changed in this pass. The </w:t>
      </w:r>
      <w:r>
        <w:rPr>
          <w:b/>
          <w:bCs/>
          <w:i w:val="false"/>
          <w:iCs w:val="false"/>
          <w:strike w:val="false"/>
          <w:sz w:val="21"/>
          <w:szCs w:val="21"/>
        </w:rPr>
        <w:t xml:space="preserve">System Connections — Usage Reference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table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above is the new material this document adds on top of that endpoint table.</w:t>
      </w:r>
    </w:p>
    <w:p>
      <w:pPr>
        <w:pStyle w:val="Heading1"/>
        <w:spacing w:after="160" w:before="3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State Ownership Map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Reused as-is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LegaDoc_v2.md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— every piece of state (case core data, investigation/bail status,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document bytes, structured fields, sensitivity tags, chain_status, evidence requests, bail records,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case assignment, schema registry, stage requirements, audit log, meta-audit) has exactly one owner.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No changes in this pass.</w:t>
      </w:r>
    </w:p>
    <w:p>
      <w:pPr>
        <w:pStyle w:val="Heading1"/>
        <w:spacing w:after="160" w:before="3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Environments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Reused as-is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LegaDoc_v2.md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— local/dev, demo (judging day), production (stated, not built).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Zero external SaaS dependencies confirmed intact after the AI Parser addition (Presidio + spaCy run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entirely self-hosted).</w:t>
      </w:r>
    </w:p>
    <w:p>
      <w:pPr>
        <w:pStyle w:val="Heading1"/>
        <w:spacing w:after="160" w:before="3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Domain Overlays Applied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Reused as-is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LegaDoc_v2.md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— B2B SaaS multi-tenant overlay partially adapted (org/role model,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tenant context propagation); Fintech/Trading/AI-agent overlays explicitly not applicable, with the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AI-agent non-applicability now stated precisely (classical NLP via Presidio/spaCy, not a generative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model or LLM agent).</w:t>
      </w:r>
    </w:p>
    <w:p>
      <w:pPr>
        <w:pStyle w:val="Heading1"/>
        <w:spacing w:after="160" w:before="3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Concepts Checklist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NOW / LATER / WATCHLIST tables reused as-is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LegaDoc_v2.md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including every addition from this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design's review sessions (Celery over BullMQ, AI Parser Worker, tiered DocumentSchema coverage,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retry-chain-write idempotency, trial/judgment endpoints, Case Diary, needs-review queue,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Records/NCRB data path, AI Parser audit trail).</w:t>
      </w:r>
    </w:p>
    <w:p>
      <w:pPr>
        <w:pStyle w:val="Heading1"/>
        <w:spacing w:after="160" w:before="3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Role-model capacity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— can the team build the full expanded role set (Women Cell, Cyber Cell,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Records/NCRB Analyst, etc.) in the time remaining, or do some fold back into generic buckets for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the demo?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strike w:val="false"/>
          <w:sz w:val="21"/>
          <w:szCs w:val="21"/>
        </w:rPr>
        <w:t xml:space="preserve">Bail-pathway data gaps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— 9 of 15 crime types have "bail pathway not yet confirmed" in the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source taxonomy (some legally load-bearing). Doesn't block the Domestic Violence demo; a real gap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if judges ask about other crime types.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Everything else in this document and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LegaDoc_v2.md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 is confirmed and buildable as-is.</w:t>
      </w:r>
    </w:p>
    <w:p>
      <w:pPr>
        <w:pStyle w:val="Heading1"/>
        <w:spacing w:after="160" w:before="3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Build Prompt Seed</w:t>
      </w:r>
    </w:p>
    <w:p>
      <w:pPr>
        <w:shd w:fill="EEF2F8" w:val="clear"/>
        <w:spacing w:after="100" w:before="100"/>
        <w:ind w:left="400"/>
      </w:pP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Building a multi-organization criminal case management system (Python/FastAPI API, React</w:t>
      </w:r>
    </w:p>
    <w:p>
      <w:pPr>
        <w:shd w:fill="EEF2F8" w:val="clear"/>
        <w:spacing w:after="100" w:before="100"/>
        <w:ind w:left="400"/>
      </w:pP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frontend, PostgreSQL, Redis+Celery queue, MinIO object storage, Python/PaddleOCR worker,</w:t>
      </w:r>
    </w:p>
    <w:p>
      <w:pPr>
        <w:shd w:fill="EEF2F8" w:val="clear"/>
        <w:spacing w:after="100" w:before="100"/>
        <w:ind w:left="400"/>
      </w:pP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Python/Presidio+spaCy AI Parser worker, Python fabric-sdk-py Chain Worker against a 5-node</w:t>
      </w:r>
    </w:p>
    <w:p>
      <w:pPr>
        <w:shd w:fill="EEF2F8" w:val="clear"/>
        <w:spacing w:after="100" w:before="100"/>
        <w:ind w:left="400"/>
      </w:pP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Hyperledger Fabric network). The repository already has a blank baseline scaffold matching this</w:t>
      </w:r>
    </w:p>
    <w:p>
      <w:pPr>
        <w:shd w:fill="EEF2F8" w:val="clear"/>
        <w:spacing w:after="100" w:before="100"/>
        <w:ind w:left="400"/>
      </w:pP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container diagram (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8A2BE2"/>
          <w:sz w:val="19"/>
          <w:szCs w:val="19"/>
        </w:rPr>
        <w:t xml:space="preserve">api/</w:t>
      </w: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8A2BE2"/>
          <w:sz w:val="19"/>
          <w:szCs w:val="19"/>
        </w:rPr>
        <w:t xml:space="preserve">workers/ocr_worker/</w:t>
      </w: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8A2BE2"/>
          <w:sz w:val="19"/>
          <w:szCs w:val="19"/>
        </w:rPr>
        <w:t xml:space="preserve">workers/ai_parser_worker/</w:t>
      </w: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,</w:t>
      </w:r>
    </w:p>
    <w:p>
      <w:pPr>
        <w:shd w:fill="EEF2F8" w:val="clear"/>
        <w:spacing w:after="100" w:before="100"/>
        <w:ind w:left="400"/>
      </w:pP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8A2BE2"/>
          <w:sz w:val="19"/>
          <w:szCs w:val="19"/>
        </w:rPr>
        <w:t xml:space="preserve">workers/chain_worker/</w:t>
      </w: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8A2BE2"/>
          <w:sz w:val="19"/>
          <w:szCs w:val="19"/>
        </w:rPr>
        <w:t xml:space="preserve">web/</w:t>
      </w: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8A2BE2"/>
          <w:sz w:val="19"/>
          <w:szCs w:val="19"/>
        </w:rPr>
        <w:t xml:space="preserve">fabric-network/</w:t>
      </w: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8A2BE2"/>
          <w:sz w:val="19"/>
          <w:szCs w:val="19"/>
        </w:rPr>
        <w:t xml:space="preserve">scripts/</w:t>
      </w: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8A2BE2"/>
          <w:sz w:val="19"/>
          <w:szCs w:val="19"/>
        </w:rPr>
        <w:t xml:space="preserve">db/migrations/</w:t>
      </w: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) — fill it in</w:t>
      </w:r>
    </w:p>
    <w:p>
      <w:pPr>
        <w:shd w:fill="EEF2F8" w:val="clear"/>
        <w:spacing w:after="100" w:before="100"/>
        <w:ind w:left="400"/>
      </w:pP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against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8A2BE2"/>
          <w:sz w:val="19"/>
          <w:szCs w:val="19"/>
        </w:rPr>
        <w:t xml:space="preserve">LegaDoc_v2.md</w:t>
      </w: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's Interface Contracts and this document's System Connections table. First</w:t>
      </w:r>
    </w:p>
    <w:p>
      <w:pPr>
        <w:shd w:fill="EEF2F8" w:val="clear"/>
        <w:spacing w:after="100" w:before="100"/>
        <w:ind w:left="400"/>
      </w:pP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milestone unchanged from prior guidance: stand up the Fabric test network and confirm the Python</w:t>
      </w:r>
    </w:p>
    <w:p>
      <w:pPr>
        <w:shd w:fill="EEF2F8" w:val="clear"/>
        <w:spacing w:after="100" w:before="100"/>
        <w:ind w:left="400"/>
      </w:pP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Chain Worker can submit and confirm one signed hash transaction end-to-end, in isolation, before</w:t>
      </w:r>
    </w:p>
    <w:p>
      <w:pPr>
        <w:shd w:fill="EEF2F8" w:val="clear"/>
        <w:spacing w:after="100" w:before="100"/>
        <w:ind w:left="400"/>
      </w:pP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wiring the rest of the pipeline around it — this remains the highest-setup-risk component in the</w:t>
      </w:r>
    </w:p>
    <w:p>
      <w:pPr>
        <w:shd w:fill="EEF2F8" w:val="clear"/>
        <w:spacing w:after="100" w:before="100"/>
        <w:ind w:left="400"/>
      </w:pPr>
      <w:r>
        <w:rPr>
          <w:b w:val="false"/>
          <w:bCs w:val="false"/>
          <w:i/>
          <w:iCs/>
          <w:strike w:val="false"/>
          <w:color w:val="3F5C82"/>
          <w:sz w:val="21"/>
          <w:szCs w:val="21"/>
        </w:rPr>
        <w:t xml:space="preserve">system.</w:t>
      </w:r>
    </w:p>
    <w:p>
      <w:pPr>
        <w:pBdr>
          <w:bottom w:val="single" w:color="C7CFDD" w:sz="6"/>
        </w:pBdr>
        <w:spacing w:after="200"/>
      </w:pPr>
    </w:p>
    <w:p>
      <w:pPr>
        <w:pStyle w:val="Heading1"/>
        <w:spacing w:after="160" w:before="36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Review Gate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This document is additive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8A2BE2"/>
          <w:sz w:val="19"/>
          <w:szCs w:val="19"/>
        </w:rPr>
        <w:t xml:space="preserve">LegaDoc_v2.md</w:t>
      </w: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, not a replacement — it adds the System Connections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usage reference, per-flow diagrams for Trial/Judgment and the AI Parser audit trail (neither had a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dedicated diagram before), and the eight domain views. The two open questions above are the only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  <w:sz w:val="21"/>
          <w:szCs w:val="21"/>
        </w:rPr>
        <w:t xml:space="preserve">items still needing your team's explicit call before treating the full design as final.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mbria" w:cs="Cambria" w:eastAsia="Cambria" w:hAnsi="Cambria"/>
      <w:b/>
      <w:bCs/>
      <w:color w:val="1B2A4A"/>
      <w:sz w:val="44"/>
      <w:szCs w:val="44"/>
    </w:rPr>
  </w:style>
  <w:style w:type="paragraph" w:styleId="Heading1">
    <w:name w:val="Heading 1"/>
    <w:basedOn w:val="Normal"/>
    <w:next w:val="Normal"/>
    <w:pPr>
      <w:spacing w:after="160" w:before="360"/>
    </w:pPr>
    <w:rPr>
      <w:rFonts w:ascii="Cambria" w:cs="Cambria" w:eastAsia="Cambria" w:hAnsi="Cambria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rPr>
      <w:rFonts w:ascii="Cambria" w:cs="Cambria" w:eastAsia="Cambria" w:hAnsi="Cambria"/>
      <w:b/>
      <w:bCs/>
      <w:color w:val="3F5C82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f4d2b040981c072451dc513a51ca084f56cfa7.png"/><Relationship Id="rId8" Type="http://schemas.openxmlformats.org/officeDocument/2006/relationships/image" Target="media/c2ec9535c641dcd3e1c25f63f347fd66f679418c.png"/><Relationship Id="rId9" Type="http://schemas.openxmlformats.org/officeDocument/2006/relationships/image" Target="media/c0e7f4ceb42af18fb10323013436d1c964051170.png"/><Relationship Id="rId10" Type="http://schemas.openxmlformats.org/officeDocument/2006/relationships/image" Target="media/0afcb47498900c6a627c05be7640eba8ca048a74.png"/><Relationship Id="rId11" Type="http://schemas.openxmlformats.org/officeDocument/2006/relationships/image" Target="media/dcca71103fc69878d0b4d10bc78fa5478aea6d73.png"/><Relationship Id="rId12" Type="http://schemas.openxmlformats.org/officeDocument/2006/relationships/image" Target="media/17c30765878f631fe010ba86022da48d7b2ad265.png"/><Relationship Id="rId13" Type="http://schemas.openxmlformats.org/officeDocument/2006/relationships/image" Target="media/2e4379268710ba02596bdccbdca49c90abe527c1.png"/><Relationship Id="rId14" Type="http://schemas.openxmlformats.org/officeDocument/2006/relationships/image" Target="media/fb354e460dfe1493e06f6c8f25794ecb25b4ab49.png"/><Relationship Id="rId15" Type="http://schemas.openxmlformats.org/officeDocument/2006/relationships/image" Target="media/68db3c7f954e21b347ba9d7ae9b944917e04b629.png"/><Relationship Id="rId16" Type="http://schemas.openxmlformats.org/officeDocument/2006/relationships/image" Target="media/ce30d8af1a5041453a1d59030031918a7055159a.png"/><Relationship Id="rId17" Type="http://schemas.openxmlformats.org/officeDocument/2006/relationships/image" Target="media/5240e2b7ca54981e8a1502dac24405af7e7dd644.png"/><Relationship Id="rId18" Type="http://schemas.openxmlformats.org/officeDocument/2006/relationships/image" Target="media/58e18537c80f9c87c4e083e3c7f062c0418ba0f3.png"/><Relationship Id="rId19" Type="http://schemas.openxmlformats.org/officeDocument/2006/relationships/image" Target="media/4c5523cc5d8944975686dde04009af3dbaa8181d.png"/><Relationship Id="rId20" Type="http://schemas.openxmlformats.org/officeDocument/2006/relationships/image" Target="media/a46e182983d3d7cafb876d62cc6e30569d9d9525.png"/><Relationship Id="rId21" Type="http://schemas.openxmlformats.org/officeDocument/2006/relationships/image" Target="media/4ed89f97b97b0192f1d1264bfe3c22fab34adc1c.png"/><Relationship Id="rId22" Type="http://schemas.openxmlformats.org/officeDocument/2006/relationships/image" Target="media/3750f9e03a02807a45619de0c223d4b88ad4c143.png"/><Relationship Id="rId23" Type="http://schemas.openxmlformats.org/officeDocument/2006/relationships/image" Target="media/71d02b58d062f786b7327cfbece2ff4ecc29630c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2026-08-31T19:02:18.463Z</dcterms:created>
  <dcterms:modified xsi:type="dcterms:W3CDTF">2026-08-31T19:02:18.464Z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