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00"/>
        <w:jc w:val="center"/>
      </w:pPr>
      <w:r>
        <w:rPr>
          <w:b/>
          <w:bCs/>
          <w:color w:val="C55A11"/>
          <w:sz w:val="24"/>
          <w:szCs w:val="24"/>
        </w:rPr>
        <w:t xml:space="preserve">SIH26190 — REFERENCE DOCUMENT</w:t>
      </w:r>
    </w:p>
    <w:p>
      <w:pPr>
        <w:spacing w:after="100"/>
        <w:jc w:val="center"/>
      </w:pPr>
      <w:r>
        <w:rPr>
          <w:b/>
          <w:bCs/>
          <w:color w:val="1F3864"/>
          <w:sz w:val="40"/>
          <w:szCs w:val="40"/>
        </w:rPr>
        <w:t xml:space="preserve">Role &amp; Document Taxonomy</w:t>
      </w:r>
    </w:p>
    <w:p>
      <w:pPr>
        <w:spacing w:after="300"/>
        <w:jc w:val="center"/>
      </w:pPr>
      <w:r>
        <w:rPr>
          <w:b/>
          <w:bCs/>
          <w:color w:val="1F3864"/>
          <w:sz w:val="32"/>
          <w:szCs w:val="32"/>
        </w:rPr>
        <w:t xml:space="preserve">Across All 15 Reference Crime Workflows</w:t>
      </w:r>
    </w:p>
    <w:p>
      <w:pPr>
        <w:spacing w:after="60"/>
        <w:jc w:val="center"/>
      </w:pPr>
      <w:r>
        <w:rPr>
          <w:i/>
          <w:iCs/>
          <w:color w:val="595959"/>
          <w:sz w:val="20"/>
          <w:szCs w:val="20"/>
        </w:rPr>
        <w:t xml:space="preserve">Compiled from: 5-Case Workflow Notes, 15-Case Classified Workflows, Bail Lifecycle Data, and System Design v1</w:t>
      </w:r>
    </w:p>
    <w:p>
      <w:pPr>
        <w:spacing w:after="100" w:before="500"/>
        <w:jc w:val="center"/>
      </w:pPr>
      <w:r>
        <w:rPr>
          <w:b/>
          <w:bCs/>
          <w:color w:val="2E7D32"/>
          <w:sz w:val="22"/>
          <w:szCs w:val="22"/>
        </w:rPr>
        <w:t xml:space="preserve">Purpose: Size the DocumentSchema build effort</w:t>
      </w:r>
    </w:p>
    <w:p>
      <w:pPr>
        <w:pageBreakBefore/>
      </w:pPr>
      <w:r>
        <w:br/>
        <w:t xml:space="preserve"/>
      </w:r>
    </w:p>
    <w:p>
      <w:pPr>
        <w:pStyle w:val="Heading1"/>
        <w:pBdr>
          <w:bottom w:val="single" w:color="1F3864" w:sz="8" w:space="4"/>
        </w:pBdr>
        <w:spacing w:after="200" w:before="420"/>
      </w:pPr>
      <w:r>
        <w:rPr>
          <w:b/>
          <w:bCs/>
          <w:color w:val="1F3864"/>
          <w:sz w:val="30"/>
          <w:szCs w:val="30"/>
        </w:rPr>
        <w:t xml:space="preserve">How to Use This Document</w:t>
      </w:r>
    </w:p>
    <w:p>
      <w:pPr>
        <w:spacing w:after="140" w:line="300"/>
      </w:pPr>
      <w:r>
        <w:rPr>
          <w:sz w:val="21"/>
          <w:szCs w:val="21"/>
        </w:rPr>
        <w:t xml:space="preserve">This document answers one concrete question: exactly how many distinct document types exist across the project's crime taxonomy, and what does that mean for the size of the field-level DocumentSchema (redaction) build effort defined in the system design.</w:t>
      </w:r>
    </w:p>
    <w:p>
      <w:pPr>
        <w:spacing w:after="140" w:line="300"/>
      </w:pPr>
      <w:r>
        <w:rPr>
          <w:sz w:val="21"/>
          <w:szCs w:val="21"/>
        </w:rPr>
        <w:t xml:space="preserve">It consolidates every document type named across all three source references into one canonical list, maps that list back to each of the 15 crime workflows, restates the role/authority taxonomy and access model, and closes with a concrete, tiered sizing recommendation for the schema-build work — rather than treating “build a schema for every type” as one undifferentiated task.</w:t>
      </w:r>
    </w:p>
    <w:p>
      <w:pPr>
        <w:pStyle w:val="Heading1"/>
        <w:pBdr>
          <w:bottom w:val="single" w:color="1F3864" w:sz="8" w:space="4"/>
        </w:pBdr>
        <w:spacing w:after="200" w:before="420"/>
      </w:pPr>
      <w:r>
        <w:rPr>
          <w:b/>
          <w:bCs/>
          <w:color w:val="1F3864"/>
          <w:sz w:val="30"/>
          <w:szCs w:val="30"/>
        </w:rPr>
        <w:t xml:space="preserve">1. Master Document Taxonomy — 57 Canonical Document Types</w:t>
      </w:r>
    </w:p>
    <w:p>
      <w:pPr>
        <w:spacing w:after="140" w:line="300"/>
      </w:pPr>
      <w:r>
        <w:rPr>
          <w:sz w:val="21"/>
          <w:szCs w:val="21"/>
        </w:rPr>
        <w:t xml:space="preserve">Document names varied slightly across source material (e.g. “Witness” vs. “Witness Statement,” “Ownership” vs. “Ownership Proof”). Below, every variant has been resolved to one canonical name, grouped by category.</w:t>
      </w:r>
    </w:p>
    <w:p>
      <w:pPr>
        <w:pStyle w:val="Heading3"/>
        <w:spacing w:after="90" w:before="200"/>
      </w:pPr>
      <w:r>
        <w:rPr>
          <w:b/>
          <w:bCs/>
          <w:color w:val="2E7D32"/>
          <w:sz w:val="22"/>
          <w:szCs w:val="22"/>
        </w:rPr>
        <w:t xml:space="preserve">A. Universal / Core (present in nearly every case)</w:t>
      </w:r>
    </w:p>
    <w:p>
      <w:pPr>
        <w:spacing w:after="140" w:line="300"/>
      </w:pPr>
      <w:r>
        <w:rPr>
          <w:sz w:val="20"/>
          <w:szCs w:val="20"/>
        </w:rPr>
        <w:t xml:space="preserve">Complaint, ID Proof, FIR, Case Diary, Witness Statement, Charge Sheet, Judgment, Evidence Request (inter-department record), Complete Case File.</w:t>
      </w:r>
    </w:p>
    <w:p>
      <w:pPr>
        <w:pStyle w:val="Heading3"/>
        <w:spacing w:after="90" w:before="200"/>
      </w:pPr>
      <w:r>
        <w:rPr>
          <w:b/>
          <w:bCs/>
          <w:color w:val="2E7D32"/>
          <w:sz w:val="22"/>
          <w:szCs w:val="22"/>
        </w:rPr>
        <w:t xml:space="preserve">B. Identity, Ownership &amp; Property</w:t>
      </w:r>
    </w:p>
    <w:p>
      <w:pPr>
        <w:spacing w:after="140" w:line="300"/>
      </w:pPr>
      <w:r>
        <w:rPr>
          <w:sz w:val="20"/>
          <w:szCs w:val="20"/>
        </w:rPr>
        <w:t xml:space="preserve">Ownership Proof, Property Loss List, Purchase Bill, IMEI / Vehicle Number Record, Incident Location / Address Record, Repair Estimate.</w:t>
      </w:r>
    </w:p>
    <w:p>
      <w:pPr>
        <w:pStyle w:val="Heading3"/>
        <w:spacing w:after="90" w:before="200"/>
      </w:pPr>
      <w:r>
        <w:rPr>
          <w:b/>
          <w:bCs/>
          <w:color w:val="2E7D32"/>
          <w:sz w:val="22"/>
          <w:szCs w:val="22"/>
        </w:rPr>
        <w:t xml:space="preserve">C. Scene &amp; Visual Evidence</w:t>
      </w:r>
    </w:p>
    <w:p>
      <w:pPr>
        <w:spacing w:after="140" w:line="300"/>
      </w:pPr>
      <w:r>
        <w:rPr>
          <w:sz w:val="20"/>
          <w:szCs w:val="20"/>
        </w:rPr>
        <w:t xml:space="preserve">Photographs / Scene Photos, Injury Photos, Site Inspection Report, CCTV Footage Request &amp; Footage.</w:t>
      </w:r>
    </w:p>
    <w:p>
      <w:pPr>
        <w:pStyle w:val="Heading3"/>
        <w:spacing w:after="90" w:before="200"/>
      </w:pPr>
      <w:r>
        <w:rPr>
          <w:b/>
          <w:bCs/>
          <w:color w:val="2E7D32"/>
          <w:sz w:val="22"/>
          <w:szCs w:val="22"/>
        </w:rPr>
        <w:t xml:space="preserve">D. Forensic / Scientific</w:t>
      </w:r>
    </w:p>
    <w:p>
      <w:pPr>
        <w:spacing w:after="140" w:line="300"/>
      </w:pPr>
      <w:r>
        <w:rPr>
          <w:sz w:val="20"/>
          <w:szCs w:val="20"/>
        </w:rPr>
        <w:t xml:space="preserve">Fingerprint Report, Chemical Report, DNA Report, Biological Report, Blood Report.</w:t>
      </w:r>
    </w:p>
    <w:p>
      <w:pPr>
        <w:pStyle w:val="Heading3"/>
        <w:spacing w:after="90" w:before="200"/>
      </w:pPr>
      <w:r>
        <w:rPr>
          <w:b/>
          <w:bCs/>
          <w:color w:val="2E7D32"/>
          <w:sz w:val="22"/>
          <w:szCs w:val="22"/>
        </w:rPr>
        <w:t xml:space="preserve">E. Medical</w:t>
      </w:r>
    </w:p>
    <w:p>
      <w:pPr>
        <w:spacing w:after="140" w:line="300"/>
      </w:pPr>
      <w:r>
        <w:rPr>
          <w:sz w:val="20"/>
          <w:szCs w:val="20"/>
        </w:rPr>
        <w:t xml:space="preserve">MLC (Medical Legal Certificate), Injury Certificate / Report.</w:t>
      </w:r>
    </w:p>
    <w:p>
      <w:pPr>
        <w:pStyle w:val="Heading3"/>
        <w:spacing w:after="90" w:before="200"/>
      </w:pPr>
      <w:r>
        <w:rPr>
          <w:b/>
          <w:bCs/>
          <w:color w:val="2E7D32"/>
          <w:sz w:val="22"/>
          <w:szCs w:val="22"/>
        </w:rPr>
        <w:t xml:space="preserve">F. Digital / Cyber Evidence</w:t>
      </w:r>
    </w:p>
    <w:p>
      <w:pPr>
        <w:spacing w:after="140" w:line="300"/>
      </w:pPr>
      <w:r>
        <w:rPr>
          <w:sz w:val="20"/>
          <w:szCs w:val="20"/>
        </w:rPr>
        <w:t xml:space="preserve">Bank Statement / Transaction Log, UPI Screenshot / UPI ID Record, IP Logs, Device Report, SMS / Email Evidence, SIM Details Record, Call Detail Records (CDR), Call Logs, Screenshots, Emails.</w:t>
      </w:r>
    </w:p>
    <w:p>
      <w:pPr>
        <w:pStyle w:val="Heading3"/>
        <w:spacing w:after="90" w:before="200"/>
      </w:pPr>
      <w:r>
        <w:rPr>
          <w:b/>
          <w:bCs/>
          <w:color w:val="2E7D32"/>
          <w:sz w:val="22"/>
          <w:szCs w:val="22"/>
        </w:rPr>
        <w:t xml:space="preserve">G. Vehicle</w:t>
      </w:r>
    </w:p>
    <w:p>
      <w:pPr>
        <w:spacing w:after="140" w:line="300"/>
      </w:pPr>
      <w:r>
        <w:rPr>
          <w:sz w:val="20"/>
          <w:szCs w:val="20"/>
        </w:rPr>
        <w:t xml:space="preserve">Driving License, Registration Certificate (RC), Insurance Document, Vehicle Inspection Report.</w:t>
      </w:r>
    </w:p>
    <w:p>
      <w:pPr>
        <w:pStyle w:val="Heading3"/>
        <w:spacing w:after="90" w:before="200"/>
      </w:pPr>
      <w:r>
        <w:rPr>
          <w:b/>
          <w:bCs/>
          <w:color w:val="2E7D32"/>
          <w:sz w:val="22"/>
          <w:szCs w:val="22"/>
        </w:rPr>
        <w:t xml:space="preserve">H. Custody / Seizure</w:t>
      </w:r>
    </w:p>
    <w:p>
      <w:pPr>
        <w:spacing w:after="140" w:line="300"/>
      </w:pPr>
      <w:r>
        <w:rPr>
          <w:sz w:val="20"/>
          <w:szCs w:val="20"/>
        </w:rPr>
        <w:t xml:space="preserve">Seizure Memo, Search Warrant, Clothing Seizure Record, Rescue Memo.</w:t>
      </w:r>
    </w:p>
    <w:p>
      <w:pPr>
        <w:pStyle w:val="Heading3"/>
        <w:spacing w:after="90" w:before="200"/>
      </w:pPr>
      <w:r>
        <w:rPr>
          <w:b/>
          <w:bCs/>
          <w:color w:val="2E7D32"/>
          <w:sz w:val="22"/>
          <w:szCs w:val="22"/>
        </w:rPr>
        <w:t xml:space="preserve">I. Identity / Age (Kidnapping-specific)</w:t>
      </w:r>
    </w:p>
    <w:p>
      <w:pPr>
        <w:spacing w:after="140" w:line="300"/>
      </w:pPr>
      <w:r>
        <w:rPr>
          <w:sz w:val="20"/>
          <w:szCs w:val="20"/>
        </w:rPr>
        <w:t xml:space="preserve">Photo (victim identification), Birth Certificate.</w:t>
      </w:r>
    </w:p>
    <w:p>
      <w:pPr>
        <w:pStyle w:val="Heading3"/>
        <w:spacing w:after="90" w:before="200"/>
      </w:pPr>
      <w:r>
        <w:rPr>
          <w:b/>
          <w:bCs/>
          <w:color w:val="C00000"/>
          <w:sz w:val="22"/>
          <w:szCs w:val="22"/>
        </w:rPr>
        <w:t xml:space="preserve">J. Women &amp; Family-Specific — all high redaction priority</w:t>
      </w:r>
    </w:p>
    <w:p>
      <w:pPr>
        <w:spacing w:after="140" w:line="300"/>
      </w:pPr>
      <w:r>
        <w:rPr>
          <w:sz w:val="20"/>
          <w:szCs w:val="20"/>
        </w:rPr>
        <w:t xml:space="preserve">Marriage Proof / Certificate, Protection Order, Gift List, Bank Proof (dowry), Chats.</w:t>
      </w:r>
    </w:p>
    <w:p>
      <w:pPr>
        <w:pStyle w:val="Heading3"/>
        <w:spacing w:after="90" w:before="200"/>
      </w:pPr>
      <w:r>
        <w:rPr>
          <w:b/>
          <w:bCs/>
          <w:color w:val="2E7D32"/>
          <w:sz w:val="22"/>
          <w:szCs w:val="22"/>
        </w:rPr>
        <w:t xml:space="preserve">K. Bail Lifecycle</w:t>
      </w:r>
    </w:p>
    <w:p>
      <w:pPr>
        <w:spacing w:after="140" w:line="300"/>
      </w:pPr>
      <w:r>
        <w:rPr>
          <w:sz w:val="20"/>
          <w:szCs w:val="20"/>
        </w:rPr>
        <w:t xml:space="preserve">Arrest Memo, Bail Application, Bail Hearing Notice, Bail Order, Surety Bond, Bail Conditions Register.</w:t>
      </w:r>
    </w:p>
    <w:p>
      <w:pPr>
        <w:pBdr>
          <w:top w:val="single" w:color="EAF5EA" w:sz="2" w:space="6"/>
          <w:bottom w:val="single" w:color="EAF5EA" w:sz="2" w:space="6"/>
          <w:left w:val="single" w:color="2E7D32" w:sz="18" w:space="8"/>
          <w:right w:val="single" w:color="EAF5EA" w:sz="2" w:space="6"/>
        </w:pBdr>
        <w:shd w:fill="EAF5EA" w:val="clear"/>
        <w:spacing w:after="160" w:before="80"/>
        <w:ind w:left="100" w:right="100"/>
      </w:pPr>
      <w:r>
        <w:rPr>
          <w:i/>
          <w:iCs/>
          <w:color w:val="000000"/>
          <w:sz w:val="20"/>
          <w:szCs w:val="20"/>
        </w:rPr>
        <w:t xml:space="preserve">Total: 57 canonical document types identified across the current 15-case reference set. This is the real number the DocumentSchema build effort must be sized against — see Section 4 for the tiered build recommendation.</w:t>
      </w:r>
    </w:p>
    <w:p>
      <w:pPr>
        <w:pStyle w:val="Heading1"/>
        <w:pBdr>
          <w:bottom w:val="single" w:color="1F3864" w:sz="8" w:space="4"/>
        </w:pBdr>
        <w:spacing w:after="200" w:before="420"/>
      </w:pPr>
      <w:r>
        <w:rPr>
          <w:b/>
          <w:bCs/>
          <w:color w:val="1F3864"/>
          <w:sz w:val="30"/>
          <w:szCs w:val="30"/>
        </w:rPr>
        <w:t xml:space="preserve">2. Per-Crime-Type Breakdown (All 15 Cases)</w:t>
      </w:r>
    </w:p>
    <w:p>
      <w:pPr>
        <w:spacing w:after="140" w:line="300"/>
      </w:pPr>
      <w:r>
        <w:rPr>
          <w:sz w:val="21"/>
          <w:szCs w:val="21"/>
        </w:rPr>
        <w:t xml:space="preserve">Each entry lists FIR type, court level, bail pathway (where confirmed by source data), authorities involved, and every document type touching that case's lifecycle. Entries marked “Not yet confirmed” have no bail-pathway data in the current source set — flagged, not guessed.</w:t>
      </w:r>
    </w:p>
    <w:p>
      <w:pPr>
        <w:spacing w:after="100" w:before="260"/>
      </w:pPr>
      <w:r>
        <w:rPr>
          <w:b/>
          <w:bCs/>
          <w:color w:val="1F3864"/>
          <w:sz w:val="24"/>
          <w:szCs w:val="24"/>
        </w:rPr>
        <w:t xml:space="preserve">1. Theft</w:t>
      </w: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Theft FIR (BNS)</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Magistrate Court</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Usually No / Depends</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Victim, Duty Officer, SHO, Investigating Officer, CCTV Cell, FSL, Public Prosecutor, Magistrate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Complaint, ID Proof, IMEI/Vehicle Number Record, Purchase Bill, Incident Location Record, FIR, Case Diary, CCTV Footage, Fingerprint Report, Charge Sheet, Complete Case File, Judgment</w:t>
      </w:r>
    </w:p>
    <w:p>
      <w:pPr>
        <w:spacing w:after="100" w:before="260"/>
      </w:pPr>
      <w:r>
        <w:rPr>
          <w:b/>
          <w:bCs/>
          <w:color w:val="1F3864"/>
          <w:sz w:val="24"/>
          <w:szCs w:val="24"/>
        </w:rPr>
        <w:t xml:space="preserve">2. Robbery / Chain Snatching</w:t>
      </w: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Robbery FIR (BNS)</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Sessions Court</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Usually No / Depends</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Victim, Duty Officer, SHO, Investigating Officer, Hospital, CCTV Cell, FSL, Public Prosecutor, Sessions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Complaint, ID Proof, MLC, Witness Statement, CCTV Footage, Seizure Memo, Fingerprint/Blood Report, FIR, Case Diary, Charge Sheet, Complete Case File, Judgment</w:t>
      </w:r>
    </w:p>
    <w:p>
      <w:pPr>
        <w:spacing w:after="100" w:before="260"/>
      </w:pPr>
      <w:r>
        <w:rPr>
          <w:b/>
          <w:bCs/>
          <w:color w:val="1F3864"/>
          <w:sz w:val="24"/>
          <w:szCs w:val="24"/>
        </w:rPr>
        <w:t xml:space="preserve">3. Burglary</w:t>
      </w: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House Burglary FIR (BNS)</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Not specified in source data</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Not yet confirmed</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Owner/Victim, Duty Officer, SHO, Crime Scene Unit, FSL, Public Prosecutor,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Ownership Proof, Site Inspection Report, Fingerprint Report, Property Loss List, Photographs, FIR, Case Diary, Charge Sheet, Complete Case File, Judgment</w:t>
      </w:r>
    </w:p>
    <w:p>
      <w:pPr>
        <w:spacing w:after="100" w:before="260"/>
      </w:pPr>
      <w:r>
        <w:rPr>
          <w:b/>
          <w:bCs/>
          <w:color w:val="1F3864"/>
          <w:sz w:val="24"/>
          <w:szCs w:val="24"/>
        </w:rPr>
        <w:t xml:space="preserve">4. Cyber Fraud</w:t>
      </w: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IT Act + BNS FIR</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Magistrate Court</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Yes</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Victim, Cyber Police, Duty Officer, Investigating Officer, Bank, Telecom, Digital FSL, Public Prosecutor, Magistrate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Complaint, ID Proof, Bank Account/Statement, UPI ID/Screenshot, SMS/Email, IP Logs, Device Report, SIM Details, FIR, Case Diary, Charge Sheet, Complete Case File, Judgment, plus full Bail Lifecycle set (Arrest Memo → Bail Application → Hearing Notice → Bail Order → Surety Bond → Conditions Register)</w:t>
      </w:r>
    </w:p>
    <w:p>
      <w:pPr>
        <w:spacing w:after="100" w:before="260"/>
      </w:pPr>
      <w:r>
        <w:rPr>
          <w:b/>
          <w:bCs/>
          <w:color w:val="1F3864"/>
          <w:sz w:val="24"/>
          <w:szCs w:val="24"/>
        </w:rPr>
        <w:t xml:space="preserve">5. Road Accident</w:t>
      </w: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Accident FIR (BNS)</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Magistrate Court</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Yes</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Citizen/Victim, Traffic Police, Duty Officer, Investigating Officer, Hospital, RTO, Public Prosecutor, Magistrate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Driving License, RC, Insurance, Complaint, Victim ID, MLC, Vehicle Inspection Report, FIR, Case Diary, Charge Sheet, Complete Case File, Judgment, plus full Bail Lifecycle set</w:t>
      </w:r>
    </w:p>
    <w:p>
      <w:pPr>
        <w:spacing w:after="100" w:before="260"/>
      </w:pPr>
      <w:r>
        <w:rPr>
          <w:b/>
          <w:bCs/>
          <w:color w:val="1F3864"/>
          <w:sz w:val="24"/>
          <w:szCs w:val="24"/>
        </w:rPr>
        <w:t xml:space="preserve">6. Kidnapping</w:t>
      </w: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Kidnapping FIR</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Not specified in source data</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Not yet confirmed</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Parents/Victim, Duty Officer, SHO, Investigating Officer, CCTV Cell, Telecom, Rescue Team, Public Prosecutor,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Photo, Birth Certificate, CDR, Rescue Memo, FIR, Case Diary, Charge Sheet, Complete Case File, Judgment</w:t>
      </w:r>
    </w:p>
    <w:p>
      <w:pPr>
        <w:spacing w:after="100" w:before="260"/>
      </w:pPr>
      <w:r>
        <w:rPr>
          <w:b/>
          <w:bCs/>
          <w:color w:val="1F3864"/>
          <w:sz w:val="24"/>
          <w:szCs w:val="24"/>
        </w:rPr>
        <w:t xml:space="preserve">7. Drug Trafficking</w:t>
      </w: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NDPS FIR</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NDPS Court (special)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Not yet confirmed — NDPS offences are typically subject to stringent bail conditions under Section 37; verify before stating a pathway</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Narcotics Police, Duty Officer, Investigating Officer, FSL, Public Prosecutor, NDPS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Search Warrant, Seizure Memo, Chemical Report, FIR, Case Diary, Charge Sheet, Complete Case File, Judgment</w:t>
      </w:r>
    </w:p>
    <w:p>
      <w:pPr>
        <w:spacing w:after="100" w:before="260"/>
      </w:pPr>
      <w:r>
        <w:rPr>
          <w:b/>
          <w:bCs/>
          <w:color w:val="1F3864"/>
          <w:sz w:val="24"/>
          <w:szCs w:val="24"/>
        </w:rPr>
        <w:t xml:space="preserve">8. Assault</w:t>
      </w: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Assault FIR</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Not specified in source data</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Not yet confirmed</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Victim, Duty Officer, SHO, Investigating Officer, Hospital, Public Prosecutor,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Complaint, Injury Certificate, Witness Statement, FIR, Case Diary, Charge Sheet, Complete Case File, Judgment</w:t>
      </w:r>
    </w:p>
    <w:p>
      <w:pPr>
        <w:spacing w:after="100" w:before="260"/>
      </w:pPr>
      <w:r>
        <w:rPr>
          <w:b/>
          <w:bCs/>
          <w:color w:val="1F3864"/>
          <w:sz w:val="24"/>
          <w:szCs w:val="24"/>
        </w:rPr>
        <w:t xml:space="preserve">9. Property Damage</w:t>
      </w: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Vandalism FIR</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Not specified in source data</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Not yet confirmed</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Owner/Victim, Duty Officer, Investigating Officer, Public Prosecutor,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Ownership Proof, Photographs, Repair Estimate, FIR, Case Diary, Charge Sheet, Complete Case File, Judgment</w:t>
      </w:r>
    </w:p>
    <w:p>
      <w:pPr>
        <w:spacing w:after="100" w:before="260"/>
      </w:pPr>
      <w:r>
        <w:rPr>
          <w:b/>
          <w:bCs/>
          <w:color w:val="1F3864"/>
          <w:sz w:val="24"/>
          <w:szCs w:val="24"/>
        </w:rPr>
        <w:t xml:space="preserve">10. Sexual Harassment</w:t>
      </w:r>
      <w:r>
        <w:rPr>
          <w:b/>
          <w:bCs/>
          <w:color w:val="C00000"/>
          <w:sz w:val="17"/>
          <w:szCs w:val="17"/>
        </w:rPr>
        <w:t xml:space="preserve">   [WOMEN SAFETY — HIGH REDACTION PRIORITY]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Women Safety FIR</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Not specified in source data</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Not yet confirmed</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Victim, Women Desk, Duty Officer, Investigating Officer, Public Prosecutor,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Complaint, Chats, CCTV Footage, Witness Statement, FIR, Case Diary, Charge Sheet, Complete Case File, Judgment</w:t>
      </w:r>
    </w:p>
    <w:p>
      <w:pPr>
        <w:spacing w:after="100" w:before="260"/>
      </w:pPr>
      <w:r>
        <w:rPr>
          <w:b/>
          <w:bCs/>
          <w:color w:val="1F3864"/>
          <w:sz w:val="24"/>
          <w:szCs w:val="24"/>
        </w:rPr>
        <w:t xml:space="preserve">11. Rape</w:t>
      </w:r>
      <w:r>
        <w:rPr>
          <w:b/>
          <w:bCs/>
          <w:color w:val="C00000"/>
          <w:sz w:val="17"/>
          <w:szCs w:val="17"/>
        </w:rPr>
        <w:t xml:space="preserve">   [WOMEN SAFETY — HIGH REDACTION PRIORITY]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Sexual Assault FIR</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Sessions Court</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Not yet confirmed — typically non-bailable under BNS; verify exact classification before stating a pathway</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Women Police, Duty Officer, Investigating Officer, Hospital, FSL, Public Prosecutor, Sessions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MLC, DNA Report, Clothing Seizure, Biological Report, FIR, Case Diary, Charge Sheet, Complete Case File, Judgment</w:t>
      </w:r>
    </w:p>
    <w:p>
      <w:pPr>
        <w:spacing w:after="100" w:before="260"/>
      </w:pPr>
      <w:r>
        <w:rPr>
          <w:b/>
          <w:bCs/>
          <w:color w:val="1F3864"/>
          <w:sz w:val="24"/>
          <w:szCs w:val="24"/>
        </w:rPr>
        <w:t xml:space="preserve">12. Domestic Violence</w:t>
      </w:r>
      <w:r>
        <w:rPr>
          <w:b/>
          <w:bCs/>
          <w:color w:val="C00000"/>
          <w:sz w:val="17"/>
          <w:szCs w:val="17"/>
        </w:rPr>
        <w:t xml:space="preserve">   [WOMEN SAFETY — HIGH REDACTION PRIORITY]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DV FIR</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Magistrate Court</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Yes</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Victim, Women Cell, Duty Officer, Investigating Officer, Hospital, Magistrate</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Marriage Proof, Injury Report, Protection Order, FIR, Case Diary, Charge Sheet, Complete Case File, Judgment, plus full Bail Lifecycle set</w:t>
      </w:r>
    </w:p>
    <w:p>
      <w:pPr>
        <w:spacing w:after="100" w:before="260"/>
      </w:pPr>
      <w:r>
        <w:rPr>
          <w:b/>
          <w:bCs/>
          <w:color w:val="1F3864"/>
          <w:sz w:val="24"/>
          <w:szCs w:val="24"/>
        </w:rPr>
        <w:t xml:space="preserve">13. Dowry Harassment</w:t>
      </w:r>
      <w:r>
        <w:rPr>
          <w:b/>
          <w:bCs/>
          <w:color w:val="C00000"/>
          <w:sz w:val="17"/>
          <w:szCs w:val="17"/>
        </w:rPr>
        <w:t xml:space="preserve">   [WOMEN SAFETY — HIGH REDACTION PRIORITY]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Dowry FIR</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Sessions Court</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Yes</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Women Cell, Counselor, Duty Officer, Investigating Officer, Public Prosecutor,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Marriage Certificate, Gift List, Bank Proof, FIR, Case Diary, Charge Sheet, Complete Case File, Judgment, plus full Bail Lifecycle set</w:t>
      </w:r>
    </w:p>
    <w:p>
      <w:pPr>
        <w:spacing w:after="100" w:before="260"/>
      </w:pPr>
      <w:r>
        <w:rPr>
          <w:b/>
          <w:bCs/>
          <w:color w:val="1F3864"/>
          <w:sz w:val="24"/>
          <w:szCs w:val="24"/>
        </w:rPr>
        <w:t xml:space="preserve">14. Stalking</w:t>
      </w:r>
      <w:r>
        <w:rPr>
          <w:b/>
          <w:bCs/>
          <w:color w:val="C00000"/>
          <w:sz w:val="17"/>
          <w:szCs w:val="17"/>
        </w:rPr>
        <w:t xml:space="preserve">   [WOMEN SAFETY — HIGH REDACTION PRIORITY]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Stalking FIR</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Not specified in source data</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Not yet confirmed</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Victim, Duty Officer, Investigating Officer, Cyber Cell, Public Prosecutor,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Screenshots, Call Logs, Emails, FIR, Case Diary, Charge Sheet, Complete Case File, Judgment</w:t>
      </w:r>
    </w:p>
    <w:p>
      <w:pPr>
        <w:spacing w:after="100" w:before="260"/>
      </w:pPr>
      <w:r>
        <w:rPr>
          <w:b/>
          <w:bCs/>
          <w:color w:val="1F3864"/>
          <w:sz w:val="24"/>
          <w:szCs w:val="24"/>
        </w:rPr>
        <w:t xml:space="preserve">15. Acid Attack</w:t>
      </w:r>
      <w:r>
        <w:rPr>
          <w:b/>
          <w:bCs/>
          <w:color w:val="C00000"/>
          <w:sz w:val="17"/>
          <w:szCs w:val="17"/>
        </w:rPr>
        <w:t xml:space="preserve">   [WOMEN SAFETY — HIGH REDACTION PRIORITY]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00"/>
            <w:shd w:fill="1F3864" w:val="clear"/>
            <w:tcMar>
              <w:top w:type="dxa" w:w="90"/>
              <w:left w:type="dxa" w:w="110"/>
              <w:bottom w:type="dxa" w:w="90"/>
              <w:right w:type="dxa" w:w="110"/>
            </w:tcMar>
          </w:tcPr>
          <w:p>
            <w:r>
              <w:rPr>
                <w:b/>
                <w:bCs/>
                <w:color w:val="FFFFFF"/>
                <w:sz w:val="19"/>
                <w:szCs w:val="19"/>
              </w:rPr>
              <w:t xml:space="preserve">Detail</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FIR Type</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Acid Attack FIR</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Court Level</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Sessions Court</w:t>
            </w:r>
          </w:p>
        </w:tc>
      </w:tr>
      <w:tr>
        <w:tc>
          <w:tcPr>
            <w:tcW w:type="dxa" w:w="2400"/>
            <w:shd w:fill="F2F2F2" w:val="clear"/>
            <w:tcMar>
              <w:top w:type="dxa" w:w="90"/>
              <w:left w:type="dxa" w:w="110"/>
              <w:bottom w:type="dxa" w:w="90"/>
              <w:right w:type="dxa" w:w="110"/>
            </w:tcMar>
          </w:tcPr>
          <w:p>
            <w:r>
              <w:rPr>
                <w:b w:val="false"/>
                <w:bCs w:val="false"/>
                <w:color w:val="000000"/>
                <w:sz w:val="19"/>
                <w:szCs w:val="19"/>
              </w:rPr>
              <w:t xml:space="preserve">Bail Pathway</w:t>
            </w:r>
          </w:p>
        </w:tc>
        <w:tc>
          <w:tcPr>
            <w:tcW w:type="dxa" w:w="6900"/>
            <w:shd w:fill="F2F2F2" w:val="clear"/>
            <w:tcMar>
              <w:top w:type="dxa" w:w="90"/>
              <w:left w:type="dxa" w:w="110"/>
              <w:bottom w:type="dxa" w:w="90"/>
              <w:right w:type="dxa" w:w="110"/>
            </w:tcMar>
          </w:tcPr>
          <w:p>
            <w:r>
              <w:rPr>
                <w:b w:val="false"/>
                <w:bCs w:val="false"/>
                <w:color w:val="000000"/>
                <w:sz w:val="19"/>
                <w:szCs w:val="19"/>
              </w:rPr>
              <w:t xml:space="preserve">Not yet confirmed — typically non-bailable given severity; verify exact classification before stating a pathway</w:t>
            </w:r>
          </w:p>
        </w:tc>
      </w:tr>
      <w:tr>
        <w:tc>
          <w:tcPr>
            <w:tcW w:type="dxa" w:w="2400"/>
            <w:shd w:fill="FFFFFF" w:val="clear"/>
            <w:tcMar>
              <w:top w:type="dxa" w:w="90"/>
              <w:left w:type="dxa" w:w="110"/>
              <w:bottom w:type="dxa" w:w="90"/>
              <w:right w:type="dxa" w:w="110"/>
            </w:tcMar>
          </w:tcPr>
          <w:p>
            <w:r>
              <w:rPr>
                <w:b w:val="false"/>
                <w:bCs w:val="false"/>
                <w:color w:val="000000"/>
                <w:sz w:val="19"/>
                <w:szCs w:val="19"/>
              </w:rPr>
              <w:t xml:space="preserve">Authorities Involved</w:t>
            </w:r>
          </w:p>
        </w:tc>
        <w:tc>
          <w:tcPr>
            <w:tcW w:type="dxa" w:w="6900"/>
            <w:shd w:fill="FFFFFF" w:val="clear"/>
            <w:tcMar>
              <w:top w:type="dxa" w:w="90"/>
              <w:left w:type="dxa" w:w="110"/>
              <w:bottom w:type="dxa" w:w="90"/>
              <w:right w:type="dxa" w:w="110"/>
            </w:tcMar>
          </w:tcPr>
          <w:p>
            <w:r>
              <w:rPr>
                <w:b w:val="false"/>
                <w:bCs w:val="false"/>
                <w:color w:val="000000"/>
                <w:sz w:val="19"/>
                <w:szCs w:val="19"/>
              </w:rPr>
              <w:t xml:space="preserve">Hospital, Duty Officer, Investigating Officer, FSL, Public Prosecutor, Sessions Court</w:t>
            </w:r>
          </w:p>
        </w:tc>
      </w:tr>
    </w:tbl>
    <w:p>
      <w:pPr>
        <w:spacing w:after="60" w:before="120"/>
      </w:pPr>
      <w:r>
        <w:rPr>
          <w:b/>
          <w:bCs/>
          <w:sz w:val="20"/>
          <w:szCs w:val="20"/>
        </w:rPr>
        <w:t xml:space="preserve">Documents involved (FIR intake + inter-department + final file):</w:t>
      </w:r>
    </w:p>
    <w:p>
      <w:pPr>
        <w:spacing w:after="200" w:line="280"/>
      </w:pPr>
      <w:r>
        <w:rPr>
          <w:sz w:val="20"/>
          <w:szCs w:val="20"/>
        </w:rPr>
        <w:t xml:space="preserve">MLC, Chemical Report, Scene Photos, FIR, Case Diary, Charge Sheet, Complete Case File, Judgment</w:t>
      </w:r>
    </w:p>
    <w:p>
      <w:pPr>
        <w:pStyle w:val="Heading1"/>
        <w:pBdr>
          <w:bottom w:val="single" w:color="1F3864" w:sz="8" w:space="4"/>
        </w:pBdr>
        <w:spacing w:after="200" w:before="420"/>
      </w:pPr>
      <w:r>
        <w:rPr>
          <w:b/>
          <w:bCs/>
          <w:color w:val="1F3864"/>
          <w:sz w:val="30"/>
          <w:szCs w:val="30"/>
        </w:rPr>
        <w:t xml:space="preserve">3. Role &amp; Authority Taxonomy</w:t>
      </w:r>
    </w:p>
    <w:p>
      <w:pPr>
        <w:spacing w:after="140" w:line="300"/>
      </w:pPr>
      <w:r>
        <w:rPr>
          <w:sz w:val="21"/>
          <w:szCs w:val="21"/>
        </w:rPr>
        <w:t xml:space="preserve">Every distinct actor appearing across the 15 workflows, consolidated into the role model used by the system design's RBAC layer.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3800"/>
      </w:tblGrid>
      <w:tr>
        <w:trPr>
          <w:tblHeader/>
        </w:trPr>
        <w:tc>
          <w:tcPr>
            <w:tcW w:type="dxa" w:w="2900"/>
            <w:shd w:fill="1F3864" w:val="clear"/>
            <w:tcMar>
              <w:top w:type="dxa" w:w="90"/>
              <w:left w:type="dxa" w:w="110"/>
              <w:bottom w:type="dxa" w:w="90"/>
              <w:right w:type="dxa" w:w="110"/>
            </w:tcMar>
          </w:tcPr>
          <w:p>
            <w:r>
              <w:rPr>
                <w:b/>
                <w:bCs/>
                <w:color w:val="FFFFFF"/>
                <w:sz w:val="19"/>
                <w:szCs w:val="19"/>
              </w:rPr>
              <w:t xml:space="preserve">Role</w:t>
            </w:r>
          </w:p>
        </w:tc>
        <w:tc>
          <w:tcPr>
            <w:tcW w:type="dxa" w:w="2600"/>
            <w:shd w:fill="1F3864" w:val="clear"/>
            <w:tcMar>
              <w:top w:type="dxa" w:w="90"/>
              <w:left w:type="dxa" w:w="110"/>
              <w:bottom w:type="dxa" w:w="90"/>
              <w:right w:type="dxa" w:w="110"/>
            </w:tcMar>
          </w:tcPr>
          <w:p>
            <w:r>
              <w:rPr>
                <w:b/>
                <w:bCs/>
                <w:color w:val="FFFFFF"/>
                <w:sz w:val="19"/>
                <w:szCs w:val="19"/>
              </w:rPr>
              <w:t xml:space="preserve">Type</w:t>
            </w:r>
          </w:p>
        </w:tc>
        <w:tc>
          <w:tcPr>
            <w:tcW w:type="dxa" w:w="3800"/>
            <w:shd w:fill="1F3864" w:val="clear"/>
            <w:tcMar>
              <w:top w:type="dxa" w:w="90"/>
              <w:left w:type="dxa" w:w="110"/>
              <w:bottom w:type="dxa" w:w="90"/>
              <w:right w:type="dxa" w:w="110"/>
            </w:tcMar>
          </w:tcPr>
          <w:p>
            <w:r>
              <w:rPr>
                <w:b/>
                <w:bCs/>
                <w:color w:val="FFFFFF"/>
                <w:sz w:val="19"/>
                <w:szCs w:val="19"/>
              </w:rPr>
              <w:t xml:space="preserve">Appears In</w:t>
            </w:r>
          </w:p>
        </w:tc>
      </w:tr>
      <w:tr>
        <w:tc>
          <w:tcPr>
            <w:tcW w:type="dxa" w:w="2900"/>
            <w:shd w:fill="F2F2F2" w:val="clear"/>
            <w:tcMar>
              <w:top w:type="dxa" w:w="90"/>
              <w:left w:type="dxa" w:w="110"/>
              <w:bottom w:type="dxa" w:w="90"/>
              <w:right w:type="dxa" w:w="110"/>
            </w:tcMar>
          </w:tcPr>
          <w:p>
            <w:r>
              <w:rPr>
                <w:b w:val="false"/>
                <w:bCs w:val="false"/>
                <w:color w:val="000000"/>
                <w:sz w:val="19"/>
                <w:szCs w:val="19"/>
              </w:rPr>
              <w:t xml:space="preserve">Victim / Complainant / Owner</w:t>
            </w:r>
          </w:p>
        </w:tc>
        <w:tc>
          <w:tcPr>
            <w:tcW w:type="dxa" w:w="2600"/>
            <w:shd w:fill="F2F2F2" w:val="clear"/>
            <w:tcMar>
              <w:top w:type="dxa" w:w="90"/>
              <w:left w:type="dxa" w:w="110"/>
              <w:bottom w:type="dxa" w:w="90"/>
              <w:right w:type="dxa" w:w="110"/>
            </w:tcMar>
          </w:tcPr>
          <w:p>
            <w:r>
              <w:rPr>
                <w:b w:val="false"/>
                <w:bCs w:val="false"/>
                <w:color w:val="000000"/>
                <w:sz w:val="19"/>
                <w:szCs w:val="19"/>
              </w:rPr>
              <w:t xml:space="preserve">External — case-initiating</w:t>
            </w:r>
          </w:p>
        </w:tc>
        <w:tc>
          <w:tcPr>
            <w:tcW w:type="dxa" w:w="3800"/>
            <w:shd w:fill="F2F2F2" w:val="clear"/>
            <w:tcMar>
              <w:top w:type="dxa" w:w="90"/>
              <w:left w:type="dxa" w:w="110"/>
              <w:bottom w:type="dxa" w:w="90"/>
              <w:right w:type="dxa" w:w="110"/>
            </w:tcMar>
          </w:tcPr>
          <w:p>
            <w:r>
              <w:rPr>
                <w:b w:val="false"/>
                <w:bCs w:val="false"/>
                <w:color w:val="000000"/>
                <w:sz w:val="19"/>
                <w:szCs w:val="19"/>
              </w:rPr>
              <w:t xml:space="preserve">All 15 cases</w:t>
            </w:r>
          </w:p>
        </w:tc>
      </w:tr>
      <w:tr>
        <w:tc>
          <w:tcPr>
            <w:tcW w:type="dxa" w:w="2900"/>
            <w:shd w:fill="FFFFFF" w:val="clear"/>
            <w:tcMar>
              <w:top w:type="dxa" w:w="90"/>
              <w:left w:type="dxa" w:w="110"/>
              <w:bottom w:type="dxa" w:w="90"/>
              <w:right w:type="dxa" w:w="110"/>
            </w:tcMar>
          </w:tcPr>
          <w:p>
            <w:r>
              <w:rPr>
                <w:b w:val="false"/>
                <w:bCs w:val="false"/>
                <w:color w:val="000000"/>
                <w:sz w:val="19"/>
                <w:szCs w:val="19"/>
              </w:rPr>
              <w:t xml:space="preserve">Duty Officer</w:t>
            </w:r>
          </w:p>
        </w:tc>
        <w:tc>
          <w:tcPr>
            <w:tcW w:type="dxa" w:w="2600"/>
            <w:shd w:fill="FFFFFF" w:val="clear"/>
            <w:tcMar>
              <w:top w:type="dxa" w:w="90"/>
              <w:left w:type="dxa" w:w="110"/>
              <w:bottom w:type="dxa" w:w="90"/>
              <w:right w:type="dxa" w:w="110"/>
            </w:tcMar>
          </w:tcPr>
          <w:p>
            <w:r>
              <w:rPr>
                <w:b w:val="false"/>
                <w:bCs w:val="false"/>
                <w:color w:val="000000"/>
                <w:sz w:val="19"/>
                <w:szCs w:val="19"/>
              </w:rPr>
              <w:t xml:space="preserve">Internal — police (intake)</w:t>
            </w:r>
          </w:p>
        </w:tc>
        <w:tc>
          <w:tcPr>
            <w:tcW w:type="dxa" w:w="3800"/>
            <w:shd w:fill="FFFFFF" w:val="clear"/>
            <w:tcMar>
              <w:top w:type="dxa" w:w="90"/>
              <w:left w:type="dxa" w:w="110"/>
              <w:bottom w:type="dxa" w:w="90"/>
              <w:right w:type="dxa" w:w="110"/>
            </w:tcMar>
          </w:tcPr>
          <w:p>
            <w:r>
              <w:rPr>
                <w:b w:val="false"/>
                <w:bCs w:val="false"/>
                <w:color w:val="000000"/>
                <w:sz w:val="19"/>
                <w:szCs w:val="19"/>
              </w:rPr>
              <w:t xml:space="preserve">All 15 cases (registers FIR)</w:t>
            </w:r>
          </w:p>
        </w:tc>
      </w:tr>
      <w:tr>
        <w:tc>
          <w:tcPr>
            <w:tcW w:type="dxa" w:w="2900"/>
            <w:shd w:fill="F2F2F2" w:val="clear"/>
            <w:tcMar>
              <w:top w:type="dxa" w:w="90"/>
              <w:left w:type="dxa" w:w="110"/>
              <w:bottom w:type="dxa" w:w="90"/>
              <w:right w:type="dxa" w:w="110"/>
            </w:tcMar>
          </w:tcPr>
          <w:p>
            <w:r>
              <w:rPr>
                <w:b w:val="false"/>
                <w:bCs w:val="false"/>
                <w:color w:val="000000"/>
                <w:sz w:val="19"/>
                <w:szCs w:val="19"/>
              </w:rPr>
              <w:t xml:space="preserve">SHO (Station House Officer)</w:t>
            </w:r>
          </w:p>
        </w:tc>
        <w:tc>
          <w:tcPr>
            <w:tcW w:type="dxa" w:w="2600"/>
            <w:shd w:fill="F2F2F2" w:val="clear"/>
            <w:tcMar>
              <w:top w:type="dxa" w:w="90"/>
              <w:left w:type="dxa" w:w="110"/>
              <w:bottom w:type="dxa" w:w="90"/>
              <w:right w:type="dxa" w:w="110"/>
            </w:tcMar>
          </w:tcPr>
          <w:p>
            <w:r>
              <w:rPr>
                <w:b w:val="false"/>
                <w:bCs w:val="false"/>
                <w:color w:val="000000"/>
                <w:sz w:val="19"/>
                <w:szCs w:val="19"/>
              </w:rPr>
              <w:t xml:space="preserve">Internal — police (supervisory)</w:t>
            </w:r>
          </w:p>
        </w:tc>
        <w:tc>
          <w:tcPr>
            <w:tcW w:type="dxa" w:w="3800"/>
            <w:shd w:fill="F2F2F2" w:val="clear"/>
            <w:tcMar>
              <w:top w:type="dxa" w:w="90"/>
              <w:left w:type="dxa" w:w="110"/>
              <w:bottom w:type="dxa" w:w="90"/>
              <w:right w:type="dxa" w:w="110"/>
            </w:tcMar>
          </w:tcPr>
          <w:p>
            <w:r>
              <w:rPr>
                <w:b w:val="false"/>
                <w:bCs w:val="false"/>
                <w:color w:val="000000"/>
                <w:sz w:val="19"/>
                <w:szCs w:val="19"/>
              </w:rPr>
              <w:t xml:space="preserve">Cases with explicit IO-assignment step</w:t>
            </w:r>
          </w:p>
        </w:tc>
      </w:tr>
      <w:tr>
        <w:tc>
          <w:tcPr>
            <w:tcW w:type="dxa" w:w="2900"/>
            <w:shd w:fill="FFFFFF" w:val="clear"/>
            <w:tcMar>
              <w:top w:type="dxa" w:w="90"/>
              <w:left w:type="dxa" w:w="110"/>
              <w:bottom w:type="dxa" w:w="90"/>
              <w:right w:type="dxa" w:w="110"/>
            </w:tcMar>
          </w:tcPr>
          <w:p>
            <w:r>
              <w:rPr>
                <w:b w:val="false"/>
                <w:bCs w:val="false"/>
                <w:color w:val="000000"/>
                <w:sz w:val="19"/>
                <w:szCs w:val="19"/>
              </w:rPr>
              <w:t xml:space="preserve">Investigating Officer (IO)</w:t>
            </w:r>
          </w:p>
        </w:tc>
        <w:tc>
          <w:tcPr>
            <w:tcW w:type="dxa" w:w="2600"/>
            <w:shd w:fill="FFFFFF" w:val="clear"/>
            <w:tcMar>
              <w:top w:type="dxa" w:w="90"/>
              <w:left w:type="dxa" w:w="110"/>
              <w:bottom w:type="dxa" w:w="90"/>
              <w:right w:type="dxa" w:w="110"/>
            </w:tcMar>
          </w:tcPr>
          <w:p>
            <w:r>
              <w:rPr>
                <w:b w:val="false"/>
                <w:bCs w:val="false"/>
                <w:color w:val="000000"/>
                <w:sz w:val="19"/>
                <w:szCs w:val="19"/>
              </w:rPr>
              <w:t xml:space="preserve">Internal — police (case owner)</w:t>
            </w:r>
          </w:p>
        </w:tc>
        <w:tc>
          <w:tcPr>
            <w:tcW w:type="dxa" w:w="3800"/>
            <w:shd w:fill="FFFFFF" w:val="clear"/>
            <w:tcMar>
              <w:top w:type="dxa" w:w="90"/>
              <w:left w:type="dxa" w:w="110"/>
              <w:bottom w:type="dxa" w:w="90"/>
              <w:right w:type="dxa" w:w="110"/>
            </w:tcMar>
          </w:tcPr>
          <w:p>
            <w:r>
              <w:rPr>
                <w:b w:val="false"/>
                <w:bCs w:val="false"/>
                <w:color w:val="000000"/>
                <w:sz w:val="19"/>
                <w:szCs w:val="19"/>
              </w:rPr>
              <w:t xml:space="preserve">All 15 cases</w:t>
            </w:r>
          </w:p>
        </w:tc>
      </w:tr>
      <w:tr>
        <w:tc>
          <w:tcPr>
            <w:tcW w:type="dxa" w:w="2900"/>
            <w:shd w:fill="F2F2F2" w:val="clear"/>
            <w:tcMar>
              <w:top w:type="dxa" w:w="90"/>
              <w:left w:type="dxa" w:w="110"/>
              <w:bottom w:type="dxa" w:w="90"/>
              <w:right w:type="dxa" w:w="110"/>
            </w:tcMar>
          </w:tcPr>
          <w:p>
            <w:r>
              <w:rPr>
                <w:b w:val="false"/>
                <w:bCs w:val="false"/>
                <w:color w:val="000000"/>
                <w:sz w:val="19"/>
                <w:szCs w:val="19"/>
              </w:rPr>
              <w:t xml:space="preserve">Women Desk / Women Police / Women Cell</w:t>
            </w:r>
          </w:p>
        </w:tc>
        <w:tc>
          <w:tcPr>
            <w:tcW w:type="dxa" w:w="2600"/>
            <w:shd w:fill="F2F2F2" w:val="clear"/>
            <w:tcMar>
              <w:top w:type="dxa" w:w="90"/>
              <w:left w:type="dxa" w:w="110"/>
              <w:bottom w:type="dxa" w:w="90"/>
              <w:right w:type="dxa" w:w="110"/>
            </w:tcMar>
          </w:tcPr>
          <w:p>
            <w:r>
              <w:rPr>
                <w:b w:val="false"/>
                <w:bCs w:val="false"/>
                <w:color w:val="000000"/>
                <w:sz w:val="19"/>
                <w:szCs w:val="19"/>
              </w:rPr>
              <w:t xml:space="preserve">Internal — specialized police unit</w:t>
            </w:r>
          </w:p>
        </w:tc>
        <w:tc>
          <w:tcPr>
            <w:tcW w:type="dxa" w:w="3800"/>
            <w:shd w:fill="F2F2F2" w:val="clear"/>
            <w:tcMar>
              <w:top w:type="dxa" w:w="90"/>
              <w:left w:type="dxa" w:w="110"/>
              <w:bottom w:type="dxa" w:w="90"/>
              <w:right w:type="dxa" w:w="110"/>
            </w:tcMar>
          </w:tcPr>
          <w:p>
            <w:r>
              <w:rPr>
                <w:b w:val="false"/>
                <w:bCs w:val="false"/>
                <w:color w:val="000000"/>
                <w:sz w:val="19"/>
                <w:szCs w:val="19"/>
              </w:rPr>
              <w:t xml:space="preserve">Sexual Harassment, Rape, Domestic Violence, Dowry Harassment</w:t>
            </w:r>
          </w:p>
        </w:tc>
      </w:tr>
      <w:tr>
        <w:tc>
          <w:tcPr>
            <w:tcW w:type="dxa" w:w="2900"/>
            <w:shd w:fill="FFFFFF" w:val="clear"/>
            <w:tcMar>
              <w:top w:type="dxa" w:w="90"/>
              <w:left w:type="dxa" w:w="110"/>
              <w:bottom w:type="dxa" w:w="90"/>
              <w:right w:type="dxa" w:w="110"/>
            </w:tcMar>
          </w:tcPr>
          <w:p>
            <w:r>
              <w:rPr>
                <w:b w:val="false"/>
                <w:bCs w:val="false"/>
                <w:color w:val="000000"/>
                <w:sz w:val="19"/>
                <w:szCs w:val="19"/>
              </w:rPr>
              <w:t xml:space="preserve">Cyber Police / Cyber Cell</w:t>
            </w:r>
          </w:p>
        </w:tc>
        <w:tc>
          <w:tcPr>
            <w:tcW w:type="dxa" w:w="2600"/>
            <w:shd w:fill="FFFFFF" w:val="clear"/>
            <w:tcMar>
              <w:top w:type="dxa" w:w="90"/>
              <w:left w:type="dxa" w:w="110"/>
              <w:bottom w:type="dxa" w:w="90"/>
              <w:right w:type="dxa" w:w="110"/>
            </w:tcMar>
          </w:tcPr>
          <w:p>
            <w:r>
              <w:rPr>
                <w:b w:val="false"/>
                <w:bCs w:val="false"/>
                <w:color w:val="000000"/>
                <w:sz w:val="19"/>
                <w:szCs w:val="19"/>
              </w:rPr>
              <w:t xml:space="preserve">Internal — specialized police unit</w:t>
            </w:r>
          </w:p>
        </w:tc>
        <w:tc>
          <w:tcPr>
            <w:tcW w:type="dxa" w:w="3800"/>
            <w:shd w:fill="FFFFFF" w:val="clear"/>
            <w:tcMar>
              <w:top w:type="dxa" w:w="90"/>
              <w:left w:type="dxa" w:w="110"/>
              <w:bottom w:type="dxa" w:w="90"/>
              <w:right w:type="dxa" w:w="110"/>
            </w:tcMar>
          </w:tcPr>
          <w:p>
            <w:r>
              <w:rPr>
                <w:b w:val="false"/>
                <w:bCs w:val="false"/>
                <w:color w:val="000000"/>
                <w:sz w:val="19"/>
                <w:szCs w:val="19"/>
              </w:rPr>
              <w:t xml:space="preserve">Cyber Fraud, Stalking</w:t>
            </w:r>
          </w:p>
        </w:tc>
      </w:tr>
      <w:tr>
        <w:tc>
          <w:tcPr>
            <w:tcW w:type="dxa" w:w="2900"/>
            <w:shd w:fill="F2F2F2" w:val="clear"/>
            <w:tcMar>
              <w:top w:type="dxa" w:w="90"/>
              <w:left w:type="dxa" w:w="110"/>
              <w:bottom w:type="dxa" w:w="90"/>
              <w:right w:type="dxa" w:w="110"/>
            </w:tcMar>
          </w:tcPr>
          <w:p>
            <w:r>
              <w:rPr>
                <w:b w:val="false"/>
                <w:bCs w:val="false"/>
                <w:color w:val="000000"/>
                <w:sz w:val="19"/>
                <w:szCs w:val="19"/>
              </w:rPr>
              <w:t xml:space="preserve">Narcotics Police</w:t>
            </w:r>
          </w:p>
        </w:tc>
        <w:tc>
          <w:tcPr>
            <w:tcW w:type="dxa" w:w="2600"/>
            <w:shd w:fill="F2F2F2" w:val="clear"/>
            <w:tcMar>
              <w:top w:type="dxa" w:w="90"/>
              <w:left w:type="dxa" w:w="110"/>
              <w:bottom w:type="dxa" w:w="90"/>
              <w:right w:type="dxa" w:w="110"/>
            </w:tcMar>
          </w:tcPr>
          <w:p>
            <w:r>
              <w:rPr>
                <w:b w:val="false"/>
                <w:bCs w:val="false"/>
                <w:color w:val="000000"/>
                <w:sz w:val="19"/>
                <w:szCs w:val="19"/>
              </w:rPr>
              <w:t xml:space="preserve">Internal — specialized police unit</w:t>
            </w:r>
          </w:p>
        </w:tc>
        <w:tc>
          <w:tcPr>
            <w:tcW w:type="dxa" w:w="3800"/>
            <w:shd w:fill="F2F2F2" w:val="clear"/>
            <w:tcMar>
              <w:top w:type="dxa" w:w="90"/>
              <w:left w:type="dxa" w:w="110"/>
              <w:bottom w:type="dxa" w:w="90"/>
              <w:right w:type="dxa" w:w="110"/>
            </w:tcMar>
          </w:tcPr>
          <w:p>
            <w:r>
              <w:rPr>
                <w:b w:val="false"/>
                <w:bCs w:val="false"/>
                <w:color w:val="000000"/>
                <w:sz w:val="19"/>
                <w:szCs w:val="19"/>
              </w:rPr>
              <w:t xml:space="preserve">Drug Trafficking</w:t>
            </w:r>
          </w:p>
        </w:tc>
      </w:tr>
      <w:tr>
        <w:tc>
          <w:tcPr>
            <w:tcW w:type="dxa" w:w="2900"/>
            <w:shd w:fill="FFFFFF" w:val="clear"/>
            <w:tcMar>
              <w:top w:type="dxa" w:w="90"/>
              <w:left w:type="dxa" w:w="110"/>
              <w:bottom w:type="dxa" w:w="90"/>
              <w:right w:type="dxa" w:w="110"/>
            </w:tcMar>
          </w:tcPr>
          <w:p>
            <w:r>
              <w:rPr>
                <w:b w:val="false"/>
                <w:bCs w:val="false"/>
                <w:color w:val="000000"/>
                <w:sz w:val="19"/>
                <w:szCs w:val="19"/>
              </w:rPr>
              <w:t xml:space="preserve">Traffic Police</w:t>
            </w:r>
          </w:p>
        </w:tc>
        <w:tc>
          <w:tcPr>
            <w:tcW w:type="dxa" w:w="2600"/>
            <w:shd w:fill="FFFFFF" w:val="clear"/>
            <w:tcMar>
              <w:top w:type="dxa" w:w="90"/>
              <w:left w:type="dxa" w:w="110"/>
              <w:bottom w:type="dxa" w:w="90"/>
              <w:right w:type="dxa" w:w="110"/>
            </w:tcMar>
          </w:tcPr>
          <w:p>
            <w:r>
              <w:rPr>
                <w:b w:val="false"/>
                <w:bCs w:val="false"/>
                <w:color w:val="000000"/>
                <w:sz w:val="19"/>
                <w:szCs w:val="19"/>
              </w:rPr>
              <w:t xml:space="preserve">Internal — specialized police unit</w:t>
            </w:r>
          </w:p>
        </w:tc>
        <w:tc>
          <w:tcPr>
            <w:tcW w:type="dxa" w:w="3800"/>
            <w:shd w:fill="FFFFFF" w:val="clear"/>
            <w:tcMar>
              <w:top w:type="dxa" w:w="90"/>
              <w:left w:type="dxa" w:w="110"/>
              <w:bottom w:type="dxa" w:w="90"/>
              <w:right w:type="dxa" w:w="110"/>
            </w:tcMar>
          </w:tcPr>
          <w:p>
            <w:r>
              <w:rPr>
                <w:b w:val="false"/>
                <w:bCs w:val="false"/>
                <w:color w:val="000000"/>
                <w:sz w:val="19"/>
                <w:szCs w:val="19"/>
              </w:rPr>
              <w:t xml:space="preserve">Road Accident</w:t>
            </w:r>
          </w:p>
        </w:tc>
      </w:tr>
      <w:tr>
        <w:tc>
          <w:tcPr>
            <w:tcW w:type="dxa" w:w="2900"/>
            <w:shd w:fill="F2F2F2" w:val="clear"/>
            <w:tcMar>
              <w:top w:type="dxa" w:w="90"/>
              <w:left w:type="dxa" w:w="110"/>
              <w:bottom w:type="dxa" w:w="90"/>
              <w:right w:type="dxa" w:w="110"/>
            </w:tcMar>
          </w:tcPr>
          <w:p>
            <w:r>
              <w:rPr>
                <w:b w:val="false"/>
                <w:bCs w:val="false"/>
                <w:color w:val="000000"/>
                <w:sz w:val="19"/>
                <w:szCs w:val="19"/>
              </w:rPr>
              <w:t xml:space="preserve">Crime Scene Unit</w:t>
            </w:r>
          </w:p>
        </w:tc>
        <w:tc>
          <w:tcPr>
            <w:tcW w:type="dxa" w:w="2600"/>
            <w:shd w:fill="F2F2F2" w:val="clear"/>
            <w:tcMar>
              <w:top w:type="dxa" w:w="90"/>
              <w:left w:type="dxa" w:w="110"/>
              <w:bottom w:type="dxa" w:w="90"/>
              <w:right w:type="dxa" w:w="110"/>
            </w:tcMar>
          </w:tcPr>
          <w:p>
            <w:r>
              <w:rPr>
                <w:b w:val="false"/>
                <w:bCs w:val="false"/>
                <w:color w:val="000000"/>
                <w:sz w:val="19"/>
                <w:szCs w:val="19"/>
              </w:rPr>
              <w:t xml:space="preserve">Internal — specialized police unit</w:t>
            </w:r>
          </w:p>
        </w:tc>
        <w:tc>
          <w:tcPr>
            <w:tcW w:type="dxa" w:w="3800"/>
            <w:shd w:fill="F2F2F2" w:val="clear"/>
            <w:tcMar>
              <w:top w:type="dxa" w:w="90"/>
              <w:left w:type="dxa" w:w="110"/>
              <w:bottom w:type="dxa" w:w="90"/>
              <w:right w:type="dxa" w:w="110"/>
            </w:tcMar>
          </w:tcPr>
          <w:p>
            <w:r>
              <w:rPr>
                <w:b w:val="false"/>
                <w:bCs w:val="false"/>
                <w:color w:val="000000"/>
                <w:sz w:val="19"/>
                <w:szCs w:val="19"/>
              </w:rPr>
              <w:t xml:space="preserve">Burglary</w:t>
            </w:r>
          </w:p>
        </w:tc>
      </w:tr>
      <w:tr>
        <w:tc>
          <w:tcPr>
            <w:tcW w:type="dxa" w:w="2900"/>
            <w:shd w:fill="FFFFFF" w:val="clear"/>
            <w:tcMar>
              <w:top w:type="dxa" w:w="90"/>
              <w:left w:type="dxa" w:w="110"/>
              <w:bottom w:type="dxa" w:w="90"/>
              <w:right w:type="dxa" w:w="110"/>
            </w:tcMar>
          </w:tcPr>
          <w:p>
            <w:r>
              <w:rPr>
                <w:b w:val="false"/>
                <w:bCs w:val="false"/>
                <w:color w:val="000000"/>
                <w:sz w:val="19"/>
                <w:szCs w:val="19"/>
              </w:rPr>
              <w:t xml:space="preserve">Rescue Team</w:t>
            </w:r>
          </w:p>
        </w:tc>
        <w:tc>
          <w:tcPr>
            <w:tcW w:type="dxa" w:w="2600"/>
            <w:shd w:fill="FFFFFF" w:val="clear"/>
            <w:tcMar>
              <w:top w:type="dxa" w:w="90"/>
              <w:left w:type="dxa" w:w="110"/>
              <w:bottom w:type="dxa" w:w="90"/>
              <w:right w:type="dxa" w:w="110"/>
            </w:tcMar>
          </w:tcPr>
          <w:p>
            <w:r>
              <w:rPr>
                <w:b w:val="false"/>
                <w:bCs w:val="false"/>
                <w:color w:val="000000"/>
                <w:sz w:val="19"/>
                <w:szCs w:val="19"/>
              </w:rPr>
              <w:t xml:space="preserve">Internal — specialized unit</w:t>
            </w:r>
          </w:p>
        </w:tc>
        <w:tc>
          <w:tcPr>
            <w:tcW w:type="dxa" w:w="3800"/>
            <w:shd w:fill="FFFFFF" w:val="clear"/>
            <w:tcMar>
              <w:top w:type="dxa" w:w="90"/>
              <w:left w:type="dxa" w:w="110"/>
              <w:bottom w:type="dxa" w:w="90"/>
              <w:right w:type="dxa" w:w="110"/>
            </w:tcMar>
          </w:tcPr>
          <w:p>
            <w:r>
              <w:rPr>
                <w:b w:val="false"/>
                <w:bCs w:val="false"/>
                <w:color w:val="000000"/>
                <w:sz w:val="19"/>
                <w:szCs w:val="19"/>
              </w:rPr>
              <w:t xml:space="preserve">Kidnapping</w:t>
            </w:r>
          </w:p>
        </w:tc>
      </w:tr>
      <w:tr>
        <w:tc>
          <w:tcPr>
            <w:tcW w:type="dxa" w:w="2900"/>
            <w:shd w:fill="F2F2F2" w:val="clear"/>
            <w:tcMar>
              <w:top w:type="dxa" w:w="90"/>
              <w:left w:type="dxa" w:w="110"/>
              <w:bottom w:type="dxa" w:w="90"/>
              <w:right w:type="dxa" w:w="110"/>
            </w:tcMar>
          </w:tcPr>
          <w:p>
            <w:r>
              <w:rPr>
                <w:b w:val="false"/>
                <w:bCs w:val="false"/>
                <w:color w:val="000000"/>
                <w:sz w:val="19"/>
                <w:szCs w:val="19"/>
              </w:rPr>
              <w:t xml:space="preserve">Counselor</w:t>
            </w:r>
          </w:p>
        </w:tc>
        <w:tc>
          <w:tcPr>
            <w:tcW w:type="dxa" w:w="2600"/>
            <w:shd w:fill="F2F2F2" w:val="clear"/>
            <w:tcMar>
              <w:top w:type="dxa" w:w="90"/>
              <w:left w:type="dxa" w:w="110"/>
              <w:bottom w:type="dxa" w:w="90"/>
              <w:right w:type="dxa" w:w="110"/>
            </w:tcMar>
          </w:tcPr>
          <w:p>
            <w:r>
              <w:rPr>
                <w:b w:val="false"/>
                <w:bCs w:val="false"/>
                <w:color w:val="000000"/>
                <w:sz w:val="19"/>
                <w:szCs w:val="19"/>
              </w:rPr>
              <w:t xml:space="preserve">Internal / Supporting</w:t>
            </w:r>
          </w:p>
        </w:tc>
        <w:tc>
          <w:tcPr>
            <w:tcW w:type="dxa" w:w="3800"/>
            <w:shd w:fill="F2F2F2" w:val="clear"/>
            <w:tcMar>
              <w:top w:type="dxa" w:w="90"/>
              <w:left w:type="dxa" w:w="110"/>
              <w:bottom w:type="dxa" w:w="90"/>
              <w:right w:type="dxa" w:w="110"/>
            </w:tcMar>
          </w:tcPr>
          <w:p>
            <w:r>
              <w:rPr>
                <w:b w:val="false"/>
                <w:bCs w:val="false"/>
                <w:color w:val="000000"/>
                <w:sz w:val="19"/>
                <w:szCs w:val="19"/>
              </w:rPr>
              <w:t xml:space="preserve">Dowry Harassment</w:t>
            </w:r>
          </w:p>
        </w:tc>
      </w:tr>
      <w:tr>
        <w:tc>
          <w:tcPr>
            <w:tcW w:type="dxa" w:w="2900"/>
            <w:shd w:fill="FFFFFF" w:val="clear"/>
            <w:tcMar>
              <w:top w:type="dxa" w:w="90"/>
              <w:left w:type="dxa" w:w="110"/>
              <w:bottom w:type="dxa" w:w="90"/>
              <w:right w:type="dxa" w:w="110"/>
            </w:tcMar>
          </w:tcPr>
          <w:p>
            <w:r>
              <w:rPr>
                <w:b w:val="false"/>
                <w:bCs w:val="false"/>
                <w:color w:val="000000"/>
                <w:sz w:val="19"/>
                <w:szCs w:val="19"/>
              </w:rPr>
              <w:t xml:space="preserve">FSL (general)</w:t>
            </w:r>
          </w:p>
        </w:tc>
        <w:tc>
          <w:tcPr>
            <w:tcW w:type="dxa" w:w="2600"/>
            <w:shd w:fill="FFFFFF" w:val="clear"/>
            <w:tcMar>
              <w:top w:type="dxa" w:w="90"/>
              <w:left w:type="dxa" w:w="110"/>
              <w:bottom w:type="dxa" w:w="90"/>
              <w:right w:type="dxa" w:w="110"/>
            </w:tcMar>
          </w:tcPr>
          <w:p>
            <w:r>
              <w:rPr>
                <w:b w:val="false"/>
                <w:bCs w:val="false"/>
                <w:color w:val="000000"/>
                <w:sz w:val="19"/>
                <w:szCs w:val="19"/>
              </w:rPr>
              <w:t xml:space="preserve">External — forensic authority</w:t>
            </w:r>
          </w:p>
        </w:tc>
        <w:tc>
          <w:tcPr>
            <w:tcW w:type="dxa" w:w="3800"/>
            <w:shd w:fill="FFFFFF" w:val="clear"/>
            <w:tcMar>
              <w:top w:type="dxa" w:w="90"/>
              <w:left w:type="dxa" w:w="110"/>
              <w:bottom w:type="dxa" w:w="90"/>
              <w:right w:type="dxa" w:w="110"/>
            </w:tcMar>
          </w:tcPr>
          <w:p>
            <w:r>
              <w:rPr>
                <w:b w:val="false"/>
                <w:bCs w:val="false"/>
                <w:color w:val="000000"/>
                <w:sz w:val="19"/>
                <w:szCs w:val="19"/>
              </w:rPr>
              <w:t xml:space="preserve">Theft, Robbery, Burglary, Drug Trafficking, Rape, Acid Attack</w:t>
            </w:r>
          </w:p>
        </w:tc>
      </w:tr>
      <w:tr>
        <w:tc>
          <w:tcPr>
            <w:tcW w:type="dxa" w:w="2900"/>
            <w:shd w:fill="F2F2F2" w:val="clear"/>
            <w:tcMar>
              <w:top w:type="dxa" w:w="90"/>
              <w:left w:type="dxa" w:w="110"/>
              <w:bottom w:type="dxa" w:w="90"/>
              <w:right w:type="dxa" w:w="110"/>
            </w:tcMar>
          </w:tcPr>
          <w:p>
            <w:r>
              <w:rPr>
                <w:b w:val="false"/>
                <w:bCs w:val="false"/>
                <w:color w:val="000000"/>
                <w:sz w:val="19"/>
                <w:szCs w:val="19"/>
              </w:rPr>
              <w:t xml:space="preserve">Digital FSL</w:t>
            </w:r>
          </w:p>
        </w:tc>
        <w:tc>
          <w:tcPr>
            <w:tcW w:type="dxa" w:w="2600"/>
            <w:shd w:fill="F2F2F2" w:val="clear"/>
            <w:tcMar>
              <w:top w:type="dxa" w:w="90"/>
              <w:left w:type="dxa" w:w="110"/>
              <w:bottom w:type="dxa" w:w="90"/>
              <w:right w:type="dxa" w:w="110"/>
            </w:tcMar>
          </w:tcPr>
          <w:p>
            <w:r>
              <w:rPr>
                <w:b w:val="false"/>
                <w:bCs w:val="false"/>
                <w:color w:val="000000"/>
                <w:sz w:val="19"/>
                <w:szCs w:val="19"/>
              </w:rPr>
              <w:t xml:space="preserve">External — forensic authority</w:t>
            </w:r>
          </w:p>
        </w:tc>
        <w:tc>
          <w:tcPr>
            <w:tcW w:type="dxa" w:w="3800"/>
            <w:shd w:fill="F2F2F2" w:val="clear"/>
            <w:tcMar>
              <w:top w:type="dxa" w:w="90"/>
              <w:left w:type="dxa" w:w="110"/>
              <w:bottom w:type="dxa" w:w="90"/>
              <w:right w:type="dxa" w:w="110"/>
            </w:tcMar>
          </w:tcPr>
          <w:p>
            <w:r>
              <w:rPr>
                <w:b w:val="false"/>
                <w:bCs w:val="false"/>
                <w:color w:val="000000"/>
                <w:sz w:val="19"/>
                <w:szCs w:val="19"/>
              </w:rPr>
              <w:t xml:space="preserve">Cyber Fraud</w:t>
            </w:r>
          </w:p>
        </w:tc>
      </w:tr>
      <w:tr>
        <w:tc>
          <w:tcPr>
            <w:tcW w:type="dxa" w:w="2900"/>
            <w:shd w:fill="FFFFFF" w:val="clear"/>
            <w:tcMar>
              <w:top w:type="dxa" w:w="90"/>
              <w:left w:type="dxa" w:w="110"/>
              <w:bottom w:type="dxa" w:w="90"/>
              <w:right w:type="dxa" w:w="110"/>
            </w:tcMar>
          </w:tcPr>
          <w:p>
            <w:r>
              <w:rPr>
                <w:b w:val="false"/>
                <w:bCs w:val="false"/>
                <w:color w:val="000000"/>
                <w:sz w:val="19"/>
                <w:szCs w:val="19"/>
              </w:rPr>
              <w:t xml:space="preserve">Hospital</w:t>
            </w:r>
          </w:p>
        </w:tc>
        <w:tc>
          <w:tcPr>
            <w:tcW w:type="dxa" w:w="2600"/>
            <w:shd w:fill="FFFFFF" w:val="clear"/>
            <w:tcMar>
              <w:top w:type="dxa" w:w="90"/>
              <w:left w:type="dxa" w:w="110"/>
              <w:bottom w:type="dxa" w:w="90"/>
              <w:right w:type="dxa" w:w="110"/>
            </w:tcMar>
          </w:tcPr>
          <w:p>
            <w:r>
              <w:rPr>
                <w:b w:val="false"/>
                <w:bCs w:val="false"/>
                <w:color w:val="000000"/>
                <w:sz w:val="19"/>
                <w:szCs w:val="19"/>
              </w:rPr>
              <w:t xml:space="preserve">External — medical authority</w:t>
            </w:r>
          </w:p>
        </w:tc>
        <w:tc>
          <w:tcPr>
            <w:tcW w:type="dxa" w:w="3800"/>
            <w:shd w:fill="FFFFFF" w:val="clear"/>
            <w:tcMar>
              <w:top w:type="dxa" w:w="90"/>
              <w:left w:type="dxa" w:w="110"/>
              <w:bottom w:type="dxa" w:w="90"/>
              <w:right w:type="dxa" w:w="110"/>
            </w:tcMar>
          </w:tcPr>
          <w:p>
            <w:r>
              <w:rPr>
                <w:b w:val="false"/>
                <w:bCs w:val="false"/>
                <w:color w:val="000000"/>
                <w:sz w:val="19"/>
                <w:szCs w:val="19"/>
              </w:rPr>
              <w:t xml:space="preserve">Robbery, Road Accident, Assault, Rape, Domestic Violence, Acid Attack</w:t>
            </w:r>
          </w:p>
        </w:tc>
      </w:tr>
      <w:tr>
        <w:tc>
          <w:tcPr>
            <w:tcW w:type="dxa" w:w="2900"/>
            <w:shd w:fill="F2F2F2" w:val="clear"/>
            <w:tcMar>
              <w:top w:type="dxa" w:w="90"/>
              <w:left w:type="dxa" w:w="110"/>
              <w:bottom w:type="dxa" w:w="90"/>
              <w:right w:type="dxa" w:w="110"/>
            </w:tcMar>
          </w:tcPr>
          <w:p>
            <w:r>
              <w:rPr>
                <w:b w:val="false"/>
                <w:bCs w:val="false"/>
                <w:color w:val="000000"/>
                <w:sz w:val="19"/>
                <w:szCs w:val="19"/>
              </w:rPr>
              <w:t xml:space="preserve">Bank</w:t>
            </w:r>
          </w:p>
        </w:tc>
        <w:tc>
          <w:tcPr>
            <w:tcW w:type="dxa" w:w="2600"/>
            <w:shd w:fill="F2F2F2" w:val="clear"/>
            <w:tcMar>
              <w:top w:type="dxa" w:w="90"/>
              <w:left w:type="dxa" w:w="110"/>
              <w:bottom w:type="dxa" w:w="90"/>
              <w:right w:type="dxa" w:w="110"/>
            </w:tcMar>
          </w:tcPr>
          <w:p>
            <w:r>
              <w:rPr>
                <w:b w:val="false"/>
                <w:bCs w:val="false"/>
                <w:color w:val="000000"/>
                <w:sz w:val="19"/>
                <w:szCs w:val="19"/>
              </w:rPr>
              <w:t xml:space="preserve">External — financial authority</w:t>
            </w:r>
          </w:p>
        </w:tc>
        <w:tc>
          <w:tcPr>
            <w:tcW w:type="dxa" w:w="3800"/>
            <w:shd w:fill="F2F2F2" w:val="clear"/>
            <w:tcMar>
              <w:top w:type="dxa" w:w="90"/>
              <w:left w:type="dxa" w:w="110"/>
              <w:bottom w:type="dxa" w:w="90"/>
              <w:right w:type="dxa" w:w="110"/>
            </w:tcMar>
          </w:tcPr>
          <w:p>
            <w:r>
              <w:rPr>
                <w:b w:val="false"/>
                <w:bCs w:val="false"/>
                <w:color w:val="000000"/>
                <w:sz w:val="19"/>
                <w:szCs w:val="19"/>
              </w:rPr>
              <w:t xml:space="preserve">Cyber Fraud</w:t>
            </w:r>
          </w:p>
        </w:tc>
      </w:tr>
      <w:tr>
        <w:tc>
          <w:tcPr>
            <w:tcW w:type="dxa" w:w="2900"/>
            <w:shd w:fill="FFFFFF" w:val="clear"/>
            <w:tcMar>
              <w:top w:type="dxa" w:w="90"/>
              <w:left w:type="dxa" w:w="110"/>
              <w:bottom w:type="dxa" w:w="90"/>
              <w:right w:type="dxa" w:w="110"/>
            </w:tcMar>
          </w:tcPr>
          <w:p>
            <w:r>
              <w:rPr>
                <w:b w:val="false"/>
                <w:bCs w:val="false"/>
                <w:color w:val="000000"/>
                <w:sz w:val="19"/>
                <w:szCs w:val="19"/>
              </w:rPr>
              <w:t xml:space="preserve">Telecom Provider</w:t>
            </w:r>
          </w:p>
        </w:tc>
        <w:tc>
          <w:tcPr>
            <w:tcW w:type="dxa" w:w="2600"/>
            <w:shd w:fill="FFFFFF" w:val="clear"/>
            <w:tcMar>
              <w:top w:type="dxa" w:w="90"/>
              <w:left w:type="dxa" w:w="110"/>
              <w:bottom w:type="dxa" w:w="90"/>
              <w:right w:type="dxa" w:w="110"/>
            </w:tcMar>
          </w:tcPr>
          <w:p>
            <w:r>
              <w:rPr>
                <w:b w:val="false"/>
                <w:bCs w:val="false"/>
                <w:color w:val="000000"/>
                <w:sz w:val="19"/>
                <w:szCs w:val="19"/>
              </w:rPr>
              <w:t xml:space="preserve">External — verifying authority</w:t>
            </w:r>
          </w:p>
        </w:tc>
        <w:tc>
          <w:tcPr>
            <w:tcW w:type="dxa" w:w="3800"/>
            <w:shd w:fill="FFFFFF" w:val="clear"/>
            <w:tcMar>
              <w:top w:type="dxa" w:w="90"/>
              <w:left w:type="dxa" w:w="110"/>
              <w:bottom w:type="dxa" w:w="90"/>
              <w:right w:type="dxa" w:w="110"/>
            </w:tcMar>
          </w:tcPr>
          <w:p>
            <w:r>
              <w:rPr>
                <w:b w:val="false"/>
                <w:bCs w:val="false"/>
                <w:color w:val="000000"/>
                <w:sz w:val="19"/>
                <w:szCs w:val="19"/>
              </w:rPr>
              <w:t xml:space="preserve">Cyber Fraud, Kidnapping</w:t>
            </w:r>
          </w:p>
        </w:tc>
      </w:tr>
      <w:tr>
        <w:tc>
          <w:tcPr>
            <w:tcW w:type="dxa" w:w="2900"/>
            <w:shd w:fill="F2F2F2" w:val="clear"/>
            <w:tcMar>
              <w:top w:type="dxa" w:w="90"/>
              <w:left w:type="dxa" w:w="110"/>
              <w:bottom w:type="dxa" w:w="90"/>
              <w:right w:type="dxa" w:w="110"/>
            </w:tcMar>
          </w:tcPr>
          <w:p>
            <w:r>
              <w:rPr>
                <w:b w:val="false"/>
                <w:bCs w:val="false"/>
                <w:color w:val="000000"/>
                <w:sz w:val="19"/>
                <w:szCs w:val="19"/>
              </w:rPr>
              <w:t xml:space="preserve">RTO</w:t>
            </w:r>
          </w:p>
        </w:tc>
        <w:tc>
          <w:tcPr>
            <w:tcW w:type="dxa" w:w="2600"/>
            <w:shd w:fill="F2F2F2" w:val="clear"/>
            <w:tcMar>
              <w:top w:type="dxa" w:w="90"/>
              <w:left w:type="dxa" w:w="110"/>
              <w:bottom w:type="dxa" w:w="90"/>
              <w:right w:type="dxa" w:w="110"/>
            </w:tcMar>
          </w:tcPr>
          <w:p>
            <w:r>
              <w:rPr>
                <w:b w:val="false"/>
                <w:bCs w:val="false"/>
                <w:color w:val="000000"/>
                <w:sz w:val="19"/>
                <w:szCs w:val="19"/>
              </w:rPr>
              <w:t xml:space="preserve">External — verifying authority</w:t>
            </w:r>
          </w:p>
        </w:tc>
        <w:tc>
          <w:tcPr>
            <w:tcW w:type="dxa" w:w="3800"/>
            <w:shd w:fill="F2F2F2" w:val="clear"/>
            <w:tcMar>
              <w:top w:type="dxa" w:w="90"/>
              <w:left w:type="dxa" w:w="110"/>
              <w:bottom w:type="dxa" w:w="90"/>
              <w:right w:type="dxa" w:w="110"/>
            </w:tcMar>
          </w:tcPr>
          <w:p>
            <w:r>
              <w:rPr>
                <w:b w:val="false"/>
                <w:bCs w:val="false"/>
                <w:color w:val="000000"/>
                <w:sz w:val="19"/>
                <w:szCs w:val="19"/>
              </w:rPr>
              <w:t xml:space="preserve">Road Accident</w:t>
            </w:r>
          </w:p>
        </w:tc>
      </w:tr>
      <w:tr>
        <w:tc>
          <w:tcPr>
            <w:tcW w:type="dxa" w:w="2900"/>
            <w:shd w:fill="FFFFFF" w:val="clear"/>
            <w:tcMar>
              <w:top w:type="dxa" w:w="90"/>
              <w:left w:type="dxa" w:w="110"/>
              <w:bottom w:type="dxa" w:w="90"/>
              <w:right w:type="dxa" w:w="110"/>
            </w:tcMar>
          </w:tcPr>
          <w:p>
            <w:r>
              <w:rPr>
                <w:b w:val="false"/>
                <w:bCs w:val="false"/>
                <w:color w:val="000000"/>
                <w:sz w:val="19"/>
                <w:szCs w:val="19"/>
              </w:rPr>
              <w:t xml:space="preserve">CCTV Cell</w:t>
            </w:r>
          </w:p>
        </w:tc>
        <w:tc>
          <w:tcPr>
            <w:tcW w:type="dxa" w:w="2600"/>
            <w:shd w:fill="FFFFFF" w:val="clear"/>
            <w:tcMar>
              <w:top w:type="dxa" w:w="90"/>
              <w:left w:type="dxa" w:w="110"/>
              <w:bottom w:type="dxa" w:w="90"/>
              <w:right w:type="dxa" w:w="110"/>
            </w:tcMar>
          </w:tcPr>
          <w:p>
            <w:r>
              <w:rPr>
                <w:b w:val="false"/>
                <w:bCs w:val="false"/>
                <w:color w:val="000000"/>
                <w:sz w:val="19"/>
                <w:szCs w:val="19"/>
              </w:rPr>
              <w:t xml:space="preserve">External / Internal support unit</w:t>
            </w:r>
          </w:p>
        </w:tc>
        <w:tc>
          <w:tcPr>
            <w:tcW w:type="dxa" w:w="3800"/>
            <w:shd w:fill="FFFFFF" w:val="clear"/>
            <w:tcMar>
              <w:top w:type="dxa" w:w="90"/>
              <w:left w:type="dxa" w:w="110"/>
              <w:bottom w:type="dxa" w:w="90"/>
              <w:right w:type="dxa" w:w="110"/>
            </w:tcMar>
          </w:tcPr>
          <w:p>
            <w:r>
              <w:rPr>
                <w:b w:val="false"/>
                <w:bCs w:val="false"/>
                <w:color w:val="000000"/>
                <w:sz w:val="19"/>
                <w:szCs w:val="19"/>
              </w:rPr>
              <w:t xml:space="preserve">Theft, Robbery, Sexual Harassment, Kidnapping</w:t>
            </w:r>
          </w:p>
        </w:tc>
      </w:tr>
      <w:tr>
        <w:tc>
          <w:tcPr>
            <w:tcW w:type="dxa" w:w="2900"/>
            <w:shd w:fill="F2F2F2" w:val="clear"/>
            <w:tcMar>
              <w:top w:type="dxa" w:w="90"/>
              <w:left w:type="dxa" w:w="110"/>
              <w:bottom w:type="dxa" w:w="90"/>
              <w:right w:type="dxa" w:w="110"/>
            </w:tcMar>
          </w:tcPr>
          <w:p>
            <w:r>
              <w:rPr>
                <w:b w:val="false"/>
                <w:bCs w:val="false"/>
                <w:color w:val="000000"/>
                <w:sz w:val="19"/>
                <w:szCs w:val="19"/>
              </w:rPr>
              <w:t xml:space="preserve">Public Prosecutor</w:t>
            </w:r>
          </w:p>
        </w:tc>
        <w:tc>
          <w:tcPr>
            <w:tcW w:type="dxa" w:w="2600"/>
            <w:shd w:fill="F2F2F2" w:val="clear"/>
            <w:tcMar>
              <w:top w:type="dxa" w:w="90"/>
              <w:left w:type="dxa" w:w="110"/>
              <w:bottom w:type="dxa" w:w="90"/>
              <w:right w:type="dxa" w:w="110"/>
            </w:tcMar>
          </w:tcPr>
          <w:p>
            <w:r>
              <w:rPr>
                <w:b w:val="false"/>
                <w:bCs w:val="false"/>
                <w:color w:val="000000"/>
                <w:sz w:val="19"/>
                <w:szCs w:val="19"/>
              </w:rPr>
              <w:t xml:space="preserve">Internal — legal</w:t>
            </w:r>
          </w:p>
        </w:tc>
        <w:tc>
          <w:tcPr>
            <w:tcW w:type="dxa" w:w="3800"/>
            <w:shd w:fill="F2F2F2" w:val="clear"/>
            <w:tcMar>
              <w:top w:type="dxa" w:w="90"/>
              <w:left w:type="dxa" w:w="110"/>
              <w:bottom w:type="dxa" w:w="90"/>
              <w:right w:type="dxa" w:w="110"/>
            </w:tcMar>
          </w:tcPr>
          <w:p>
            <w:r>
              <w:rPr>
                <w:b w:val="false"/>
                <w:bCs w:val="false"/>
                <w:color w:val="000000"/>
                <w:sz w:val="19"/>
                <w:szCs w:val="19"/>
              </w:rPr>
              <w:t xml:space="preserve">All 15 cases</w:t>
            </w:r>
          </w:p>
        </w:tc>
      </w:tr>
      <w:tr>
        <w:tc>
          <w:tcPr>
            <w:tcW w:type="dxa" w:w="2900"/>
            <w:shd w:fill="FFFFFF" w:val="clear"/>
            <w:tcMar>
              <w:top w:type="dxa" w:w="90"/>
              <w:left w:type="dxa" w:w="110"/>
              <w:bottom w:type="dxa" w:w="90"/>
              <w:right w:type="dxa" w:w="110"/>
            </w:tcMar>
          </w:tcPr>
          <w:p>
            <w:r>
              <w:rPr>
                <w:b w:val="false"/>
                <w:bCs w:val="false"/>
                <w:color w:val="000000"/>
                <w:sz w:val="19"/>
                <w:szCs w:val="19"/>
              </w:rPr>
              <w:t xml:space="preserve">Magistrate Court</w:t>
            </w:r>
          </w:p>
        </w:tc>
        <w:tc>
          <w:tcPr>
            <w:tcW w:type="dxa" w:w="2600"/>
            <w:shd w:fill="FFFFFF" w:val="clear"/>
            <w:tcMar>
              <w:top w:type="dxa" w:w="90"/>
              <w:left w:type="dxa" w:w="110"/>
              <w:bottom w:type="dxa" w:w="90"/>
              <w:right w:type="dxa" w:w="110"/>
            </w:tcMar>
          </w:tcPr>
          <w:p>
            <w:r>
              <w:rPr>
                <w:b w:val="false"/>
                <w:bCs w:val="false"/>
                <w:color w:val="000000"/>
                <w:sz w:val="19"/>
                <w:szCs w:val="19"/>
              </w:rPr>
              <w:t xml:space="preserve">External — judiciary</w:t>
            </w:r>
          </w:p>
        </w:tc>
        <w:tc>
          <w:tcPr>
            <w:tcW w:type="dxa" w:w="3800"/>
            <w:shd w:fill="FFFFFF" w:val="clear"/>
            <w:tcMar>
              <w:top w:type="dxa" w:w="90"/>
              <w:left w:type="dxa" w:w="110"/>
              <w:bottom w:type="dxa" w:w="90"/>
              <w:right w:type="dxa" w:w="110"/>
            </w:tcMar>
          </w:tcPr>
          <w:p>
            <w:r>
              <w:rPr>
                <w:b w:val="false"/>
                <w:bCs w:val="false"/>
                <w:color w:val="000000"/>
                <w:sz w:val="19"/>
                <w:szCs w:val="19"/>
              </w:rPr>
              <w:t xml:space="preserve">Theft, Cyber Fraud, Road Accident, Domestic Violence</w:t>
            </w:r>
          </w:p>
        </w:tc>
      </w:tr>
      <w:tr>
        <w:tc>
          <w:tcPr>
            <w:tcW w:type="dxa" w:w="2900"/>
            <w:shd w:fill="F2F2F2" w:val="clear"/>
            <w:tcMar>
              <w:top w:type="dxa" w:w="90"/>
              <w:left w:type="dxa" w:w="110"/>
              <w:bottom w:type="dxa" w:w="90"/>
              <w:right w:type="dxa" w:w="110"/>
            </w:tcMar>
          </w:tcPr>
          <w:p>
            <w:r>
              <w:rPr>
                <w:b w:val="false"/>
                <w:bCs w:val="false"/>
                <w:color w:val="000000"/>
                <w:sz w:val="19"/>
                <w:szCs w:val="19"/>
              </w:rPr>
              <w:t xml:space="preserve">Sessions Court</w:t>
            </w:r>
          </w:p>
        </w:tc>
        <w:tc>
          <w:tcPr>
            <w:tcW w:type="dxa" w:w="2600"/>
            <w:shd w:fill="F2F2F2" w:val="clear"/>
            <w:tcMar>
              <w:top w:type="dxa" w:w="90"/>
              <w:left w:type="dxa" w:w="110"/>
              <w:bottom w:type="dxa" w:w="90"/>
              <w:right w:type="dxa" w:w="110"/>
            </w:tcMar>
          </w:tcPr>
          <w:p>
            <w:r>
              <w:rPr>
                <w:b w:val="false"/>
                <w:bCs w:val="false"/>
                <w:color w:val="000000"/>
                <w:sz w:val="19"/>
                <w:szCs w:val="19"/>
              </w:rPr>
              <w:t xml:space="preserve">External — judiciary</w:t>
            </w:r>
          </w:p>
        </w:tc>
        <w:tc>
          <w:tcPr>
            <w:tcW w:type="dxa" w:w="3800"/>
            <w:shd w:fill="F2F2F2" w:val="clear"/>
            <w:tcMar>
              <w:top w:type="dxa" w:w="90"/>
              <w:left w:type="dxa" w:w="110"/>
              <w:bottom w:type="dxa" w:w="90"/>
              <w:right w:type="dxa" w:w="110"/>
            </w:tcMar>
          </w:tcPr>
          <w:p>
            <w:r>
              <w:rPr>
                <w:b w:val="false"/>
                <w:bCs w:val="false"/>
                <w:color w:val="000000"/>
                <w:sz w:val="19"/>
                <w:szCs w:val="19"/>
              </w:rPr>
              <w:t xml:space="preserve">Robbery, Dowry Harassment, Rape, Acid Attack</w:t>
            </w:r>
          </w:p>
        </w:tc>
      </w:tr>
      <w:tr>
        <w:tc>
          <w:tcPr>
            <w:tcW w:type="dxa" w:w="2900"/>
            <w:shd w:fill="FFFFFF" w:val="clear"/>
            <w:tcMar>
              <w:top w:type="dxa" w:w="90"/>
              <w:left w:type="dxa" w:w="110"/>
              <w:bottom w:type="dxa" w:w="90"/>
              <w:right w:type="dxa" w:w="110"/>
            </w:tcMar>
          </w:tcPr>
          <w:p>
            <w:r>
              <w:rPr>
                <w:b w:val="false"/>
                <w:bCs w:val="false"/>
                <w:color w:val="000000"/>
                <w:sz w:val="19"/>
                <w:szCs w:val="19"/>
              </w:rPr>
              <w:t xml:space="preserve">NDPS Court</w:t>
            </w:r>
          </w:p>
        </w:tc>
        <w:tc>
          <w:tcPr>
            <w:tcW w:type="dxa" w:w="2600"/>
            <w:shd w:fill="FFFFFF" w:val="clear"/>
            <w:tcMar>
              <w:top w:type="dxa" w:w="90"/>
              <w:left w:type="dxa" w:w="110"/>
              <w:bottom w:type="dxa" w:w="90"/>
              <w:right w:type="dxa" w:w="110"/>
            </w:tcMar>
          </w:tcPr>
          <w:p>
            <w:r>
              <w:rPr>
                <w:b w:val="false"/>
                <w:bCs w:val="false"/>
                <w:color w:val="000000"/>
                <w:sz w:val="19"/>
                <w:szCs w:val="19"/>
              </w:rPr>
              <w:t xml:space="preserve">External — special judiciary</w:t>
            </w:r>
          </w:p>
        </w:tc>
        <w:tc>
          <w:tcPr>
            <w:tcW w:type="dxa" w:w="3800"/>
            <w:shd w:fill="FFFFFF" w:val="clear"/>
            <w:tcMar>
              <w:top w:type="dxa" w:w="90"/>
              <w:left w:type="dxa" w:w="110"/>
              <w:bottom w:type="dxa" w:w="90"/>
              <w:right w:type="dxa" w:w="110"/>
            </w:tcMar>
          </w:tcPr>
          <w:p>
            <w:r>
              <w:rPr>
                <w:b w:val="false"/>
                <w:bCs w:val="false"/>
                <w:color w:val="000000"/>
                <w:sz w:val="19"/>
                <w:szCs w:val="19"/>
              </w:rPr>
              <w:t xml:space="preserve">Drug Trafficking</w:t>
            </w:r>
          </w:p>
        </w:tc>
      </w:tr>
      <w:tr>
        <w:tc>
          <w:tcPr>
            <w:tcW w:type="dxa" w:w="2900"/>
            <w:shd w:fill="F2F2F2" w:val="clear"/>
            <w:tcMar>
              <w:top w:type="dxa" w:w="90"/>
              <w:left w:type="dxa" w:w="110"/>
              <w:bottom w:type="dxa" w:w="90"/>
              <w:right w:type="dxa" w:w="110"/>
            </w:tcMar>
          </w:tcPr>
          <w:p>
            <w:r>
              <w:rPr>
                <w:b w:val="false"/>
                <w:bCs w:val="false"/>
                <w:color w:val="000000"/>
                <w:sz w:val="19"/>
                <w:szCs w:val="19"/>
              </w:rPr>
              <w:t xml:space="preserve">Defense / Accused</w:t>
            </w:r>
          </w:p>
        </w:tc>
        <w:tc>
          <w:tcPr>
            <w:tcW w:type="dxa" w:w="2600"/>
            <w:shd w:fill="F2F2F2" w:val="clear"/>
            <w:tcMar>
              <w:top w:type="dxa" w:w="90"/>
              <w:left w:type="dxa" w:w="110"/>
              <w:bottom w:type="dxa" w:w="90"/>
              <w:right w:type="dxa" w:w="110"/>
            </w:tcMar>
          </w:tcPr>
          <w:p>
            <w:r>
              <w:rPr>
                <w:b w:val="false"/>
                <w:bCs w:val="false"/>
                <w:color w:val="000000"/>
                <w:sz w:val="19"/>
                <w:szCs w:val="19"/>
              </w:rPr>
              <w:t xml:space="preserve">External — submission-only</w:t>
            </w:r>
          </w:p>
        </w:tc>
        <w:tc>
          <w:tcPr>
            <w:tcW w:type="dxa" w:w="3800"/>
            <w:shd w:fill="F2F2F2" w:val="clear"/>
            <w:tcMar>
              <w:top w:type="dxa" w:w="90"/>
              <w:left w:type="dxa" w:w="110"/>
              <w:bottom w:type="dxa" w:w="90"/>
              <w:right w:type="dxa" w:w="110"/>
            </w:tcMar>
          </w:tcPr>
          <w:p>
            <w:r>
              <w:rPr>
                <w:b w:val="false"/>
                <w:bCs w:val="false"/>
                <w:color w:val="000000"/>
                <w:sz w:val="19"/>
                <w:szCs w:val="19"/>
              </w:rPr>
              <w:t xml:space="preserve">Bail lifecycle (Cyber Fraud, Road Accident, Domestic Violence, Dowry Harassment)</w:t>
            </w:r>
          </w:p>
        </w:tc>
      </w:tr>
      <w:tr>
        <w:tc>
          <w:tcPr>
            <w:tcW w:type="dxa" w:w="2900"/>
            <w:shd w:fill="FFFFFF" w:val="clear"/>
            <w:tcMar>
              <w:top w:type="dxa" w:w="90"/>
              <w:left w:type="dxa" w:w="110"/>
              <w:bottom w:type="dxa" w:w="90"/>
              <w:right w:type="dxa" w:w="110"/>
            </w:tcMar>
          </w:tcPr>
          <w:p>
            <w:r>
              <w:rPr>
                <w:b w:val="false"/>
                <w:bCs w:val="false"/>
                <w:color w:val="000000"/>
                <w:sz w:val="19"/>
                <w:szCs w:val="19"/>
              </w:rPr>
              <w:t xml:space="preserve">System Admin</w:t>
            </w:r>
          </w:p>
        </w:tc>
        <w:tc>
          <w:tcPr>
            <w:tcW w:type="dxa" w:w="2600"/>
            <w:shd w:fill="FFFFFF" w:val="clear"/>
            <w:tcMar>
              <w:top w:type="dxa" w:w="90"/>
              <w:left w:type="dxa" w:w="110"/>
              <w:bottom w:type="dxa" w:w="90"/>
              <w:right w:type="dxa" w:w="110"/>
            </w:tcMar>
          </w:tcPr>
          <w:p>
            <w:r>
              <w:rPr>
                <w:b w:val="false"/>
                <w:bCs w:val="false"/>
                <w:color w:val="000000"/>
                <w:sz w:val="19"/>
                <w:szCs w:val="19"/>
              </w:rPr>
              <w:t xml:space="preserve">Internal — platform governance</w:t>
            </w:r>
          </w:p>
        </w:tc>
        <w:tc>
          <w:tcPr>
            <w:tcW w:type="dxa" w:w="3800"/>
            <w:shd w:fill="FFFFFF" w:val="clear"/>
            <w:tcMar>
              <w:top w:type="dxa" w:w="90"/>
              <w:left w:type="dxa" w:w="110"/>
              <w:bottom w:type="dxa" w:w="90"/>
              <w:right w:type="dxa" w:w="110"/>
            </w:tcMar>
          </w:tcPr>
          <w:p>
            <w:r>
              <w:rPr>
                <w:b w:val="false"/>
                <w:bCs w:val="false"/>
                <w:color w:val="000000"/>
                <w:sz w:val="19"/>
                <w:szCs w:val="19"/>
              </w:rPr>
              <w:t xml:space="preserve">Cross-cutting (schema/config management — not part of case workflow itself)</w:t>
            </w:r>
          </w:p>
        </w:tc>
      </w:tr>
    </w:tbl>
    <w:p>
      <w:pPr>
        <w:pStyle w:val="Heading1"/>
        <w:pBdr>
          <w:bottom w:val="single" w:color="1F3864" w:sz="8" w:space="4"/>
        </w:pBdr>
        <w:spacing w:after="200" w:before="420"/>
      </w:pPr>
      <w:r>
        <w:rPr>
          <w:b/>
          <w:bCs/>
          <w:color w:val="1F3864"/>
          <w:sz w:val="30"/>
          <w:szCs w:val="30"/>
        </w:rPr>
        <w:t xml:space="preserve">4. Access Model Summary</w:t>
      </w:r>
    </w:p>
    <w:p>
      <w:pPr>
        <w:spacing w:after="140" w:line="300"/>
      </w:pPr>
      <w:r>
        <w:rPr>
          <w:sz w:val="21"/>
          <w:szCs w:val="21"/>
        </w:rPr>
        <w:t xml:space="preserve">Full detail lives in the system design's state-ownership and endpoint tables; restated here at a glance for quick reference alongside the document taxonomy.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00"/>
      </w:tblGrid>
      <w:tr>
        <w:trPr>
          <w:tblHeader/>
        </w:trPr>
        <w:tc>
          <w:tcPr>
            <w:tcW w:type="dxa" w:w="2700"/>
            <w:shd w:fill="1F3864" w:val="clear"/>
            <w:tcMar>
              <w:top w:type="dxa" w:w="90"/>
              <w:left w:type="dxa" w:w="110"/>
              <w:bottom w:type="dxa" w:w="90"/>
              <w:right w:type="dxa" w:w="110"/>
            </w:tcMar>
          </w:tcPr>
          <w:p>
            <w:r>
              <w:rPr>
                <w:b/>
                <w:bCs/>
                <w:color w:val="FFFFFF"/>
                <w:sz w:val="19"/>
                <w:szCs w:val="19"/>
              </w:rPr>
              <w:t xml:space="preserve">Role</w:t>
            </w:r>
          </w:p>
        </w:tc>
        <w:tc>
          <w:tcPr>
            <w:tcW w:type="dxa" w:w="3500"/>
            <w:shd w:fill="1F3864" w:val="clear"/>
            <w:tcMar>
              <w:top w:type="dxa" w:w="90"/>
              <w:left w:type="dxa" w:w="110"/>
              <w:bottom w:type="dxa" w:w="90"/>
              <w:right w:type="dxa" w:w="110"/>
            </w:tcMar>
          </w:tcPr>
          <w:p>
            <w:r>
              <w:rPr>
                <w:b/>
                <w:bCs/>
                <w:color w:val="FFFFFF"/>
                <w:sz w:val="19"/>
                <w:szCs w:val="19"/>
              </w:rPr>
              <w:t xml:space="preserve">Sees</w:t>
            </w:r>
          </w:p>
        </w:tc>
        <w:tc>
          <w:tcPr>
            <w:tcW w:type="dxa" w:w="3100"/>
            <w:shd w:fill="1F3864" w:val="clear"/>
            <w:tcMar>
              <w:top w:type="dxa" w:w="90"/>
              <w:left w:type="dxa" w:w="110"/>
              <w:bottom w:type="dxa" w:w="90"/>
              <w:right w:type="dxa" w:w="110"/>
            </w:tcMar>
          </w:tcPr>
          <w:p>
            <w:r>
              <w:rPr>
                <w:b/>
                <w:bCs/>
                <w:color w:val="FFFFFF"/>
                <w:sz w:val="19"/>
                <w:szCs w:val="19"/>
              </w:rPr>
              <w:t xml:space="preserve">Cannot See</w:t>
            </w:r>
          </w:p>
        </w:tc>
      </w:tr>
      <w:tr>
        <w:tc>
          <w:tcPr>
            <w:tcW w:type="dxa" w:w="2700"/>
            <w:shd w:fill="F2F2F2" w:val="clear"/>
            <w:tcMar>
              <w:top w:type="dxa" w:w="90"/>
              <w:left w:type="dxa" w:w="110"/>
              <w:bottom w:type="dxa" w:w="90"/>
              <w:right w:type="dxa" w:w="110"/>
            </w:tcMar>
          </w:tcPr>
          <w:p>
            <w:r>
              <w:rPr>
                <w:b w:val="false"/>
                <w:bCs w:val="false"/>
                <w:color w:val="000000"/>
                <w:sz w:val="19"/>
                <w:szCs w:val="19"/>
              </w:rPr>
              <w:t xml:space="preserve">Duty Officer</w:t>
            </w:r>
          </w:p>
        </w:tc>
        <w:tc>
          <w:tcPr>
            <w:tcW w:type="dxa" w:w="3500"/>
            <w:shd w:fill="F2F2F2" w:val="clear"/>
            <w:tcMar>
              <w:top w:type="dxa" w:w="90"/>
              <w:left w:type="dxa" w:w="110"/>
              <w:bottom w:type="dxa" w:w="90"/>
              <w:right w:type="dxa" w:w="110"/>
            </w:tcMar>
          </w:tcPr>
          <w:p>
            <w:r>
              <w:rPr>
                <w:b w:val="false"/>
                <w:bCs w:val="false"/>
                <w:color w:val="000000"/>
                <w:sz w:val="19"/>
                <w:szCs w:val="19"/>
              </w:rPr>
              <w:t xml:space="preserve">Complaint, ID, FIR registration fields</w:t>
            </w:r>
          </w:p>
        </w:tc>
        <w:tc>
          <w:tcPr>
            <w:tcW w:type="dxa" w:w="3100"/>
            <w:shd w:fill="F2F2F2" w:val="clear"/>
            <w:tcMar>
              <w:top w:type="dxa" w:w="90"/>
              <w:left w:type="dxa" w:w="110"/>
              <w:bottom w:type="dxa" w:w="90"/>
              <w:right w:type="dxa" w:w="110"/>
            </w:tcMar>
          </w:tcPr>
          <w:p>
            <w:r>
              <w:rPr>
                <w:b w:val="false"/>
                <w:bCs w:val="false"/>
                <w:color w:val="000000"/>
                <w:sz w:val="19"/>
                <w:szCs w:val="19"/>
              </w:rPr>
              <w:t xml:space="preserve">Forensic reports, sensitive statement content</w:t>
            </w:r>
          </w:p>
        </w:tc>
      </w:tr>
      <w:tr>
        <w:tc>
          <w:tcPr>
            <w:tcW w:type="dxa" w:w="2700"/>
            <w:shd w:fill="FFFFFF" w:val="clear"/>
            <w:tcMar>
              <w:top w:type="dxa" w:w="90"/>
              <w:left w:type="dxa" w:w="110"/>
              <w:bottom w:type="dxa" w:w="90"/>
              <w:right w:type="dxa" w:w="110"/>
            </w:tcMar>
          </w:tcPr>
          <w:p>
            <w:r>
              <w:rPr>
                <w:b w:val="false"/>
                <w:bCs w:val="false"/>
                <w:color w:val="000000"/>
                <w:sz w:val="19"/>
                <w:szCs w:val="19"/>
              </w:rPr>
              <w:t xml:space="preserve">Investigating Officer</w:t>
            </w:r>
          </w:p>
        </w:tc>
        <w:tc>
          <w:tcPr>
            <w:tcW w:type="dxa" w:w="3500"/>
            <w:shd w:fill="FFFFFF" w:val="clear"/>
            <w:tcMar>
              <w:top w:type="dxa" w:w="90"/>
              <w:left w:type="dxa" w:w="110"/>
              <w:bottom w:type="dxa" w:w="90"/>
              <w:right w:type="dxa" w:w="110"/>
            </w:tcMar>
          </w:tcPr>
          <w:p>
            <w:r>
              <w:rPr>
                <w:b w:val="false"/>
                <w:bCs w:val="false"/>
                <w:color w:val="000000"/>
                <w:sz w:val="19"/>
                <w:szCs w:val="19"/>
              </w:rPr>
              <w:t xml:space="preserve">Full case file for assigned case</w:t>
            </w:r>
          </w:p>
        </w:tc>
        <w:tc>
          <w:tcPr>
            <w:tcW w:type="dxa" w:w="3100"/>
            <w:shd w:fill="FFFFFF" w:val="clear"/>
            <w:tcMar>
              <w:top w:type="dxa" w:w="90"/>
              <w:left w:type="dxa" w:w="110"/>
              <w:bottom w:type="dxa" w:w="90"/>
              <w:right w:type="dxa" w:w="110"/>
            </w:tcMar>
          </w:tcPr>
          <w:p>
            <w:r>
              <w:rPr>
                <w:b w:val="false"/>
                <w:bCs w:val="false"/>
                <w:color w:val="000000"/>
                <w:sz w:val="19"/>
                <w:szCs w:val="19"/>
              </w:rPr>
              <w:t xml:space="preserve">Other officers' unrelated cases</w:t>
            </w:r>
          </w:p>
        </w:tc>
      </w:tr>
      <w:tr>
        <w:tc>
          <w:tcPr>
            <w:tcW w:type="dxa" w:w="2700"/>
            <w:shd w:fill="F2F2F2" w:val="clear"/>
            <w:tcMar>
              <w:top w:type="dxa" w:w="90"/>
              <w:left w:type="dxa" w:w="110"/>
              <w:bottom w:type="dxa" w:w="90"/>
              <w:right w:type="dxa" w:w="110"/>
            </w:tcMar>
          </w:tcPr>
          <w:p>
            <w:r>
              <w:rPr>
                <w:b w:val="false"/>
                <w:bCs w:val="false"/>
                <w:color w:val="000000"/>
                <w:sz w:val="19"/>
                <w:szCs w:val="19"/>
              </w:rPr>
              <w:t xml:space="preserve">External Authority (FSL / Hospital / Bank / Telecom / RTO)</w:t>
            </w:r>
          </w:p>
        </w:tc>
        <w:tc>
          <w:tcPr>
            <w:tcW w:type="dxa" w:w="3500"/>
            <w:shd w:fill="F2F2F2" w:val="clear"/>
            <w:tcMar>
              <w:top w:type="dxa" w:w="90"/>
              <w:left w:type="dxa" w:w="110"/>
              <w:bottom w:type="dxa" w:w="90"/>
              <w:right w:type="dxa" w:w="110"/>
            </w:tcMar>
          </w:tcPr>
          <w:p>
            <w:r>
              <w:rPr>
                <w:b w:val="false"/>
                <w:bCs w:val="false"/>
                <w:color w:val="000000"/>
                <w:sz w:val="19"/>
                <w:szCs w:val="19"/>
              </w:rPr>
              <w:t xml:space="preserve">Only the specific evidence request routed to them + their own submitted report</w:t>
            </w:r>
          </w:p>
        </w:tc>
        <w:tc>
          <w:tcPr>
            <w:tcW w:type="dxa" w:w="3100"/>
            <w:shd w:fill="F2F2F2" w:val="clear"/>
            <w:tcMar>
              <w:top w:type="dxa" w:w="90"/>
              <w:left w:type="dxa" w:w="110"/>
              <w:bottom w:type="dxa" w:w="90"/>
              <w:right w:type="dxa" w:w="110"/>
            </w:tcMar>
          </w:tcPr>
          <w:p>
            <w:r>
              <w:rPr>
                <w:b w:val="false"/>
                <w:bCs w:val="false"/>
                <w:color w:val="000000"/>
                <w:sz w:val="19"/>
                <w:szCs w:val="19"/>
              </w:rPr>
              <w:t xml:space="preserve">Rest of case file; victim identity beyond what's needed for their specific test/report</w:t>
            </w:r>
          </w:p>
        </w:tc>
      </w:tr>
      <w:tr>
        <w:tc>
          <w:tcPr>
            <w:tcW w:type="dxa" w:w="2700"/>
            <w:shd w:fill="FFFFFF" w:val="clear"/>
            <w:tcMar>
              <w:top w:type="dxa" w:w="90"/>
              <w:left w:type="dxa" w:w="110"/>
              <w:bottom w:type="dxa" w:w="90"/>
              <w:right w:type="dxa" w:w="110"/>
            </w:tcMar>
          </w:tcPr>
          <w:p>
            <w:r>
              <w:rPr>
                <w:b w:val="false"/>
                <w:bCs w:val="false"/>
                <w:color w:val="000000"/>
                <w:sz w:val="19"/>
                <w:szCs w:val="19"/>
              </w:rPr>
              <w:t xml:space="preserve">Women Desk / Women Cell</w:t>
            </w:r>
          </w:p>
        </w:tc>
        <w:tc>
          <w:tcPr>
            <w:tcW w:type="dxa" w:w="3500"/>
            <w:shd w:fill="FFFFFF" w:val="clear"/>
            <w:tcMar>
              <w:top w:type="dxa" w:w="90"/>
              <w:left w:type="dxa" w:w="110"/>
              <w:bottom w:type="dxa" w:w="90"/>
              <w:right w:type="dxa" w:w="110"/>
            </w:tcMar>
          </w:tcPr>
          <w:p>
            <w:r>
              <w:rPr>
                <w:b w:val="false"/>
                <w:bCs w:val="false"/>
                <w:color w:val="000000"/>
                <w:sz w:val="19"/>
                <w:szCs w:val="19"/>
              </w:rPr>
              <w:t xml:space="preserve">Full case file for women-safety cases, with mandatory redaction view toggle</w:t>
            </w:r>
          </w:p>
        </w:tc>
        <w:tc>
          <w:tcPr>
            <w:tcW w:type="dxa" w:w="3100"/>
            <w:shd w:fill="FFFFFF" w:val="clear"/>
            <w:tcMar>
              <w:top w:type="dxa" w:w="90"/>
              <w:left w:type="dxa" w:w="110"/>
              <w:bottom w:type="dxa" w:w="90"/>
              <w:right w:type="dxa" w:w="110"/>
            </w:tcMar>
          </w:tcPr>
          <w:p>
            <w:r>
              <w:rPr>
                <w:b w:val="false"/>
                <w:bCs w:val="false"/>
                <w:color w:val="000000"/>
                <w:sz w:val="19"/>
                <w:szCs w:val="19"/>
              </w:rPr>
              <w:t xml:space="preserve">—</w:t>
            </w:r>
          </w:p>
        </w:tc>
      </w:tr>
      <w:tr>
        <w:tc>
          <w:tcPr>
            <w:tcW w:type="dxa" w:w="2700"/>
            <w:shd w:fill="F2F2F2" w:val="clear"/>
            <w:tcMar>
              <w:top w:type="dxa" w:w="90"/>
              <w:left w:type="dxa" w:w="110"/>
              <w:bottom w:type="dxa" w:w="90"/>
              <w:right w:type="dxa" w:w="110"/>
            </w:tcMar>
          </w:tcPr>
          <w:p>
            <w:r>
              <w:rPr>
                <w:b w:val="false"/>
                <w:bCs w:val="false"/>
                <w:color w:val="000000"/>
                <w:sz w:val="19"/>
                <w:szCs w:val="19"/>
              </w:rPr>
              <w:t xml:space="preserve">Public Prosecutor</w:t>
            </w:r>
          </w:p>
        </w:tc>
        <w:tc>
          <w:tcPr>
            <w:tcW w:type="dxa" w:w="3500"/>
            <w:shd w:fill="F2F2F2" w:val="clear"/>
            <w:tcMar>
              <w:top w:type="dxa" w:w="90"/>
              <w:left w:type="dxa" w:w="110"/>
              <w:bottom w:type="dxa" w:w="90"/>
              <w:right w:type="dxa" w:w="110"/>
            </w:tcMar>
          </w:tcPr>
          <w:p>
            <w:r>
              <w:rPr>
                <w:b w:val="false"/>
                <w:bCs w:val="false"/>
                <w:color w:val="000000"/>
                <w:sz w:val="19"/>
                <w:szCs w:val="19"/>
              </w:rPr>
              <w:t xml:space="preserve">Charge sheet, evidence list, case file</w:t>
            </w:r>
          </w:p>
        </w:tc>
        <w:tc>
          <w:tcPr>
            <w:tcW w:type="dxa" w:w="3100"/>
            <w:shd w:fill="F2F2F2" w:val="clear"/>
            <w:tcMar>
              <w:top w:type="dxa" w:w="90"/>
              <w:left w:type="dxa" w:w="110"/>
              <w:bottom w:type="dxa" w:w="90"/>
              <w:right w:type="dxa" w:w="110"/>
            </w:tcMar>
          </w:tcPr>
          <w:p>
            <w:r>
              <w:rPr>
                <w:b w:val="false"/>
                <w:bCs w:val="false"/>
                <w:color w:val="000000"/>
                <w:sz w:val="19"/>
                <w:szCs w:val="19"/>
              </w:rPr>
              <w:t xml:space="preserve">Internal IO notes not marked for court</w:t>
            </w:r>
          </w:p>
        </w:tc>
      </w:tr>
      <w:tr>
        <w:tc>
          <w:tcPr>
            <w:tcW w:type="dxa" w:w="2700"/>
            <w:shd w:fill="FFFFFF" w:val="clear"/>
            <w:tcMar>
              <w:top w:type="dxa" w:w="90"/>
              <w:left w:type="dxa" w:w="110"/>
              <w:bottom w:type="dxa" w:w="90"/>
              <w:right w:type="dxa" w:w="110"/>
            </w:tcMar>
          </w:tcPr>
          <w:p>
            <w:r>
              <w:rPr>
                <w:b w:val="false"/>
                <w:bCs w:val="false"/>
                <w:color w:val="000000"/>
                <w:sz w:val="19"/>
                <w:szCs w:val="19"/>
              </w:rPr>
              <w:t xml:space="preserve">Court</w:t>
            </w:r>
          </w:p>
        </w:tc>
        <w:tc>
          <w:tcPr>
            <w:tcW w:type="dxa" w:w="3500"/>
            <w:shd w:fill="FFFFFF" w:val="clear"/>
            <w:tcMar>
              <w:top w:type="dxa" w:w="90"/>
              <w:left w:type="dxa" w:w="110"/>
              <w:bottom w:type="dxa" w:w="90"/>
              <w:right w:type="dxa" w:w="110"/>
            </w:tcMar>
          </w:tcPr>
          <w:p>
            <w:r>
              <w:rPr>
                <w:b w:val="false"/>
                <w:bCs w:val="false"/>
                <w:color w:val="000000"/>
                <w:sz w:val="19"/>
                <w:szCs w:val="19"/>
              </w:rPr>
              <w:t xml:space="preserve">Complete case file as filed</w:t>
            </w:r>
          </w:p>
        </w:tc>
        <w:tc>
          <w:tcPr>
            <w:tcW w:type="dxa" w:w="3100"/>
            <w:shd w:fill="FFFFFF" w:val="clear"/>
            <w:tcMar>
              <w:top w:type="dxa" w:w="90"/>
              <w:left w:type="dxa" w:w="110"/>
              <w:bottom w:type="dxa" w:w="90"/>
              <w:right w:type="dxa" w:w="110"/>
            </w:tcMar>
          </w:tcPr>
          <w:p>
            <w:r>
              <w:rPr>
                <w:b w:val="false"/>
                <w:bCs w:val="false"/>
                <w:color w:val="000000"/>
                <w:sz w:val="19"/>
                <w:szCs w:val="19"/>
              </w:rPr>
              <w:t xml:space="preserve">Pre-charge-sheet internal investigation drafts</w:t>
            </w:r>
          </w:p>
        </w:tc>
      </w:tr>
      <w:tr>
        <w:tc>
          <w:tcPr>
            <w:tcW w:type="dxa" w:w="2700"/>
            <w:shd w:fill="F2F2F2" w:val="clear"/>
            <w:tcMar>
              <w:top w:type="dxa" w:w="90"/>
              <w:left w:type="dxa" w:w="110"/>
              <w:bottom w:type="dxa" w:w="90"/>
              <w:right w:type="dxa" w:w="110"/>
            </w:tcMar>
          </w:tcPr>
          <w:p>
            <w:r>
              <w:rPr>
                <w:b w:val="false"/>
                <w:bCs w:val="false"/>
                <w:color w:val="000000"/>
                <w:sz w:val="19"/>
                <w:szCs w:val="19"/>
              </w:rPr>
              <w:t xml:space="preserve">Defense / Accused</w:t>
            </w:r>
          </w:p>
        </w:tc>
        <w:tc>
          <w:tcPr>
            <w:tcW w:type="dxa" w:w="3500"/>
            <w:shd w:fill="F2F2F2" w:val="clear"/>
            <w:tcMar>
              <w:top w:type="dxa" w:w="90"/>
              <w:left w:type="dxa" w:w="110"/>
              <w:bottom w:type="dxa" w:w="90"/>
              <w:right w:type="dxa" w:w="110"/>
            </w:tcMar>
          </w:tcPr>
          <w:p>
            <w:r>
              <w:rPr>
                <w:b w:val="false"/>
                <w:bCs w:val="false"/>
                <w:color w:val="000000"/>
                <w:sz w:val="19"/>
                <w:szCs w:val="19"/>
              </w:rPr>
              <w:t xml:space="preserve">Own bail-related submissions only</w:t>
            </w:r>
          </w:p>
        </w:tc>
        <w:tc>
          <w:tcPr>
            <w:tcW w:type="dxa" w:w="3100"/>
            <w:shd w:fill="F2F2F2" w:val="clear"/>
            <w:tcMar>
              <w:top w:type="dxa" w:w="90"/>
              <w:left w:type="dxa" w:w="110"/>
              <w:bottom w:type="dxa" w:w="90"/>
              <w:right w:type="dxa" w:w="110"/>
            </w:tcMar>
          </w:tcPr>
          <w:p>
            <w:r>
              <w:rPr>
                <w:b w:val="false"/>
                <w:bCs w:val="false"/>
                <w:color w:val="000000"/>
                <w:sz w:val="19"/>
                <w:szCs w:val="19"/>
              </w:rPr>
              <w:t xml:space="preserve">Investigation materials during active investigation</w:t>
            </w:r>
          </w:p>
        </w:tc>
      </w:tr>
      <w:tr>
        <w:tc>
          <w:tcPr>
            <w:tcW w:type="dxa" w:w="2700"/>
            <w:shd w:fill="FFFFFF" w:val="clear"/>
            <w:tcMar>
              <w:top w:type="dxa" w:w="90"/>
              <w:left w:type="dxa" w:w="110"/>
              <w:bottom w:type="dxa" w:w="90"/>
              <w:right w:type="dxa" w:w="110"/>
            </w:tcMar>
          </w:tcPr>
          <w:p>
            <w:r>
              <w:rPr>
                <w:b w:val="false"/>
                <w:bCs w:val="false"/>
                <w:color w:val="000000"/>
                <w:sz w:val="19"/>
                <w:szCs w:val="19"/>
              </w:rPr>
              <w:t xml:space="preserve">Records / NCRB Analyst</w:t>
            </w:r>
          </w:p>
        </w:tc>
        <w:tc>
          <w:tcPr>
            <w:tcW w:type="dxa" w:w="3500"/>
            <w:shd w:fill="FFFFFF" w:val="clear"/>
            <w:tcMar>
              <w:top w:type="dxa" w:w="90"/>
              <w:left w:type="dxa" w:w="110"/>
              <w:bottom w:type="dxa" w:w="90"/>
              <w:right w:type="dxa" w:w="110"/>
            </w:tcMar>
          </w:tcPr>
          <w:p>
            <w:r>
              <w:rPr>
                <w:b w:val="false"/>
                <w:bCs w:val="false"/>
                <w:color w:val="000000"/>
                <w:sz w:val="19"/>
                <w:szCs w:val="19"/>
              </w:rPr>
              <w:t xml:space="preserve">De-identified case metadata only</w:t>
            </w:r>
          </w:p>
        </w:tc>
        <w:tc>
          <w:tcPr>
            <w:tcW w:type="dxa" w:w="3100"/>
            <w:shd w:fill="FFFFFF" w:val="clear"/>
            <w:tcMar>
              <w:top w:type="dxa" w:w="90"/>
              <w:left w:type="dxa" w:w="110"/>
              <w:bottom w:type="dxa" w:w="90"/>
              <w:right w:type="dxa" w:w="110"/>
            </w:tcMar>
          </w:tcPr>
          <w:p>
            <w:r>
              <w:rPr>
                <w:b w:val="false"/>
                <w:bCs w:val="false"/>
                <w:color w:val="000000"/>
                <w:sz w:val="19"/>
                <w:szCs w:val="19"/>
              </w:rPr>
              <w:t xml:space="preserve">Any sensitive or identity field</w:t>
            </w:r>
          </w:p>
        </w:tc>
      </w:tr>
    </w:tbl>
    <w:p>
      <w:pPr>
        <w:pStyle w:val="Heading1"/>
        <w:pBdr>
          <w:bottom w:val="single" w:color="1F3864" w:sz="8" w:space="4"/>
        </w:pBdr>
        <w:spacing w:after="200" w:before="420"/>
      </w:pPr>
      <w:r>
        <w:rPr>
          <w:b/>
          <w:bCs/>
          <w:color w:val="1F3864"/>
          <w:sz w:val="30"/>
          <w:szCs w:val="30"/>
        </w:rPr>
        <w:t xml:space="preserve">5. DocumentSchema Build — Sizing Recommendation</w:t>
      </w:r>
    </w:p>
    <w:p>
      <w:pPr>
        <w:spacing w:after="140" w:line="300"/>
      </w:pPr>
      <w:r>
        <w:rPr>
          <w:sz w:val="21"/>
          <w:szCs w:val="21"/>
        </w:rPr>
        <w:t xml:space="preserve">This is the direct answer to the sizing question: 57 canonical document types exist across the current reference set. Building a full field-level sensitivity schema for all 57 before the demo is unnecessary work and was already flagged as a risk of scope creep in earlier planning — the recommendation below tiers the effort instead.</w:t>
      </w:r>
    </w:p>
    <w:p>
      <w:pPr>
        <w:pStyle w:val="Heading3"/>
        <w:spacing w:after="90" w:before="200"/>
      </w:pPr>
      <w:r>
        <w:rPr>
          <w:b/>
          <w:bCs/>
          <w:color w:val="2E7D32"/>
          <w:sz w:val="22"/>
          <w:szCs w:val="22"/>
        </w:rPr>
        <w:t xml:space="preserve">Tier 1 — Full schema, build first (3 types)</w:t>
      </w:r>
    </w:p>
    <w:p>
      <w:pPr>
        <w:spacing w:after="140" w:line="300"/>
      </w:pPr>
      <w:r>
        <w:rPr>
          <w:sz w:val="20"/>
          <w:szCs w:val="20"/>
        </w:rPr>
        <w:t xml:space="preserve">FIR, MLC, Witness Statement. Already decided in the system design as the representative set: FIR because it's universal to every case, MLC and Witness Statement because they carry the highest concentration of sensitive victim-identifying fields and appear across the largest number of crime types, including every women-safety case.</w:t>
      </w:r>
    </w:p>
    <w:p>
      <w:pPr>
        <w:pStyle w:val="Heading3"/>
        <w:spacing w:after="90" w:before="200"/>
      </w:pPr>
      <w:r>
        <w:rPr>
          <w:b/>
          <w:bCs/>
          <w:color w:val="2E7D32"/>
          <w:sz w:val="22"/>
          <w:szCs w:val="22"/>
        </w:rPr>
        <w:t xml:space="preserve">Tier 2 — Full schema, build for your chosen demo showcase case (adds 8–10 types)</w:t>
      </w:r>
    </w:p>
    <w:p>
      <w:pPr>
        <w:spacing w:after="140" w:line="300"/>
      </w:pPr>
      <w:r>
        <w:rPr>
          <w:sz w:val="20"/>
          <w:szCs w:val="20"/>
        </w:rPr>
        <w:t xml:space="preserve">Whichever single crime type your team picks to demo end-to-end needs its full document set schema-built — for example, if Cyber Fraud is the showcase, that adds Bank Statement, UPI Screenshot, IP Logs, Device Report, SIM Details Record, plus the full Bail Lifecycle set (6 types) on top of Tier 1. If a women-safety case is the showcase instead (arguably the stronger pitch given the project's NCRB/Women Safety Division ownership), Rape or Domestic Violence would add DNA Report, Biological Report, Clothing Seizure, Marriage Proof, Protection Order in place of the cyber-specific set.</w:t>
      </w:r>
    </w:p>
    <w:p>
      <w:pPr>
        <w:pStyle w:val="Heading3"/>
        <w:spacing w:after="90" w:before="200"/>
      </w:pPr>
      <w:r>
        <w:rPr>
          <w:b/>
          <w:bCs/>
          <w:color w:val="2E7D32"/>
          <w:sz w:val="22"/>
          <w:szCs w:val="22"/>
        </w:rPr>
        <w:t xml:space="preserve">Tier 3 — Generic default schema, applied to everything else (remaining ~40+ types)</w:t>
      </w:r>
    </w:p>
    <w:p>
      <w:pPr>
        <w:spacing w:after="140" w:line="300"/>
      </w:pPr>
      <w:r>
        <w:rPr>
          <w:sz w:val="20"/>
          <w:szCs w:val="20"/>
        </w:rPr>
        <w:t xml:space="preserve">One generic schema template — a single “default sensitivity profile” (treat name/address/identity-adjacent fields as sensitive by default, everything else as internal) — applied uniformly to every document type not individually built. This is honest to state to judges as “extensible: every additional document type inherits a safe default redaction profile until a type-specific schema is authored,” which is a legitimate architectural claim, not a gap being hidden.</w:t>
      </w:r>
    </w:p>
    <w:p>
      <w:pPr>
        <w:pBdr>
          <w:top w:val="single" w:color="FDF2E9" w:sz="2" w:space="6"/>
          <w:bottom w:val="single" w:color="FDF2E9" w:sz="2" w:space="6"/>
          <w:left w:val="single" w:color="C55A11" w:sz="18" w:space="8"/>
          <w:right w:val="single" w:color="FDF2E9" w:sz="2" w:space="6"/>
        </w:pBdr>
        <w:shd w:fill="FDF2E9" w:val="clear"/>
        <w:spacing w:after="160" w:before="80"/>
        <w:ind w:left="100" w:right="100"/>
      </w:pPr>
      <w:r>
        <w:rPr>
          <w:i/>
          <w:iCs/>
          <w:color w:val="000000"/>
          <w:sz w:val="20"/>
          <w:szCs w:val="20"/>
        </w:rPr>
        <w:t xml:space="preserve">Recommended total build effort: 2 fully custom schemas beyond Tier 1 baseline work, roughly 10–13 document types with real field-level definitions, plus one generic fallback schema covering the remainder. This is a two-to-three-day task for one team member, not a full-team multi-week effort — confirm this fits your remaining build timeline before finalizing scope.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8"/>
        <w:szCs w:val="18"/>
      </w:rPr>
      <w:t xml:space="preserve">SIH26190 — Role &amp; Document Taxonomy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2026-08-29T17:39:39.552Z</dcterms:created>
  <dcterms:modified xsi:type="dcterms:W3CDTF">2026-08-29T17:39:39.564Z</dcterms:modified>
</cp:coreProperties>
</file>

<file path=docProps/custom.xml><?xml version="1.0" encoding="utf-8"?>
<Properties xmlns="http://schemas.openxmlformats.org/officeDocument/2006/custom-properties" xmlns:vt="http://schemas.openxmlformats.org/officeDocument/2006/docPropsVTypes"/>
</file>