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220"/>
        <w:gridCol w:w="1260"/>
        <w:gridCol w:w="1200"/>
        <w:gridCol w:w="1980"/>
        <w:tblGridChange w:id="0">
          <w:tblGrid>
            <w:gridCol w:w="597"/>
            <w:gridCol w:w="51"/>
            <w:gridCol w:w="2250"/>
            <w:gridCol w:w="2220"/>
            <w:gridCol w:w="1260"/>
            <w:gridCol w:w="120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14/2/21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Extended Literature Survey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Data Preparation and Exploring Hashcat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Generator and Discriminator models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Integrating both the models and training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done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7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GCnyIHLCqhG4u1setxQjjsPeQw==">AMUW2mUHPYMT6Qe1mHYH4CjqXLGVwjBNrYaBgyAPC8HZtiBobzPndVZG7wmD2HwdM6ajK3QzEkXJlfV9RdYBQJC9/lUDJ1SNdx4L749KrvEK+0yzdBp+4NU=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