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518"/>
      </w:tblGrid>
      <w:tr>
        <w:tc>
          <w:tcPr>
            <w:tcW w:type="dxa" w:w="9360"/>
            <w:shd w:val="clear" w:color="auto" w:fill="0B1F3A"/>
          </w:tcPr>
          <w:p>
            <w:pPr>
              <w:spacing w:before="200"/>
              <w:jc w:val="center"/>
            </w:pPr>
            <w:r>
              <w:rPr>
                <w:rFonts w:ascii="Calibri" w:hAnsi="Calibri"/>
                <w:b/>
                <w:i w:val="0"/>
                <w:color w:val="FFFFFF"/>
                <w:sz w:val="44"/>
              </w:rPr>
              <w:t>FinPal v4.0 — Changelog</w:t>
              <w:br/>
            </w:r>
          </w:p>
          <w:p>
            <w:pPr>
              <w:spacing w:after="200"/>
              <w:jc w:val="center"/>
            </w:pPr>
            <w:r>
              <w:rPr>
                <w:rFonts w:ascii="Calibri" w:hAnsi="Calibri"/>
                <w:b w:val="0"/>
                <w:i w:val="0"/>
                <w:color w:val="00A896"/>
                <w:sz w:val="20"/>
              </w:rPr>
              <w:t>AI-Powered Loan Intake &amp; Assessment Platform  ·  Changes from v3.0 → v4.0</w:t>
            </w:r>
          </w:p>
        </w:tc>
      </w:tr>
    </w:tbl>
    <w:p/>
    <w:tbl>
      <w:tblPr>
        <w:tblStyle w:val="TableGrid"/>
        <w:tblW w:type="auto" w:w="0"/>
        <w:jc w:val="left"/>
        <w:tblLook w:firstColumn="1" w:firstRow="1" w:lastColumn="0" w:lastRow="0" w:noHBand="0" w:noVBand="1" w:val="04A0"/>
      </w:tblPr>
      <w:tblGrid>
        <w:gridCol w:w="2379"/>
        <w:gridCol w:w="2379"/>
        <w:gridCol w:w="2379"/>
        <w:gridCol w:w="2379"/>
      </w:tblGrid>
      <w:tr>
        <w:tc>
          <w:tcPr>
            <w:tcW w:type="dxa" w:w="2379"/>
            <w:shd w:val="clear" w:color="auto" w:fill="F0F6FA"/>
          </w:tcPr>
          <w:p>
            <w:r>
              <w:rPr>
                <w:rFonts w:ascii="Calibri" w:hAnsi="Calibri"/>
                <w:b/>
                <w:i w:val="0"/>
                <w:color w:val="7A94AC"/>
                <w:sz w:val="17"/>
              </w:rPr>
              <w:t>Document</w:t>
              <w:br/>
            </w:r>
            <w:r>
              <w:rPr>
                <w:rFonts w:ascii="Calibri" w:hAnsi="Calibri"/>
                <w:b w:val="0"/>
                <w:i w:val="0"/>
                <w:color w:val="0B1F3A"/>
                <w:sz w:val="20"/>
              </w:rPr>
              <w:t>FinPal_V4_Changelog</w:t>
            </w:r>
          </w:p>
        </w:tc>
        <w:tc>
          <w:tcPr>
            <w:tcW w:type="dxa" w:w="2379"/>
            <w:shd w:val="clear" w:color="auto" w:fill="F0F6FA"/>
          </w:tcPr>
          <w:p>
            <w:r>
              <w:rPr>
                <w:rFonts w:ascii="Calibri" w:hAnsi="Calibri"/>
                <w:b/>
                <w:i w:val="0"/>
                <w:color w:val="7A94AC"/>
                <w:sz w:val="17"/>
              </w:rPr>
              <w:t>Version</w:t>
              <w:br/>
            </w:r>
            <w:r>
              <w:rPr>
                <w:rFonts w:ascii="Calibri" w:hAnsi="Calibri"/>
                <w:b w:val="0"/>
                <w:i w:val="0"/>
                <w:color w:val="0B1F3A"/>
                <w:sz w:val="20"/>
              </w:rPr>
              <w:t>v4.0</w:t>
            </w:r>
          </w:p>
        </w:tc>
        <w:tc>
          <w:tcPr>
            <w:tcW w:type="dxa" w:w="2379"/>
            <w:shd w:val="clear" w:color="auto" w:fill="F0F6FA"/>
          </w:tcPr>
          <w:p>
            <w:r>
              <w:rPr>
                <w:rFonts w:ascii="Calibri" w:hAnsi="Calibri"/>
                <w:b/>
                <w:i w:val="0"/>
                <w:color w:val="7A94AC"/>
                <w:sz w:val="17"/>
              </w:rPr>
              <w:t>Date</w:t>
              <w:br/>
            </w:r>
            <w:r>
              <w:rPr>
                <w:rFonts w:ascii="Calibri" w:hAnsi="Calibri"/>
                <w:b w:val="0"/>
                <w:i w:val="0"/>
                <w:color w:val="0B1F3A"/>
                <w:sz w:val="20"/>
              </w:rPr>
              <w:t>12 March 2026</w:t>
            </w:r>
          </w:p>
        </w:tc>
        <w:tc>
          <w:tcPr>
            <w:tcW w:type="dxa" w:w="2379"/>
            <w:shd w:val="clear" w:color="auto" w:fill="F0F6FA"/>
          </w:tcPr>
          <w:p>
            <w:r>
              <w:rPr>
                <w:rFonts w:ascii="Calibri" w:hAnsi="Calibri"/>
                <w:b/>
                <w:i w:val="0"/>
                <w:color w:val="7A94AC"/>
                <w:sz w:val="17"/>
              </w:rPr>
              <w:t>Status</w:t>
              <w:br/>
            </w:r>
            <w:r>
              <w:rPr>
                <w:rFonts w:ascii="Calibri" w:hAnsi="Calibri"/>
                <w:b w:val="0"/>
                <w:i w:val="0"/>
                <w:color w:val="0B1F3A"/>
                <w:sz w:val="20"/>
              </w:rPr>
              <w:t>Released</w:t>
            </w:r>
          </w:p>
        </w:tc>
      </w:tr>
    </w:tbl>
    <w:p/>
    <w:p>
      <w:pPr>
        <w:spacing w:before="80" w:after="80"/>
        <w:pBdr>
          <w:bottom w:val="single" w:sz="6" w:color="00A896"/>
        </w:pBdr>
      </w:pPr>
    </w:p>
    <w:p>
      <w:pPr>
        <w:spacing w:before="160" w:after="80"/>
      </w:pPr>
      <w:r>
        <w:rPr>
          <w:rFonts w:ascii="Calibri" w:hAnsi="Calibri"/>
          <w:b/>
          <w:color w:val="0B1F3A"/>
          <w:sz w:val="28"/>
        </w:rPr>
        <w:t>1. Executive Summary</w:t>
      </w:r>
    </w:p>
    <w:p>
      <w:pPr>
        <w:spacing w:before="40" w:after="120"/>
      </w:pPr>
      <w:r>
        <w:rPr>
          <w:rFonts w:ascii="Calibri" w:hAnsi="Calibri"/>
          <w:b w:val="0"/>
          <w:i w:val="0"/>
          <w:color w:val="1A1A2E"/>
          <w:sz w:val="21"/>
        </w:rPr>
        <w:t>FinPal v4.0 is a feature-completeness update ensuring full coverage of all required product capabilities across four pillars: Core Product, Compliance &amp; Regulatory, Geographic Coverage, and Integrations &amp; Tech. This version closes all gaps identified against the FinPal product feature specification and adds new dedicated UI sections for Integrations, Geographic Coverage, EU AI Act Technical Documentation, and Vendor Due Diligence.</w:t>
      </w:r>
    </w:p>
    <w:tbl>
      <w:tblPr>
        <w:tblStyle w:val="TableGrid"/>
        <w:tblW w:type="auto" w:w="0"/>
        <w:jc w:val="left"/>
        <w:tblLook w:firstColumn="1" w:firstRow="1" w:lastColumn="0" w:lastRow="0" w:noHBand="0" w:noVBand="1" w:val="04A0"/>
      </w:tblPr>
      <w:tblGrid>
        <w:gridCol w:w="3173"/>
        <w:gridCol w:w="3173"/>
        <w:gridCol w:w="3173"/>
      </w:tblGrid>
      <w:tr>
        <w:tc>
          <w:tcPr>
            <w:tcW w:type="dxa" w:w="1152"/>
            <w:shd w:val="clear" w:color="auto" w:fill="0B1F3A"/>
          </w:tcPr>
          <w:p>
            <w:pPr>
              <w:jc w:val="left"/>
            </w:pPr>
            <w:r>
              <w:rPr>
                <w:rFonts w:ascii="Calibri" w:hAnsi="Calibri"/>
                <w:b/>
                <w:i w:val="0"/>
                <w:color w:val="FFFFFF"/>
                <w:sz w:val="18"/>
              </w:rPr>
              <w:t>Theme</w:t>
            </w:r>
          </w:p>
        </w:tc>
        <w:tc>
          <w:tcPr>
            <w:tcW w:type="dxa" w:w="3024"/>
            <w:shd w:val="clear" w:color="auto" w:fill="0B1F3A"/>
          </w:tcPr>
          <w:p>
            <w:pPr>
              <w:jc w:val="left"/>
            </w:pPr>
            <w:r>
              <w:rPr>
                <w:rFonts w:ascii="Calibri" w:hAnsi="Calibri"/>
                <w:b/>
                <w:i w:val="0"/>
                <w:color w:val="FFFFFF"/>
                <w:sz w:val="18"/>
              </w:rPr>
              <w:t>Title</w:t>
            </w:r>
          </w:p>
        </w:tc>
        <w:tc>
          <w:tcPr>
            <w:tcW w:type="dxa" w:w="5184"/>
            <w:shd w:val="clear" w:color="auto" w:fill="0B1F3A"/>
          </w:tcPr>
          <w:p>
            <w:pPr>
              <w:jc w:val="left"/>
            </w:pPr>
            <w:r>
              <w:rPr>
                <w:rFonts w:ascii="Calibri" w:hAnsi="Calibri"/>
                <w:b/>
                <w:i w:val="0"/>
                <w:color w:val="FFFFFF"/>
                <w:sz w:val="18"/>
              </w:rPr>
              <w:t>Summary</w:t>
            </w:r>
          </w:p>
        </w:tc>
      </w:tr>
      <w:tr>
        <w:tc>
          <w:tcPr>
            <w:tcW w:type="dxa" w:w="3173"/>
            <w:shd w:val="clear" w:color="auto" w:fill="E8F8F5"/>
          </w:tcPr>
          <w:p>
            <w:r>
              <w:rPr>
                <w:rFonts w:ascii="Calibri" w:hAnsi="Calibri"/>
                <w:b/>
                <w:i w:val="0"/>
                <w:color w:val="00A896"/>
                <w:sz w:val="18"/>
              </w:rPr>
              <w:t>Theme 1</w:t>
            </w:r>
          </w:p>
        </w:tc>
        <w:tc>
          <w:tcPr>
            <w:tcW w:type="dxa" w:w="3173"/>
          </w:tcPr>
          <w:p>
            <w:r>
              <w:rPr>
                <w:rFonts w:ascii="Calibri" w:hAnsi="Calibri"/>
                <w:b/>
                <w:i w:val="0"/>
                <w:color w:val="0B1F3A"/>
                <w:sz w:val="18"/>
              </w:rPr>
              <w:t>Irish Open Banking — Full Bank Trio</w:t>
            </w:r>
          </w:p>
        </w:tc>
        <w:tc>
          <w:tcPr>
            <w:tcW w:type="dxa" w:w="3173"/>
          </w:tcPr>
          <w:p>
            <w:r>
              <w:rPr>
                <w:rFonts w:ascii="Calibri" w:hAnsi="Calibri"/>
                <w:b w:val="0"/>
                <w:i w:val="0"/>
                <w:color w:val="1A1A2E"/>
                <w:sz w:val="18"/>
              </w:rPr>
              <w:t>Bank of Ireland (BOI) and Permanent TSB (PTSB) added alongside AIB. All three major Irish retail banks now explicitly covered in the Open Banking tab.</w:t>
            </w:r>
          </w:p>
        </w:tc>
      </w:tr>
      <w:tr>
        <w:tc>
          <w:tcPr>
            <w:tcW w:type="dxa" w:w="3173"/>
            <w:shd w:val="clear" w:color="auto" w:fill="E8F8F5"/>
          </w:tcPr>
          <w:p>
            <w:r>
              <w:rPr>
                <w:rFonts w:ascii="Calibri" w:hAnsi="Calibri"/>
                <w:b/>
                <w:i w:val="0"/>
                <w:color w:val="00A896"/>
                <w:sz w:val="18"/>
              </w:rPr>
              <w:t>Theme 2</w:t>
            </w:r>
          </w:p>
        </w:tc>
        <w:tc>
          <w:tcPr>
            <w:tcW w:type="dxa" w:w="3173"/>
          </w:tcPr>
          <w:p>
            <w:r>
              <w:rPr>
                <w:rFonts w:ascii="Calibri" w:hAnsi="Calibri"/>
                <w:b/>
                <w:i w:val="0"/>
                <w:color w:val="0B1F3A"/>
                <w:sz w:val="18"/>
              </w:rPr>
              <w:t>Compliance Completeness — SEAR, FCA, Technical Docs, VDD</w:t>
            </w:r>
          </w:p>
        </w:tc>
        <w:tc>
          <w:tcPr>
            <w:tcW w:type="dxa" w:w="3173"/>
          </w:tcPr>
          <w:p>
            <w:r>
              <w:rPr>
                <w:rFonts w:ascii="Calibri" w:hAnsi="Calibri"/>
                <w:b w:val="0"/>
                <w:i w:val="0"/>
                <w:color w:val="1A1A2E"/>
                <w:sz w:val="18"/>
              </w:rPr>
              <w:t>SEAR added alongside IAF. FCA/Consumer Duty explicitly listed. EU AI Act Technical Documentation (Art.11) section added. Pre-assembled Vendor Due Diligence Pack section added.</w:t>
            </w:r>
          </w:p>
        </w:tc>
      </w:tr>
      <w:tr>
        <w:tc>
          <w:tcPr>
            <w:tcW w:type="dxa" w:w="3173"/>
            <w:shd w:val="clear" w:color="auto" w:fill="E8F8F5"/>
          </w:tcPr>
          <w:p>
            <w:r>
              <w:rPr>
                <w:rFonts w:ascii="Calibri" w:hAnsi="Calibri"/>
                <w:b/>
                <w:i w:val="0"/>
                <w:color w:val="00A896"/>
                <w:sz w:val="18"/>
              </w:rPr>
              <w:t>Theme 3</w:t>
            </w:r>
          </w:p>
        </w:tc>
        <w:tc>
          <w:tcPr>
            <w:tcW w:type="dxa" w:w="3173"/>
          </w:tcPr>
          <w:p>
            <w:r>
              <w:rPr>
                <w:rFonts w:ascii="Calibri" w:hAnsi="Calibri"/>
                <w:b/>
                <w:i w:val="0"/>
                <w:color w:val="0B1F3A"/>
                <w:sz w:val="18"/>
              </w:rPr>
              <w:t>Geographic Coverage — Dedicated Section</w:t>
            </w:r>
          </w:p>
        </w:tc>
        <w:tc>
          <w:tcPr>
            <w:tcW w:type="dxa" w:w="3173"/>
          </w:tcPr>
          <w:p>
            <w:r>
              <w:rPr>
                <w:rFonts w:ascii="Calibri" w:hAnsi="Calibri"/>
                <w:b w:val="0"/>
                <w:i w:val="0"/>
                <w:color w:val="1A1A2E"/>
                <w:sz w:val="18"/>
              </w:rPr>
              <w:t>New Ireland / UK / EU coverage cards in Architecture view. Each market shows its specific regulatory, banking and data residency context.</w:t>
            </w:r>
          </w:p>
        </w:tc>
      </w:tr>
      <w:tr>
        <w:tc>
          <w:tcPr>
            <w:tcW w:type="dxa" w:w="3173"/>
            <w:shd w:val="clear" w:color="auto" w:fill="E8F8F5"/>
          </w:tcPr>
          <w:p>
            <w:r>
              <w:rPr>
                <w:rFonts w:ascii="Calibri" w:hAnsi="Calibri"/>
                <w:b/>
                <w:i w:val="0"/>
                <w:color w:val="00A896"/>
                <w:sz w:val="18"/>
              </w:rPr>
              <w:t>Theme 4</w:t>
            </w:r>
          </w:p>
        </w:tc>
        <w:tc>
          <w:tcPr>
            <w:tcW w:type="dxa" w:w="3173"/>
          </w:tcPr>
          <w:p>
            <w:r>
              <w:rPr>
                <w:rFonts w:ascii="Calibri" w:hAnsi="Calibri"/>
                <w:b/>
                <w:i w:val="0"/>
                <w:color w:val="0B1F3A"/>
                <w:sz w:val="18"/>
              </w:rPr>
              <w:t>Integrations &amp; API Layer — New Section</w:t>
            </w:r>
          </w:p>
        </w:tc>
        <w:tc>
          <w:tcPr>
            <w:tcW w:type="dxa" w:w="3173"/>
          </w:tcPr>
          <w:p>
            <w:r>
              <w:rPr>
                <w:rFonts w:ascii="Calibri" w:hAnsi="Calibri"/>
                <w:b w:val="0"/>
                <w:i w:val="0"/>
                <w:color w:val="1A1A2E"/>
                <w:sz w:val="18"/>
              </w:rPr>
              <w:t>LOS API, REST API, Webhooks, Data Warehouse Export and BI Connector all added to the Architecture view with full technical detail.</w:t>
            </w:r>
          </w:p>
        </w:tc>
      </w:tr>
    </w:tbl>
    <w:p/>
    <w:p>
      <w:pPr>
        <w:spacing w:before="80" w:after="80"/>
        <w:pBdr>
          <w:bottom w:val="single" w:sz="6" w:color="00A896"/>
        </w:pBdr>
      </w:pPr>
    </w:p>
    <w:p>
      <w:pPr>
        <w:spacing w:before="160" w:after="80"/>
      </w:pPr>
      <w:r>
        <w:rPr>
          <w:rFonts w:ascii="Calibri" w:hAnsi="Calibri"/>
          <w:b/>
          <w:color w:val="00A896"/>
          <w:sz w:val="28"/>
        </w:rPr>
        <w:t>2. Theme 1 — Irish Open Banking: Full Bank Trio (AIB / BOI / PTSB)</w:t>
      </w:r>
    </w:p>
    <w:p>
      <w:pPr>
        <w:spacing w:before="160" w:after="80"/>
      </w:pPr>
      <w:r>
        <w:rPr>
          <w:rFonts w:ascii="Calibri" w:hAnsi="Calibri"/>
          <w:b/>
          <w:color w:val="0B1F3A"/>
          <w:sz w:val="24"/>
        </w:rPr>
        <w:t>2.1 Gap Identified</w:t>
      </w:r>
    </w:p>
    <w:p>
      <w:pPr>
        <w:spacing w:before="40" w:after="80"/>
      </w:pPr>
      <w:r>
        <w:rPr>
          <w:rFonts w:ascii="Calibri" w:hAnsi="Calibri"/>
          <w:b w:val="0"/>
          <w:i w:val="0"/>
          <w:color w:val="1A1A2E"/>
          <w:sz w:val="21"/>
        </w:rPr>
        <w:t>The product specification requires explicit Irish Bank Open Banking coverage for AIB, Bank of Ireland (BOI), and Permanent TSB (PTSB). Prior to v4.0, only AIB was referenced in the Open Banking tab, leaving the two other major Irish retail banks absent from the UI.</w:t>
      </w:r>
    </w:p>
    <w:p>
      <w:pPr>
        <w:spacing w:before="160" w:after="80"/>
      </w:pPr>
      <w:r>
        <w:rPr>
          <w:rFonts w:ascii="Calibri" w:hAnsi="Calibri"/>
          <w:b/>
          <w:color w:val="0B1F3A"/>
          <w:sz w:val="24"/>
        </w:rPr>
        <w:t>2.2 Changes Implemented in v4.0</w:t>
      </w:r>
    </w:p>
    <w:p>
      <w:pPr>
        <w:spacing w:before="40" w:after="80"/>
      </w:pPr>
      <w:r>
        <w:rPr>
          <w:rFonts w:ascii="Calibri" w:hAnsi="Calibri"/>
          <w:b/>
          <w:i w:val="0"/>
          <w:color w:val="1A1A2E"/>
          <w:sz w:val="20"/>
        </w:rPr>
        <w:t>A. Open Banking Tab — New Irish Bank Coverage Banner</w:t>
      </w:r>
    </w:p>
    <w:p>
      <w:pPr>
        <w:pStyle w:val="ListBullet"/>
        <w:spacing w:before="20" w:after="40"/>
        <w:ind w:left="360"/>
      </w:pPr>
      <w:r>
        <w:rPr>
          <w:rFonts w:ascii="Calibri" w:hAnsi="Calibri"/>
          <w:b w:val="0"/>
          <w:i w:val="0"/>
          <w:color w:val="1A1A2E"/>
          <w:sz w:val="21"/>
        </w:rPr>
        <w:t>New informational flag box added at the top of the Open Banking tab: "Irish Open Banking Coverage — AIB · Bank of Ireland · PTSB"</w:t>
      </w:r>
    </w:p>
    <w:p>
      <w:pPr>
        <w:pStyle w:val="ListBullet"/>
        <w:spacing w:before="20" w:after="40"/>
        <w:ind w:left="360"/>
      </w:pPr>
      <w:r>
        <w:rPr>
          <w:rFonts w:ascii="Calibri" w:hAnsi="Calibri"/>
          <w:b w:val="0"/>
          <w:i w:val="0"/>
          <w:color w:val="1A1A2E"/>
          <w:sz w:val="21"/>
        </w:rPr>
        <w:t>Explains that all three banks are connected via PSD2/AISP authorisation</w:t>
      </w:r>
    </w:p>
    <w:p>
      <w:pPr>
        <w:pStyle w:val="ListBullet"/>
        <w:spacing w:before="20" w:after="40"/>
        <w:ind w:left="360"/>
      </w:pPr>
      <w:r>
        <w:rPr>
          <w:rFonts w:ascii="Calibri" w:hAnsi="Calibri"/>
          <w:b w:val="0"/>
          <w:i w:val="0"/>
          <w:color w:val="1A1A2E"/>
          <w:sz w:val="21"/>
        </w:rPr>
        <w:t>Clarifies that multi-bank aggregation is supported for borrowers with accounts across institutions</w:t>
      </w:r>
    </w:p>
    <w:p>
      <w:pPr>
        <w:spacing w:before="160" w:after="80"/>
      </w:pPr>
      <w:r>
        <w:rPr>
          <w:rFonts w:ascii="Calibri" w:hAnsi="Calibri"/>
          <w:b/>
          <w:i w:val="0"/>
          <w:color w:val="1A1A2E"/>
          <w:sz w:val="20"/>
        </w:rPr>
        <w:t>B. Three-Card Bank Coverage Grid (new in Open Banking tab)</w:t>
      </w:r>
    </w:p>
    <w:tbl>
      <w:tblPr>
        <w:tblStyle w:val="TableGrid"/>
        <w:tblW w:type="auto" w:w="0"/>
        <w:jc w:val="left"/>
        <w:tblLook w:firstColumn="1" w:firstRow="1" w:lastColumn="0" w:lastRow="0" w:noHBand="0" w:noVBand="1" w:val="04A0"/>
      </w:tblPr>
      <w:tblGrid>
        <w:gridCol w:w="3173"/>
        <w:gridCol w:w="3173"/>
        <w:gridCol w:w="3173"/>
      </w:tblGrid>
      <w:tr>
        <w:tc>
          <w:tcPr>
            <w:tcW w:type="dxa" w:w="2160"/>
            <w:shd w:val="clear" w:color="auto" w:fill="0B1F3A"/>
          </w:tcPr>
          <w:p>
            <w:pPr>
              <w:jc w:val="left"/>
            </w:pPr>
            <w:r>
              <w:rPr>
                <w:rFonts w:ascii="Calibri" w:hAnsi="Calibri"/>
                <w:b/>
                <w:i w:val="0"/>
                <w:color w:val="FFFFFF"/>
                <w:sz w:val="18"/>
              </w:rPr>
              <w:t>Bank</w:t>
            </w:r>
          </w:p>
        </w:tc>
        <w:tc>
          <w:tcPr>
            <w:tcW w:type="dxa" w:w="2880"/>
            <w:shd w:val="clear" w:color="auto" w:fill="0B1F3A"/>
          </w:tcPr>
          <w:p>
            <w:pPr>
              <w:jc w:val="left"/>
            </w:pPr>
            <w:r>
              <w:rPr>
                <w:rFonts w:ascii="Calibri" w:hAnsi="Calibri"/>
                <w:b/>
                <w:i w:val="0"/>
                <w:color w:val="FFFFFF"/>
                <w:sz w:val="18"/>
              </w:rPr>
              <w:t>Status</w:t>
            </w:r>
          </w:p>
        </w:tc>
        <w:tc>
          <w:tcPr>
            <w:tcW w:type="dxa" w:w="4320"/>
            <w:shd w:val="clear" w:color="auto" w:fill="0B1F3A"/>
          </w:tcPr>
          <w:p>
            <w:pPr>
              <w:jc w:val="left"/>
            </w:pPr>
            <w:r>
              <w:rPr>
                <w:rFonts w:ascii="Calibri" w:hAnsi="Calibri"/>
                <w:b/>
                <w:i w:val="0"/>
                <w:color w:val="FFFFFF"/>
                <w:sz w:val="18"/>
              </w:rPr>
              <w:t>Accounts Covered</w:t>
            </w:r>
          </w:p>
        </w:tc>
      </w:tr>
      <w:tr>
        <w:tc>
          <w:tcPr>
            <w:tcW w:type="dxa" w:w="3173"/>
            <w:shd w:val="clear" w:color="auto" w:fill="E8F8F5"/>
          </w:tcPr>
          <w:p>
            <w:r>
              <w:rPr>
                <w:rFonts w:ascii="Calibri" w:hAnsi="Calibri"/>
                <w:b/>
                <w:i w:val="0"/>
                <w:color w:val="00A896"/>
                <w:sz w:val="18"/>
              </w:rPr>
              <w:t>AIB (Allied Irish Banks)</w:t>
            </w:r>
          </w:p>
        </w:tc>
        <w:tc>
          <w:tcPr>
            <w:tcW w:type="dxa" w:w="3173"/>
          </w:tcPr>
          <w:p>
            <w:r>
              <w:rPr>
                <w:rFonts w:ascii="Calibri" w:hAnsi="Calibri"/>
                <w:b/>
                <w:i w:val="0"/>
                <w:color w:val="2ECC71"/>
                <w:sz w:val="18"/>
              </w:rPr>
              <w:t>PSD2/AISP Connected</w:t>
            </w:r>
          </w:p>
        </w:tc>
        <w:tc>
          <w:tcPr>
            <w:tcW w:type="dxa" w:w="3173"/>
          </w:tcPr>
          <w:p>
            <w:r>
              <w:rPr>
                <w:rFonts w:ascii="Calibri" w:hAnsi="Calibri"/>
                <w:b w:val="0"/>
                <w:i w:val="0"/>
                <w:sz w:val="18"/>
              </w:rPr>
              <w:t>Business Current · Savings · Overdraft · Instant pull · 24-month history</w:t>
            </w:r>
          </w:p>
        </w:tc>
      </w:tr>
      <w:tr>
        <w:tc>
          <w:tcPr>
            <w:tcW w:type="dxa" w:w="3173"/>
            <w:shd w:val="clear" w:color="auto" w:fill="E8F8F5"/>
          </w:tcPr>
          <w:p>
            <w:r>
              <w:rPr>
                <w:rFonts w:ascii="Calibri" w:hAnsi="Calibri"/>
                <w:b/>
                <w:i w:val="0"/>
                <w:color w:val="00A896"/>
                <w:sz w:val="18"/>
              </w:rPr>
              <w:t>Bank of Ireland (BOI)</w:t>
            </w:r>
          </w:p>
        </w:tc>
        <w:tc>
          <w:tcPr>
            <w:tcW w:type="dxa" w:w="3173"/>
          </w:tcPr>
          <w:p>
            <w:r>
              <w:rPr>
                <w:rFonts w:ascii="Calibri" w:hAnsi="Calibri"/>
                <w:b/>
                <w:i w:val="0"/>
                <w:color w:val="2ECC71"/>
                <w:sz w:val="18"/>
              </w:rPr>
              <w:t>BOI Open Finance Certified</w:t>
            </w:r>
          </w:p>
        </w:tc>
        <w:tc>
          <w:tcPr>
            <w:tcW w:type="dxa" w:w="3173"/>
          </w:tcPr>
          <w:p>
            <w:r>
              <w:rPr>
                <w:rFonts w:ascii="Calibri" w:hAnsi="Calibri"/>
                <w:b w:val="0"/>
                <w:i w:val="0"/>
                <w:sz w:val="18"/>
              </w:rPr>
              <w:t>Current · Deposit · Loan accounts · 24-month history · Instant pull</w:t>
            </w:r>
          </w:p>
        </w:tc>
      </w:tr>
      <w:tr>
        <w:tc>
          <w:tcPr>
            <w:tcW w:type="dxa" w:w="3173"/>
            <w:shd w:val="clear" w:color="auto" w:fill="E8F8F5"/>
          </w:tcPr>
          <w:p>
            <w:r>
              <w:rPr>
                <w:rFonts w:ascii="Calibri" w:hAnsi="Calibri"/>
                <w:b/>
                <w:i w:val="0"/>
                <w:color w:val="00A896"/>
                <w:sz w:val="18"/>
              </w:rPr>
              <w:t>Permanent TSB (PTSB)</w:t>
            </w:r>
          </w:p>
        </w:tc>
        <w:tc>
          <w:tcPr>
            <w:tcW w:type="dxa" w:w="3173"/>
          </w:tcPr>
          <w:p>
            <w:r>
              <w:rPr>
                <w:rFonts w:ascii="Calibri" w:hAnsi="Calibri"/>
                <w:b/>
                <w:i w:val="0"/>
                <w:color w:val="2ECC71"/>
                <w:sz w:val="18"/>
              </w:rPr>
              <w:t>PSD2/AISP Connected</w:t>
            </w:r>
          </w:p>
        </w:tc>
        <w:tc>
          <w:tcPr>
            <w:tcW w:type="dxa" w:w="3173"/>
          </w:tcPr>
          <w:p>
            <w:r>
              <w:rPr>
                <w:rFonts w:ascii="Calibri" w:hAnsi="Calibri"/>
                <w:b w:val="0"/>
                <w:i w:val="0"/>
                <w:sz w:val="18"/>
              </w:rPr>
              <w:t>Current · Business accounts · 24-month history · On-demand refresh</w:t>
            </w:r>
          </w:p>
        </w:tc>
      </w:tr>
    </w:tbl>
    <w:p>
      <w:pPr>
        <w:spacing w:before="160" w:after="80"/>
      </w:pPr>
      <w:r>
        <w:rPr>
          <w:rFonts w:ascii="Calibri" w:hAnsi="Calibri"/>
          <w:b w:val="0"/>
          <w:i/>
          <w:color w:val="1A1A2E"/>
          <w:sz w:val="19"/>
        </w:rPr>
        <w:t>C. Architecture View — Integrations table now lists all three Irish banks explicitly.</w:t>
      </w:r>
    </w:p>
    <w:p/>
    <w:p>
      <w:pPr>
        <w:spacing w:before="80" w:after="80"/>
        <w:pBdr>
          <w:bottom w:val="single" w:sz="6" w:color="00A896"/>
        </w:pBdr>
      </w:pPr>
    </w:p>
    <w:p>
      <w:pPr>
        <w:spacing w:before="160" w:after="80"/>
      </w:pPr>
      <w:r>
        <w:rPr>
          <w:rFonts w:ascii="Calibri" w:hAnsi="Calibri"/>
          <w:b/>
          <w:color w:val="00A896"/>
          <w:sz w:val="28"/>
        </w:rPr>
        <w:t>3. Theme 2 — Compliance Completeness</w:t>
      </w:r>
    </w:p>
    <w:p>
      <w:pPr>
        <w:spacing w:before="160" w:after="80"/>
      </w:pPr>
      <w:r>
        <w:rPr>
          <w:rFonts w:ascii="Calibri" w:hAnsi="Calibri"/>
          <w:b/>
          <w:color w:val="0B1F3A"/>
          <w:sz w:val="24"/>
        </w:rPr>
        <w:t>3.1 Gap Identified</w:t>
      </w:r>
    </w:p>
    <w:p>
      <w:pPr>
        <w:spacing w:before="40" w:after="80"/>
      </w:pPr>
      <w:r>
        <w:rPr>
          <w:rFonts w:ascii="Calibri" w:hAnsi="Calibri"/>
          <w:b w:val="0"/>
          <w:i w:val="0"/>
          <w:color w:val="1A1A2E"/>
          <w:sz w:val="21"/>
        </w:rPr>
        <w:t>Four compliance gaps were identified against the v4.0 feature specification:</w:t>
      </w:r>
    </w:p>
    <w:p>
      <w:pPr>
        <w:pStyle w:val="ListBullet"/>
        <w:spacing w:before="20" w:after="40"/>
        <w:ind w:left="360"/>
      </w:pPr>
      <w:r>
        <w:rPr>
          <w:rFonts w:ascii="Calibri" w:hAnsi="Calibri"/>
          <w:b w:val="0"/>
          <w:i w:val="0"/>
          <w:color w:val="1A1A2E"/>
          <w:sz w:val="21"/>
        </w:rPr>
        <w:t>SEAR (Senior Executive Accountability Regime) not explicitly named — only "IAF" appeared</w:t>
      </w:r>
    </w:p>
    <w:p>
      <w:pPr>
        <w:pStyle w:val="ListBullet"/>
        <w:spacing w:before="20" w:after="40"/>
        <w:ind w:left="360"/>
      </w:pPr>
      <w:r>
        <w:rPr>
          <w:rFonts w:ascii="Calibri" w:hAnsi="Calibri"/>
          <w:b w:val="0"/>
          <w:i w:val="0"/>
          <w:color w:val="1A1A2E"/>
          <w:sz w:val="21"/>
        </w:rPr>
        <w:t>FCA (UK) compliance not listed as a standalone regulatory framework</w:t>
      </w:r>
    </w:p>
    <w:p>
      <w:pPr>
        <w:pStyle w:val="ListBullet"/>
        <w:spacing w:before="20" w:after="40"/>
        <w:ind w:left="360"/>
      </w:pPr>
      <w:r>
        <w:rPr>
          <w:rFonts w:ascii="Calibri" w:hAnsi="Calibri"/>
          <w:b w:val="0"/>
          <w:i w:val="0"/>
          <w:color w:val="1A1A2E"/>
          <w:sz w:val="21"/>
        </w:rPr>
        <w:t>EU AI Act Technical Documentation (Art.11) had no dedicated UI section despite being a mandatory requirement for high-risk AI systems</w:t>
      </w:r>
    </w:p>
    <w:p>
      <w:pPr>
        <w:pStyle w:val="ListBullet"/>
        <w:spacing w:before="20" w:after="40"/>
        <w:ind w:left="360"/>
      </w:pPr>
      <w:r>
        <w:rPr>
          <w:rFonts w:ascii="Calibri" w:hAnsi="Calibri"/>
          <w:b w:val="0"/>
          <w:i w:val="0"/>
          <w:color w:val="1A1A2E"/>
          <w:sz w:val="21"/>
        </w:rPr>
        <w:t>Pre-assembled Vendor Due Diligence Pack — a key sales and procurement enabler — was absent</w:t>
      </w:r>
    </w:p>
    <w:p>
      <w:pPr>
        <w:spacing w:before="160" w:after="80"/>
      </w:pPr>
      <w:r>
        <w:rPr>
          <w:rFonts w:ascii="Calibri" w:hAnsi="Calibri"/>
          <w:b/>
          <w:color w:val="0B1F3A"/>
          <w:sz w:val="24"/>
        </w:rPr>
        <w:t>3.2 Change A — SEAR Added Alongside IAF</w:t>
      </w:r>
    </w:p>
    <w:p>
      <w:pPr>
        <w:spacing w:before="40" w:after="80"/>
      </w:pPr>
      <w:r>
        <w:rPr>
          <w:rFonts w:ascii="Calibri" w:hAnsi="Calibri"/>
          <w:b w:val="0"/>
          <w:i w:val="0"/>
          <w:color w:val="1A1A2E"/>
          <w:sz w:val="21"/>
        </w:rPr>
        <w:t>In the Compliance Dashboard "Additional Frameworks" card, the entry "CBI IAF (Ireland)" was updated to "CBI IAF / SEAR (Ireland)" with the detail: "Named PCF holder logged · decision audit trails active". SEAR (Senior Executive Accountability Regime) is the Irish equivalent of the UK SM&amp;CR and requires named Pre-Approval Controlled Function holders to be recorded against every significant credit decision — now explicitly surfaced in the UI.</w:t>
      </w:r>
    </w:p>
    <w:p>
      <w:pPr>
        <w:spacing w:before="160" w:after="80"/>
      </w:pPr>
      <w:r>
        <w:rPr>
          <w:rFonts w:ascii="Calibri" w:hAnsi="Calibri"/>
          <w:b/>
          <w:color w:val="0B1F3A"/>
          <w:sz w:val="24"/>
        </w:rPr>
        <w:t>3.3 Change B — FCA (UK) / Consumer Duty Explicitly Listed</w:t>
      </w:r>
    </w:p>
    <w:p>
      <w:pPr>
        <w:spacing w:before="40" w:after="80"/>
      </w:pPr>
      <w:r>
        <w:rPr>
          <w:rFonts w:ascii="Calibri" w:hAnsi="Calibri"/>
          <w:b w:val="0"/>
          <w:i w:val="0"/>
          <w:color w:val="1A1A2E"/>
          <w:sz w:val="21"/>
        </w:rPr>
        <w:t>A new compliance row was added to the "Additional Frameworks" card: "FCA (UK) — CGAP / Consumer Duty" with status "Responsible lending guardrails · Consumer Duty aligned". This makes UK regulatory coverage explicit and aligns with the FCA's Consumer Duty (effective July 2023) which requires firms to deliver good outcomes for retail customers.</w:t>
      </w:r>
    </w:p>
    <w:p>
      <w:pPr>
        <w:spacing w:before="160" w:after="80"/>
      </w:pPr>
      <w:r>
        <w:rPr>
          <w:rFonts w:ascii="Calibri" w:hAnsi="Calibri"/>
          <w:b/>
          <w:color w:val="0B1F3A"/>
          <w:sz w:val="24"/>
        </w:rPr>
        <w:t>3.4 Change C — EU AI Act Technical Documentation (Art.11) Section</w:t>
      </w:r>
    </w:p>
    <w:p>
      <w:pPr>
        <w:spacing w:before="40" w:after="80"/>
      </w:pPr>
      <w:r>
        <w:rPr>
          <w:rFonts w:ascii="Calibri" w:hAnsi="Calibri"/>
          <w:b w:val="0"/>
          <w:i w:val="0"/>
          <w:color w:val="1A1A2E"/>
          <w:sz w:val="21"/>
        </w:rPr>
        <w:t>A new dedicated section "EU AI Act Technical Documentation (Art.11)" was added to the Compliance Dashboard. Article 11 of the EU AI Act 2024/1689 requires providers of high-risk AI systems to maintain detailed technical documentation before placing the system on the market. The new section documents six components:</w:t>
      </w:r>
    </w:p>
    <w:tbl>
      <w:tblPr>
        <w:tblStyle w:val="TableGrid"/>
        <w:tblW w:type="auto" w:w="0"/>
        <w:jc w:val="left"/>
        <w:tblLook w:firstColumn="1" w:firstRow="1" w:lastColumn="0" w:lastRow="0" w:noHBand="0" w:noVBand="1" w:val="04A0"/>
      </w:tblPr>
      <w:tblGrid>
        <w:gridCol w:w="4759"/>
        <w:gridCol w:w="4759"/>
      </w:tblGrid>
      <w:tr>
        <w:tc>
          <w:tcPr>
            <w:tcW w:type="dxa" w:w="3312"/>
            <w:shd w:val="clear" w:color="auto" w:fill="0B1F3A"/>
          </w:tcPr>
          <w:p>
            <w:pPr>
              <w:jc w:val="left"/>
            </w:pPr>
            <w:r>
              <w:rPr>
                <w:rFonts w:ascii="Calibri" w:hAnsi="Calibri"/>
                <w:b/>
                <w:i w:val="0"/>
                <w:color w:val="FFFFFF"/>
                <w:sz w:val="18"/>
              </w:rPr>
              <w:t>Art.11 Component</w:t>
            </w:r>
          </w:p>
        </w:tc>
        <w:tc>
          <w:tcPr>
            <w:tcW w:type="dxa" w:w="6048"/>
            <w:shd w:val="clear" w:color="auto" w:fill="0B1F3A"/>
          </w:tcPr>
          <w:p>
            <w:pPr>
              <w:jc w:val="left"/>
            </w:pPr>
            <w:r>
              <w:rPr>
                <w:rFonts w:ascii="Calibri" w:hAnsi="Calibri"/>
                <w:b/>
                <w:i w:val="0"/>
                <w:color w:val="FFFFFF"/>
                <w:sz w:val="18"/>
              </w:rPr>
              <w:t>FinPal Implementation</w:t>
            </w:r>
          </w:p>
        </w:tc>
      </w:tr>
      <w:tr>
        <w:tc>
          <w:tcPr>
            <w:tcW w:type="dxa" w:w="4759"/>
            <w:shd w:val="clear" w:color="auto" w:fill="E8F8F5"/>
          </w:tcPr>
          <w:p>
            <w:r>
              <w:rPr>
                <w:rFonts w:ascii="Calibri" w:hAnsi="Calibri"/>
                <w:b/>
                <w:i w:val="0"/>
                <w:color w:val="0B1F3A"/>
                <w:sz w:val="18"/>
              </w:rPr>
              <w:t>System Description &amp; Purpose</w:t>
            </w:r>
          </w:p>
        </w:tc>
        <w:tc>
          <w:tcPr>
            <w:tcW w:type="dxa" w:w="4759"/>
          </w:tcPr>
          <w:p>
            <w:r>
              <w:rPr>
                <w:rFonts w:ascii="Calibri" w:hAnsi="Calibri"/>
                <w:b w:val="0"/>
                <w:i w:val="0"/>
                <w:color w:val="2ECC71"/>
                <w:sz w:val="18"/>
              </w:rPr>
              <w:t>High-risk AI system — credit scoring &amp; automated underwriting · Annex IV compliant</w:t>
            </w:r>
          </w:p>
        </w:tc>
      </w:tr>
      <w:tr>
        <w:tc>
          <w:tcPr>
            <w:tcW w:type="dxa" w:w="4759"/>
            <w:shd w:val="clear" w:color="auto" w:fill="E8F8F5"/>
          </w:tcPr>
          <w:p>
            <w:r>
              <w:rPr>
                <w:rFonts w:ascii="Calibri" w:hAnsi="Calibri"/>
                <w:b/>
                <w:i w:val="0"/>
                <w:color w:val="0B1F3A"/>
                <w:sz w:val="18"/>
              </w:rPr>
              <w:t>Training Data &amp; Validation</w:t>
            </w:r>
          </w:p>
        </w:tc>
        <w:tc>
          <w:tcPr>
            <w:tcW w:type="dxa" w:w="4759"/>
          </w:tcPr>
          <w:p>
            <w:r>
              <w:rPr>
                <w:rFonts w:ascii="Calibri" w:hAnsi="Calibri"/>
                <w:b w:val="0"/>
                <w:i w:val="0"/>
                <w:color w:val="2ECC71"/>
                <w:sz w:val="18"/>
              </w:rPr>
              <w:t>Feature store lineage · PII anonymisation · data quality controls documented</w:t>
            </w:r>
          </w:p>
        </w:tc>
      </w:tr>
      <w:tr>
        <w:tc>
          <w:tcPr>
            <w:tcW w:type="dxa" w:w="4759"/>
            <w:shd w:val="clear" w:color="auto" w:fill="E8F8F5"/>
          </w:tcPr>
          <w:p>
            <w:r>
              <w:rPr>
                <w:rFonts w:ascii="Calibri" w:hAnsi="Calibri"/>
                <w:b/>
                <w:i w:val="0"/>
                <w:color w:val="0B1F3A"/>
                <w:sz w:val="18"/>
              </w:rPr>
              <w:t>Model Architecture &amp; Logic</w:t>
            </w:r>
          </w:p>
        </w:tc>
        <w:tc>
          <w:tcPr>
            <w:tcW w:type="dxa" w:w="4759"/>
          </w:tcPr>
          <w:p>
            <w:r>
              <w:rPr>
                <w:rFonts w:ascii="Calibri" w:hAnsi="Calibri"/>
                <w:b w:val="0"/>
                <w:i w:val="0"/>
                <w:color w:val="2ECC71"/>
                <w:sz w:val="18"/>
              </w:rPr>
              <w:t>SHAP-explained PD/LGD/EAD models · challenger framework documented</w:t>
            </w:r>
          </w:p>
        </w:tc>
      </w:tr>
      <w:tr>
        <w:tc>
          <w:tcPr>
            <w:tcW w:type="dxa" w:w="4759"/>
            <w:shd w:val="clear" w:color="auto" w:fill="E8F8F5"/>
          </w:tcPr>
          <w:p>
            <w:r>
              <w:rPr>
                <w:rFonts w:ascii="Calibri" w:hAnsi="Calibri"/>
                <w:b/>
                <w:i w:val="0"/>
                <w:color w:val="0B1F3A"/>
                <w:sz w:val="18"/>
              </w:rPr>
              <w:t>Performance Monitoring Plan</w:t>
            </w:r>
          </w:p>
        </w:tc>
        <w:tc>
          <w:tcPr>
            <w:tcW w:type="dxa" w:w="4759"/>
          </w:tcPr>
          <w:p>
            <w:r>
              <w:rPr>
                <w:rFonts w:ascii="Calibri" w:hAnsi="Calibri"/>
                <w:b w:val="0"/>
                <w:i w:val="0"/>
                <w:color w:val="2ECC71"/>
                <w:sz w:val="18"/>
              </w:rPr>
              <w:t>PSI/CSI drift metrics · monthly calibration reports · scheduled revalidation</w:t>
            </w:r>
          </w:p>
        </w:tc>
      </w:tr>
      <w:tr>
        <w:tc>
          <w:tcPr>
            <w:tcW w:type="dxa" w:w="4759"/>
            <w:shd w:val="clear" w:color="auto" w:fill="E8F8F5"/>
          </w:tcPr>
          <w:p>
            <w:r>
              <w:rPr>
                <w:rFonts w:ascii="Calibri" w:hAnsi="Calibri"/>
                <w:b/>
                <w:i w:val="0"/>
                <w:color w:val="0B1F3A"/>
                <w:sz w:val="18"/>
              </w:rPr>
              <w:t>Human Oversight Procedures</w:t>
            </w:r>
          </w:p>
        </w:tc>
        <w:tc>
          <w:tcPr>
            <w:tcW w:type="dxa" w:w="4759"/>
          </w:tcPr>
          <w:p>
            <w:r>
              <w:rPr>
                <w:rFonts w:ascii="Calibri" w:hAnsi="Calibri"/>
                <w:b w:val="0"/>
                <w:i w:val="0"/>
                <w:color w:val="2ECC71"/>
                <w:sz w:val="18"/>
              </w:rPr>
              <w:t>Mandatory underwriter gate · escalation paths · override logging documented</w:t>
            </w:r>
          </w:p>
        </w:tc>
      </w:tr>
      <w:tr>
        <w:tc>
          <w:tcPr>
            <w:tcW w:type="dxa" w:w="4759"/>
            <w:shd w:val="clear" w:color="auto" w:fill="E8F8F5"/>
          </w:tcPr>
          <w:p>
            <w:r>
              <w:rPr>
                <w:rFonts w:ascii="Calibri" w:hAnsi="Calibri"/>
                <w:b/>
                <w:i w:val="0"/>
                <w:color w:val="0B1F3A"/>
                <w:sz w:val="18"/>
              </w:rPr>
              <w:t>Post-Market Monitoring</w:t>
            </w:r>
          </w:p>
        </w:tc>
        <w:tc>
          <w:tcPr>
            <w:tcW w:type="dxa" w:w="4759"/>
          </w:tcPr>
          <w:p>
            <w:r>
              <w:rPr>
                <w:rFonts w:ascii="Calibri" w:hAnsi="Calibri"/>
                <w:b w:val="0"/>
                <w:i w:val="0"/>
                <w:color w:val="2ECC71"/>
                <w:sz w:val="18"/>
              </w:rPr>
              <w:t>Automated alerts on model drift · adverse outcome reporting pipeline</w:t>
            </w:r>
          </w:p>
        </w:tc>
      </w:tr>
    </w:tbl>
    <w:p>
      <w:pPr>
        <w:spacing w:before="160" w:after="80"/>
      </w:pPr>
      <w:r>
        <w:rPr>
          <w:rFonts w:ascii="Calibri" w:hAnsi="Calibri"/>
          <w:b/>
          <w:color w:val="0B1F3A"/>
          <w:sz w:val="24"/>
        </w:rPr>
        <w:t>3.5 Change D — Pre-Assembled Vendor Due Diligence Pack</w:t>
      </w:r>
    </w:p>
    <w:p>
      <w:pPr>
        <w:spacing w:before="40" w:after="80"/>
      </w:pPr>
      <w:r>
        <w:rPr>
          <w:rFonts w:ascii="Calibri" w:hAnsi="Calibri"/>
          <w:b w:val="0"/>
          <w:i w:val="0"/>
          <w:color w:val="1A1A2E"/>
          <w:sz w:val="21"/>
        </w:rPr>
        <w:t>A new section "Pre-Assembled Vendor Due Diligence Pack" was added to the Compliance Dashboard with an informational flag box explaining that the pack is available for lender and regulator review. The pack covers seven document categories:</w:t>
      </w:r>
    </w:p>
    <w:tbl>
      <w:tblPr>
        <w:tblStyle w:val="TableGrid"/>
        <w:tblW w:type="auto" w:w="0"/>
        <w:jc w:val="left"/>
        <w:tblLook w:firstColumn="1" w:firstRow="1" w:lastColumn="0" w:lastRow="0" w:noHBand="0" w:noVBand="1" w:val="04A0"/>
      </w:tblPr>
      <w:tblGrid>
        <w:gridCol w:w="4759"/>
        <w:gridCol w:w="4759"/>
      </w:tblGrid>
      <w:tr>
        <w:tc>
          <w:tcPr>
            <w:tcW w:type="dxa" w:w="3600"/>
            <w:shd w:val="clear" w:color="auto" w:fill="0B1F3A"/>
          </w:tcPr>
          <w:p>
            <w:pPr>
              <w:jc w:val="left"/>
            </w:pPr>
            <w:r>
              <w:rPr>
                <w:rFonts w:ascii="Calibri" w:hAnsi="Calibri"/>
                <w:b/>
                <w:i w:val="0"/>
                <w:color w:val="FFFFFF"/>
                <w:sz w:val="18"/>
              </w:rPr>
              <w:t>Document</w:t>
            </w:r>
          </w:p>
        </w:tc>
        <w:tc>
          <w:tcPr>
            <w:tcW w:type="dxa" w:w="5760"/>
            <w:shd w:val="clear" w:color="auto" w:fill="0B1F3A"/>
          </w:tcPr>
          <w:p>
            <w:pPr>
              <w:jc w:val="left"/>
            </w:pPr>
            <w:r>
              <w:rPr>
                <w:rFonts w:ascii="Calibri" w:hAnsi="Calibri"/>
                <w:b/>
                <w:i w:val="0"/>
                <w:color w:val="FFFFFF"/>
                <w:sz w:val="18"/>
              </w:rPr>
              <w:t>Status / Detail</w:t>
            </w:r>
          </w:p>
        </w:tc>
      </w:tr>
      <w:tr>
        <w:tc>
          <w:tcPr>
            <w:tcW w:type="dxa" w:w="4759"/>
            <w:shd w:val="clear" w:color="auto" w:fill="E8F8F5"/>
          </w:tcPr>
          <w:p>
            <w:r>
              <w:rPr>
                <w:rFonts w:ascii="Calibri" w:hAnsi="Calibri"/>
                <w:b/>
                <w:i w:val="0"/>
                <w:color w:val="0B1F3A"/>
                <w:sz w:val="18"/>
              </w:rPr>
              <w:t>Information Security Policy</w:t>
            </w:r>
          </w:p>
        </w:tc>
        <w:tc>
          <w:tcPr>
            <w:tcW w:type="dxa" w:w="4759"/>
          </w:tcPr>
          <w:p>
            <w:r>
              <w:rPr>
                <w:rFonts w:ascii="Calibri" w:hAnsi="Calibri"/>
                <w:b w:val="0"/>
                <w:i w:val="0"/>
                <w:color w:val="2ECC71"/>
                <w:sz w:val="18"/>
              </w:rPr>
              <w:t>ISO 27001-aligned · last updated Mar 2025</w:t>
            </w:r>
          </w:p>
        </w:tc>
      </w:tr>
      <w:tr>
        <w:tc>
          <w:tcPr>
            <w:tcW w:type="dxa" w:w="4759"/>
            <w:shd w:val="clear" w:color="auto" w:fill="E8F8F5"/>
          </w:tcPr>
          <w:p>
            <w:r>
              <w:rPr>
                <w:rFonts w:ascii="Calibri" w:hAnsi="Calibri"/>
                <w:b/>
                <w:i w:val="0"/>
                <w:color w:val="0B1F3A"/>
                <w:sz w:val="18"/>
              </w:rPr>
              <w:t>GDPR Data Processing Agreement (DPA)</w:t>
            </w:r>
          </w:p>
        </w:tc>
        <w:tc>
          <w:tcPr>
            <w:tcW w:type="dxa" w:w="4759"/>
          </w:tcPr>
          <w:p>
            <w:r>
              <w:rPr>
                <w:rFonts w:ascii="Calibri" w:hAnsi="Calibri"/>
                <w:b w:val="0"/>
                <w:i w:val="0"/>
                <w:color w:val="2ECC71"/>
                <w:sz w:val="18"/>
              </w:rPr>
              <w:t>Standard contractual clauses · Art.28 processor terms · DPIA summary</w:t>
            </w:r>
          </w:p>
        </w:tc>
      </w:tr>
      <w:tr>
        <w:tc>
          <w:tcPr>
            <w:tcW w:type="dxa" w:w="4759"/>
            <w:shd w:val="clear" w:color="auto" w:fill="E8F8F5"/>
          </w:tcPr>
          <w:p>
            <w:r>
              <w:rPr>
                <w:rFonts w:ascii="Calibri" w:hAnsi="Calibri"/>
                <w:b/>
                <w:i w:val="0"/>
                <w:color w:val="0B1F3A"/>
                <w:sz w:val="18"/>
              </w:rPr>
              <w:t>EU AI Act Technical File (Annex IV)</w:t>
            </w:r>
          </w:p>
        </w:tc>
        <w:tc>
          <w:tcPr>
            <w:tcW w:type="dxa" w:w="4759"/>
          </w:tcPr>
          <w:p>
            <w:r>
              <w:rPr>
                <w:rFonts w:ascii="Calibri" w:hAnsi="Calibri"/>
                <w:b w:val="0"/>
                <w:i w:val="0"/>
                <w:color w:val="2ECC71"/>
                <w:sz w:val="18"/>
              </w:rPr>
              <w:t>High-risk AI system documentation · CE marking readiness</w:t>
            </w:r>
          </w:p>
        </w:tc>
      </w:tr>
      <w:tr>
        <w:tc>
          <w:tcPr>
            <w:tcW w:type="dxa" w:w="4759"/>
            <w:shd w:val="clear" w:color="auto" w:fill="E8F8F5"/>
          </w:tcPr>
          <w:p>
            <w:r>
              <w:rPr>
                <w:rFonts w:ascii="Calibri" w:hAnsi="Calibri"/>
                <w:b/>
                <w:i w:val="0"/>
                <w:color w:val="0B1F3A"/>
                <w:sz w:val="18"/>
              </w:rPr>
              <w:t>Business Continuity &amp; DR Plan</w:t>
            </w:r>
          </w:p>
        </w:tc>
        <w:tc>
          <w:tcPr>
            <w:tcW w:type="dxa" w:w="4759"/>
          </w:tcPr>
          <w:p>
            <w:r>
              <w:rPr>
                <w:rFonts w:ascii="Calibri" w:hAnsi="Calibri"/>
                <w:b w:val="0"/>
                <w:i w:val="0"/>
                <w:color w:val="2ECC71"/>
                <w:sz w:val="18"/>
              </w:rPr>
              <w:t>RPO: 4h · RTO: 8h · annual test completed</w:t>
            </w:r>
          </w:p>
        </w:tc>
      </w:tr>
      <w:tr>
        <w:tc>
          <w:tcPr>
            <w:tcW w:type="dxa" w:w="4759"/>
            <w:shd w:val="clear" w:color="auto" w:fill="E8F8F5"/>
          </w:tcPr>
          <w:p>
            <w:r>
              <w:rPr>
                <w:rFonts w:ascii="Calibri" w:hAnsi="Calibri"/>
                <w:b/>
                <w:i w:val="0"/>
                <w:color w:val="0B1F3A"/>
                <w:sz w:val="18"/>
              </w:rPr>
              <w:t>Penetration Test Report (latest)</w:t>
            </w:r>
          </w:p>
        </w:tc>
        <w:tc>
          <w:tcPr>
            <w:tcW w:type="dxa" w:w="4759"/>
          </w:tcPr>
          <w:p>
            <w:r>
              <w:rPr>
                <w:rFonts w:ascii="Calibri" w:hAnsi="Calibri"/>
                <w:b w:val="0"/>
                <w:i w:val="0"/>
                <w:color w:val="2ECC71"/>
                <w:sz w:val="18"/>
              </w:rPr>
              <w:t>External pen test Q4 2024 · all critical findings remediated</w:t>
            </w:r>
          </w:p>
        </w:tc>
      </w:tr>
      <w:tr>
        <w:tc>
          <w:tcPr>
            <w:tcW w:type="dxa" w:w="4759"/>
            <w:shd w:val="clear" w:color="auto" w:fill="E8F8F5"/>
          </w:tcPr>
          <w:p>
            <w:r>
              <w:rPr>
                <w:rFonts w:ascii="Calibri" w:hAnsi="Calibri"/>
                <w:b/>
                <w:i w:val="0"/>
                <w:color w:val="0B1F3A"/>
                <w:sz w:val="18"/>
              </w:rPr>
              <w:t>Sub-processor Register</w:t>
            </w:r>
          </w:p>
        </w:tc>
        <w:tc>
          <w:tcPr>
            <w:tcW w:type="dxa" w:w="4759"/>
          </w:tcPr>
          <w:p>
            <w:r>
              <w:rPr>
                <w:rFonts w:ascii="Calibri" w:hAnsi="Calibri"/>
                <w:b w:val="0"/>
                <w:i w:val="0"/>
                <w:color w:val="2ECC71"/>
                <w:sz w:val="18"/>
              </w:rPr>
              <w:t>Azure West EU (primary) · no data transferred outside EEA</w:t>
            </w:r>
          </w:p>
        </w:tc>
      </w:tr>
      <w:tr>
        <w:tc>
          <w:tcPr>
            <w:tcW w:type="dxa" w:w="4759"/>
            <w:shd w:val="clear" w:color="auto" w:fill="FFF8E7"/>
          </w:tcPr>
          <w:p>
            <w:r>
              <w:rPr>
                <w:rFonts w:ascii="Calibri" w:hAnsi="Calibri"/>
                <w:b/>
                <w:i w:val="0"/>
                <w:color w:val="0B1F3A"/>
                <w:sz w:val="18"/>
              </w:rPr>
              <w:t>SOC 2 Type II (in progress)</w:t>
            </w:r>
          </w:p>
        </w:tc>
        <w:tc>
          <w:tcPr>
            <w:tcW w:type="dxa" w:w="4759"/>
          </w:tcPr>
          <w:p>
            <w:r>
              <w:rPr>
                <w:rFonts w:ascii="Calibri" w:hAnsi="Calibri"/>
                <w:b w:val="0"/>
                <w:i w:val="0"/>
                <w:color w:val="F5A623"/>
                <w:sz w:val="18"/>
              </w:rPr>
              <w:t>Target certification Q3 2025 · bridging controls in place</w:t>
            </w:r>
          </w:p>
        </w:tc>
      </w:tr>
    </w:tbl>
    <w:p/>
    <w:p>
      <w:pPr>
        <w:spacing w:before="80" w:after="80"/>
        <w:pBdr>
          <w:bottom w:val="single" w:sz="6" w:color="00A896"/>
        </w:pBdr>
      </w:pPr>
    </w:p>
    <w:p>
      <w:pPr>
        <w:spacing w:before="160" w:after="80"/>
      </w:pPr>
      <w:r>
        <w:rPr>
          <w:rFonts w:ascii="Calibri" w:hAnsi="Calibri"/>
          <w:b/>
          <w:color w:val="00A896"/>
          <w:sz w:val="28"/>
        </w:rPr>
        <w:t>4. Theme 3 — Geographic Coverage: Dedicated Section</w:t>
      </w:r>
    </w:p>
    <w:p>
      <w:pPr>
        <w:spacing w:before="160" w:after="80"/>
      </w:pPr>
      <w:r>
        <w:rPr>
          <w:rFonts w:ascii="Calibri" w:hAnsi="Calibri"/>
          <w:b/>
          <w:color w:val="0B1F3A"/>
          <w:sz w:val="24"/>
        </w:rPr>
        <w:t>4.1 Gap Identified</w:t>
      </w:r>
    </w:p>
    <w:p>
      <w:pPr>
        <w:spacing w:before="40" w:after="80"/>
      </w:pPr>
      <w:r>
        <w:rPr>
          <w:rFonts w:ascii="Calibri" w:hAnsi="Calibri"/>
          <w:b w:val="0"/>
          <w:i w:val="0"/>
          <w:color w:val="1A1A2E"/>
          <w:sz w:val="21"/>
        </w:rPr>
        <w:t>The product specification requires explicit coverage for three geographic markets: Ireland, United Kingdom, and EU / Europe. While references to these markets existed throughout the UI, there was no dedicated section that consolidated the regulatory, banking, and data residency context for each market in one place.</w:t>
      </w:r>
    </w:p>
    <w:p>
      <w:pPr>
        <w:spacing w:before="160" w:after="80"/>
      </w:pPr>
      <w:r>
        <w:rPr>
          <w:rFonts w:ascii="Calibri" w:hAnsi="Calibri"/>
          <w:b/>
          <w:color w:val="0B1F3A"/>
          <w:sz w:val="24"/>
        </w:rPr>
        <w:t>4.2 Changes Implemented in v4.0</w:t>
      </w:r>
    </w:p>
    <w:p>
      <w:pPr>
        <w:spacing w:before="40" w:after="80"/>
      </w:pPr>
      <w:r>
        <w:rPr>
          <w:rFonts w:ascii="Calibri" w:hAnsi="Calibri"/>
          <w:b w:val="0"/>
          <w:i w:val="0"/>
          <w:color w:val="1A1A2E"/>
          <w:sz w:val="21"/>
        </w:rPr>
        <w:t>A new "Geographic Coverage" three-card section was added to the Architecture &amp; Security view, appearing before the Integrations &amp; API Layer. Each card summarises the market-specific stack:</w:t>
      </w:r>
    </w:p>
    <w:tbl>
      <w:tblPr>
        <w:tblStyle w:val="TableGrid"/>
        <w:tblW w:type="auto" w:w="0"/>
        <w:jc w:val="left"/>
        <w:tblLook w:firstColumn="1" w:firstRow="1" w:lastColumn="0" w:lastRow="0" w:noHBand="0" w:noVBand="1" w:val="04A0"/>
      </w:tblPr>
      <w:tblGrid>
        <w:gridCol w:w="4759"/>
        <w:gridCol w:w="4759"/>
      </w:tblGrid>
      <w:tr>
        <w:tc>
          <w:tcPr>
            <w:tcW w:type="dxa" w:w="2880"/>
            <w:shd w:val="clear" w:color="auto" w:fill="0B1F3A"/>
          </w:tcPr>
          <w:p>
            <w:pPr>
              <w:jc w:val="left"/>
            </w:pPr>
            <w:r>
              <w:rPr>
                <w:rFonts w:ascii="Calibri" w:hAnsi="Calibri"/>
                <w:b/>
                <w:i w:val="0"/>
                <w:color w:val="FFFFFF"/>
                <w:sz w:val="18"/>
              </w:rPr>
              <w:t>Market</w:t>
            </w:r>
          </w:p>
        </w:tc>
        <w:tc>
          <w:tcPr>
            <w:tcW w:type="dxa" w:w="6480"/>
            <w:shd w:val="clear" w:color="auto" w:fill="0B1F3A"/>
          </w:tcPr>
          <w:p>
            <w:pPr>
              <w:jc w:val="left"/>
            </w:pPr>
            <w:r>
              <w:rPr>
                <w:rFonts w:ascii="Calibri" w:hAnsi="Calibri"/>
                <w:b/>
                <w:i w:val="0"/>
                <w:color w:val="FFFFFF"/>
                <w:sz w:val="18"/>
              </w:rPr>
              <w:t>Coverage Detail</w:t>
            </w:r>
          </w:p>
        </w:tc>
      </w:tr>
      <w:tr>
        <w:tc>
          <w:tcPr>
            <w:tcW w:type="dxa" w:w="4759"/>
            <w:shd w:val="clear" w:color="auto" w:fill="E8F8F5"/>
          </w:tcPr>
          <w:p>
            <w:r>
              <w:rPr>
                <w:rFonts w:ascii="Calibri" w:hAnsi="Calibri"/>
                <w:b/>
                <w:i w:val="0"/>
                <w:color w:val="00A896"/>
                <w:sz w:val="18"/>
              </w:rPr>
              <w:t>Ireland (Primary Market)</w:t>
            </w:r>
          </w:p>
        </w:tc>
        <w:tc>
          <w:tcPr>
            <w:tcW w:type="dxa" w:w="4759"/>
          </w:tcPr>
          <w:p>
            <w:r>
              <w:rPr>
                <w:rFonts w:ascii="Calibri" w:hAnsi="Calibri"/>
                <w:b w:val="0"/>
                <w:i w:val="0"/>
                <w:sz w:val="18"/>
              </w:rPr>
              <w:t>CBI-supervised lenders · CRO integration · ROS tax clearance · AIB/BOI/PTSB open banking · ICB credit bureau · IAF/SEAR compliance · Azure West EU data residency</w:t>
            </w:r>
          </w:p>
        </w:tc>
      </w:tr>
      <w:tr>
        <w:tc>
          <w:tcPr>
            <w:tcW w:type="dxa" w:w="4759"/>
            <w:shd w:val="clear" w:color="auto" w:fill="E8F8F5"/>
          </w:tcPr>
          <w:p>
            <w:r>
              <w:rPr>
                <w:rFonts w:ascii="Calibri" w:hAnsi="Calibri"/>
                <w:b/>
                <w:i w:val="0"/>
                <w:color w:val="00A896"/>
                <w:sz w:val="18"/>
              </w:rPr>
              <w:t>United Kingdom (Active)</w:t>
            </w:r>
          </w:p>
        </w:tc>
        <w:tc>
          <w:tcPr>
            <w:tcW w:type="dxa" w:w="4759"/>
          </w:tcPr>
          <w:p>
            <w:r>
              <w:rPr>
                <w:rFonts w:ascii="Calibri" w:hAnsi="Calibri"/>
                <w:b w:val="0"/>
                <w:i w:val="0"/>
                <w:sz w:val="18"/>
              </w:rPr>
              <w:t>FCA-regulated lenders · Consumer Duty aligned · Open Banking (FCA/CMA9) · Experian/Equifax/TransUnion · CAIS bureau format · UK data residency option</w:t>
            </w:r>
          </w:p>
        </w:tc>
      </w:tr>
      <w:tr>
        <w:tc>
          <w:tcPr>
            <w:tcW w:type="dxa" w:w="4759"/>
            <w:shd w:val="clear" w:color="auto" w:fill="E8F8F5"/>
          </w:tcPr>
          <w:p>
            <w:r>
              <w:rPr>
                <w:rFonts w:ascii="Calibri" w:hAnsi="Calibri"/>
                <w:b/>
                <w:i w:val="0"/>
                <w:color w:val="00A896"/>
                <w:sz w:val="18"/>
              </w:rPr>
              <w:t>EU / Europe (Available)</w:t>
            </w:r>
          </w:p>
        </w:tc>
        <w:tc>
          <w:tcPr>
            <w:tcW w:type="dxa" w:w="4759"/>
          </w:tcPr>
          <w:p>
            <w:r>
              <w:rPr>
                <w:rFonts w:ascii="Calibri" w:hAnsi="Calibri"/>
                <w:b w:val="0"/>
                <w:i w:val="0"/>
                <w:sz w:val="18"/>
              </w:rPr>
              <w:t>EU AI Act 2024/1689 native · GDPR-native architecture · EBA LOM aligned · PSD2 open banking · DORA compliant · EEA data residency · Local bureau connectors on request</w:t>
            </w:r>
          </w:p>
        </w:tc>
      </w:tr>
    </w:tbl>
    <w:p/>
    <w:p>
      <w:pPr>
        <w:spacing w:before="80" w:after="80"/>
        <w:pBdr>
          <w:bottom w:val="single" w:sz="6" w:color="00A896"/>
        </w:pBdr>
      </w:pPr>
    </w:p>
    <w:p>
      <w:pPr>
        <w:spacing w:before="160" w:after="80"/>
      </w:pPr>
      <w:r>
        <w:rPr>
          <w:rFonts w:ascii="Calibri" w:hAnsi="Calibri"/>
          <w:b/>
          <w:color w:val="00A896"/>
          <w:sz w:val="28"/>
        </w:rPr>
        <w:t>5. Theme 4 — Integrations &amp; API Layer: New Section</w:t>
      </w:r>
    </w:p>
    <w:p>
      <w:pPr>
        <w:spacing w:before="160" w:after="80"/>
      </w:pPr>
      <w:r>
        <w:rPr>
          <w:rFonts w:ascii="Calibri" w:hAnsi="Calibri"/>
          <w:b/>
          <w:color w:val="0B1F3A"/>
          <w:sz w:val="24"/>
        </w:rPr>
        <w:t>5.1 Gap Identified</w:t>
      </w:r>
    </w:p>
    <w:p>
      <w:pPr>
        <w:spacing w:before="40" w:after="80"/>
      </w:pPr>
      <w:r>
        <w:rPr>
          <w:rFonts w:ascii="Calibri" w:hAnsi="Calibri"/>
          <w:b w:val="0"/>
          <w:i w:val="0"/>
          <w:color w:val="1A1A2E"/>
          <w:sz w:val="21"/>
        </w:rPr>
        <w:t>The product specification requires the following integration and technology capabilities to be explicitly visible in the product: LOS (Loan Origination System) API, REST API / Webhooks, Irish Bank Open Banking (AIB/BOI/PTSB), CRO, ROS, Credit Bureau Integration, Data Warehouse / BI Export, and Private Deployment Option. Prior to v4.0, these were implicit in the codebase but not surfaced in a dedicated UI section.</w:t>
      </w:r>
    </w:p>
    <w:p>
      <w:pPr>
        <w:spacing w:before="160" w:after="80"/>
      </w:pPr>
      <w:r>
        <w:rPr>
          <w:rFonts w:ascii="Calibri" w:hAnsi="Calibri"/>
          <w:b/>
          <w:color w:val="0B1F3A"/>
          <w:sz w:val="24"/>
        </w:rPr>
        <w:t>5.2 Changes Implemented in v4.0</w:t>
      </w:r>
    </w:p>
    <w:p>
      <w:pPr>
        <w:spacing w:before="40" w:after="80"/>
      </w:pPr>
      <w:r>
        <w:rPr>
          <w:rFonts w:ascii="Calibri" w:hAnsi="Calibri"/>
          <w:b w:val="0"/>
          <w:i w:val="0"/>
          <w:color w:val="1A1A2E"/>
          <w:sz w:val="21"/>
        </w:rPr>
        <w:t>A new "Integrations &amp; API Layer" two-column section was added to the Architecture view. The left card covers core integrations; the right card covers API &amp; data export capabilities:</w:t>
      </w:r>
    </w:p>
    <w:p>
      <w:pPr>
        <w:spacing w:before="120" w:after="80"/>
      </w:pPr>
      <w:r>
        <w:rPr>
          <w:rFonts w:ascii="Calibri" w:hAnsi="Calibri"/>
          <w:b/>
          <w:i w:val="0"/>
          <w:color w:val="1A1A2E"/>
          <w:sz w:val="20"/>
        </w:rPr>
        <w:t>Core Integrations Card:</w:t>
      </w:r>
    </w:p>
    <w:tbl>
      <w:tblPr>
        <w:tblStyle w:val="TableGrid"/>
        <w:tblW w:type="auto" w:w="0"/>
        <w:jc w:val="left"/>
        <w:tblLook w:firstColumn="1" w:firstRow="1" w:lastColumn="0" w:lastRow="0" w:noHBand="0" w:noVBand="1" w:val="04A0"/>
      </w:tblPr>
      <w:tblGrid>
        <w:gridCol w:w="4759"/>
        <w:gridCol w:w="4759"/>
      </w:tblGrid>
      <w:tr>
        <w:tc>
          <w:tcPr>
            <w:tcW w:type="dxa" w:w="3600"/>
            <w:shd w:val="clear" w:color="auto" w:fill="0B1F3A"/>
          </w:tcPr>
          <w:p>
            <w:pPr>
              <w:jc w:val="left"/>
            </w:pPr>
            <w:r>
              <w:rPr>
                <w:rFonts w:ascii="Calibri" w:hAnsi="Calibri"/>
                <w:b/>
                <w:i w:val="0"/>
                <w:color w:val="FFFFFF"/>
                <w:sz w:val="18"/>
              </w:rPr>
              <w:t>Integration</w:t>
            </w:r>
          </w:p>
        </w:tc>
        <w:tc>
          <w:tcPr>
            <w:tcW w:type="dxa" w:w="5760"/>
            <w:shd w:val="clear" w:color="auto" w:fill="0B1F3A"/>
          </w:tcPr>
          <w:p>
            <w:pPr>
              <w:jc w:val="left"/>
            </w:pPr>
            <w:r>
              <w:rPr>
                <w:rFonts w:ascii="Calibri" w:hAnsi="Calibri"/>
                <w:b/>
                <w:i w:val="0"/>
                <w:color w:val="FFFFFF"/>
                <w:sz w:val="18"/>
              </w:rPr>
              <w:t>Detail</w:t>
            </w:r>
          </w:p>
        </w:tc>
      </w:tr>
      <w:tr>
        <w:tc>
          <w:tcPr>
            <w:tcW w:type="dxa" w:w="4759"/>
            <w:shd w:val="clear" w:color="auto" w:fill="E8F8F5"/>
          </w:tcPr>
          <w:p>
            <w:r>
              <w:rPr>
                <w:rFonts w:ascii="Calibri" w:hAnsi="Calibri"/>
                <w:b/>
                <w:i w:val="0"/>
                <w:color w:val="0B1F3A"/>
                <w:sz w:val="18"/>
              </w:rPr>
              <w:t>LOS API (Loan Origination System)</w:t>
            </w:r>
          </w:p>
        </w:tc>
        <w:tc>
          <w:tcPr>
            <w:tcW w:type="dxa" w:w="4759"/>
          </w:tcPr>
          <w:p>
            <w:r>
              <w:rPr>
                <w:rFonts w:ascii="Calibri" w:hAnsi="Calibri"/>
                <w:b w:val="0"/>
                <w:i w:val="0"/>
                <w:sz w:val="18"/>
              </w:rPr>
              <w:t>REST · bidirectional sync · status webhooks</w:t>
            </w:r>
          </w:p>
        </w:tc>
      </w:tr>
      <w:tr>
        <w:tc>
          <w:tcPr>
            <w:tcW w:type="dxa" w:w="4759"/>
            <w:shd w:val="clear" w:color="auto" w:fill="E8F8F5"/>
          </w:tcPr>
          <w:p>
            <w:r>
              <w:rPr>
                <w:rFonts w:ascii="Calibri" w:hAnsi="Calibri"/>
                <w:b/>
                <w:i w:val="0"/>
                <w:color w:val="0B1F3A"/>
                <w:sz w:val="18"/>
              </w:rPr>
              <w:t>Irish Open Banking — AIB</w:t>
            </w:r>
          </w:p>
        </w:tc>
        <w:tc>
          <w:tcPr>
            <w:tcW w:type="dxa" w:w="4759"/>
          </w:tcPr>
          <w:p>
            <w:r>
              <w:rPr>
                <w:rFonts w:ascii="Calibri" w:hAnsi="Calibri"/>
                <w:b w:val="0"/>
                <w:i w:val="0"/>
                <w:sz w:val="18"/>
              </w:rPr>
              <w:t>PSD2/AISP · 24-month transaction history</w:t>
            </w:r>
          </w:p>
        </w:tc>
      </w:tr>
      <w:tr>
        <w:tc>
          <w:tcPr>
            <w:tcW w:type="dxa" w:w="4759"/>
            <w:shd w:val="clear" w:color="auto" w:fill="E8F8F5"/>
          </w:tcPr>
          <w:p>
            <w:r>
              <w:rPr>
                <w:rFonts w:ascii="Calibri" w:hAnsi="Calibri"/>
                <w:b/>
                <w:i w:val="0"/>
                <w:color w:val="0B1F3A"/>
                <w:sz w:val="18"/>
              </w:rPr>
              <w:t>Irish Open Banking — Bank of Ireland</w:t>
            </w:r>
          </w:p>
        </w:tc>
        <w:tc>
          <w:tcPr>
            <w:tcW w:type="dxa" w:w="4759"/>
          </w:tcPr>
          <w:p>
            <w:r>
              <w:rPr>
                <w:rFonts w:ascii="Calibri" w:hAnsi="Calibri"/>
                <w:b w:val="0"/>
                <w:i w:val="0"/>
                <w:sz w:val="18"/>
              </w:rPr>
              <w:t>PSD2/AISP · BOI Open Finance certified</w:t>
            </w:r>
          </w:p>
        </w:tc>
      </w:tr>
      <w:tr>
        <w:tc>
          <w:tcPr>
            <w:tcW w:type="dxa" w:w="4759"/>
            <w:shd w:val="clear" w:color="auto" w:fill="E8F8F5"/>
          </w:tcPr>
          <w:p>
            <w:r>
              <w:rPr>
                <w:rFonts w:ascii="Calibri" w:hAnsi="Calibri"/>
                <w:b/>
                <w:i w:val="0"/>
                <w:color w:val="0B1F3A"/>
                <w:sz w:val="18"/>
              </w:rPr>
              <w:t>Irish Open Banking — PTSB</w:t>
            </w:r>
          </w:p>
        </w:tc>
        <w:tc>
          <w:tcPr>
            <w:tcW w:type="dxa" w:w="4759"/>
          </w:tcPr>
          <w:p>
            <w:r>
              <w:rPr>
                <w:rFonts w:ascii="Calibri" w:hAnsi="Calibri"/>
                <w:b w:val="0"/>
                <w:i w:val="0"/>
                <w:sz w:val="18"/>
              </w:rPr>
              <w:t>PSD2/AISP · Permanent TSB Open Banking</w:t>
            </w:r>
          </w:p>
        </w:tc>
      </w:tr>
      <w:tr>
        <w:tc>
          <w:tcPr>
            <w:tcW w:type="dxa" w:w="4759"/>
            <w:shd w:val="clear" w:color="auto" w:fill="E8F8F5"/>
          </w:tcPr>
          <w:p>
            <w:r>
              <w:rPr>
                <w:rFonts w:ascii="Calibri" w:hAnsi="Calibri"/>
                <w:b/>
                <w:i w:val="0"/>
                <w:color w:val="0B1F3A"/>
                <w:sz w:val="18"/>
              </w:rPr>
              <w:t>CRO (Companies Registration Office)</w:t>
            </w:r>
          </w:p>
        </w:tc>
        <w:tc>
          <w:tcPr>
            <w:tcW w:type="dxa" w:w="4759"/>
          </w:tcPr>
          <w:p>
            <w:r>
              <w:rPr>
                <w:rFonts w:ascii="Calibri" w:hAnsi="Calibri"/>
                <w:b w:val="0"/>
                <w:i w:val="0"/>
                <w:sz w:val="18"/>
              </w:rPr>
              <w:t>Company search · director registry · filings</w:t>
            </w:r>
          </w:p>
        </w:tc>
      </w:tr>
      <w:tr>
        <w:tc>
          <w:tcPr>
            <w:tcW w:type="dxa" w:w="4759"/>
            <w:shd w:val="clear" w:color="auto" w:fill="E8F8F5"/>
          </w:tcPr>
          <w:p>
            <w:r>
              <w:rPr>
                <w:rFonts w:ascii="Calibri" w:hAnsi="Calibri"/>
                <w:b/>
                <w:i w:val="0"/>
                <w:color w:val="0B1F3A"/>
                <w:sz w:val="18"/>
              </w:rPr>
              <w:t>ROS (Revenue Online Service)</w:t>
            </w:r>
          </w:p>
        </w:tc>
        <w:tc>
          <w:tcPr>
            <w:tcW w:type="dxa" w:w="4759"/>
          </w:tcPr>
          <w:p>
            <w:r>
              <w:rPr>
                <w:rFonts w:ascii="Calibri" w:hAnsi="Calibri"/>
                <w:b w:val="0"/>
                <w:i w:val="0"/>
                <w:sz w:val="18"/>
              </w:rPr>
              <w:t>Tax clearance verify · VAT/PAYE/CT status</w:t>
            </w:r>
          </w:p>
        </w:tc>
      </w:tr>
      <w:tr>
        <w:tc>
          <w:tcPr>
            <w:tcW w:type="dxa" w:w="4759"/>
            <w:shd w:val="clear" w:color="auto" w:fill="E8F8F5"/>
          </w:tcPr>
          <w:p>
            <w:r>
              <w:rPr>
                <w:rFonts w:ascii="Calibri" w:hAnsi="Calibri"/>
                <w:b/>
                <w:i w:val="0"/>
                <w:color w:val="0B1F3A"/>
                <w:sz w:val="18"/>
              </w:rPr>
              <w:t>Credit Bureau — ICB (Ireland)</w:t>
            </w:r>
          </w:p>
        </w:tc>
        <w:tc>
          <w:tcPr>
            <w:tcW w:type="dxa" w:w="4759"/>
          </w:tcPr>
          <w:p>
            <w:r>
              <w:rPr>
                <w:rFonts w:ascii="Calibri" w:hAnsi="Calibri"/>
                <w:b w:val="0"/>
                <w:i w:val="0"/>
                <w:sz w:val="18"/>
              </w:rPr>
              <w:t>Pull &amp; furnish · ICB local schema</w:t>
            </w:r>
          </w:p>
        </w:tc>
      </w:tr>
      <w:tr>
        <w:tc>
          <w:tcPr>
            <w:tcW w:type="dxa" w:w="4759"/>
            <w:shd w:val="clear" w:color="auto" w:fill="E8F8F5"/>
          </w:tcPr>
          <w:p>
            <w:r>
              <w:rPr>
                <w:rFonts w:ascii="Calibri" w:hAnsi="Calibri"/>
                <w:b/>
                <w:i w:val="0"/>
                <w:color w:val="0B1F3A"/>
                <w:sz w:val="18"/>
              </w:rPr>
              <w:t>Credit Bureau — Experian/Equifax/TransUnion</w:t>
            </w:r>
          </w:p>
        </w:tc>
        <w:tc>
          <w:tcPr>
            <w:tcW w:type="dxa" w:w="4759"/>
          </w:tcPr>
          <w:p>
            <w:r>
              <w:rPr>
                <w:rFonts w:ascii="Calibri" w:hAnsi="Calibri"/>
                <w:b w:val="0"/>
                <w:i w:val="0"/>
                <w:sz w:val="18"/>
              </w:rPr>
              <w:t>UK CAIS format · configurable</w:t>
            </w:r>
          </w:p>
        </w:tc>
      </w:tr>
    </w:tbl>
    <w:p>
      <w:pPr>
        <w:spacing w:before="200" w:after="80"/>
      </w:pPr>
      <w:r>
        <w:rPr>
          <w:rFonts w:ascii="Calibri" w:hAnsi="Calibri"/>
          <w:b/>
          <w:i w:val="0"/>
          <w:color w:val="1A1A2E"/>
          <w:sz w:val="20"/>
        </w:rPr>
        <w:t>API &amp; Data Export Card:</w:t>
      </w:r>
    </w:p>
    <w:tbl>
      <w:tblPr>
        <w:tblStyle w:val="TableGrid"/>
        <w:tblW w:type="auto" w:w="0"/>
        <w:jc w:val="left"/>
        <w:tblLook w:firstColumn="1" w:firstRow="1" w:lastColumn="0" w:lastRow="0" w:noHBand="0" w:noVBand="1" w:val="04A0"/>
      </w:tblPr>
      <w:tblGrid>
        <w:gridCol w:w="4759"/>
        <w:gridCol w:w="4759"/>
      </w:tblGrid>
      <w:tr>
        <w:tc>
          <w:tcPr>
            <w:tcW w:type="dxa" w:w="3600"/>
            <w:shd w:val="clear" w:color="auto" w:fill="0B1F3A"/>
          </w:tcPr>
          <w:p>
            <w:pPr>
              <w:jc w:val="left"/>
            </w:pPr>
            <w:r>
              <w:rPr>
                <w:rFonts w:ascii="Calibri" w:hAnsi="Calibri"/>
                <w:b/>
                <w:i w:val="0"/>
                <w:color w:val="FFFFFF"/>
                <w:sz w:val="18"/>
              </w:rPr>
              <w:t>Capability</w:t>
            </w:r>
          </w:p>
        </w:tc>
        <w:tc>
          <w:tcPr>
            <w:tcW w:type="dxa" w:w="5760"/>
            <w:shd w:val="clear" w:color="auto" w:fill="0B1F3A"/>
          </w:tcPr>
          <w:p>
            <w:pPr>
              <w:jc w:val="left"/>
            </w:pPr>
            <w:r>
              <w:rPr>
                <w:rFonts w:ascii="Calibri" w:hAnsi="Calibri"/>
                <w:b/>
                <w:i w:val="0"/>
                <w:color w:val="FFFFFF"/>
                <w:sz w:val="18"/>
              </w:rPr>
              <w:t>Detail</w:t>
            </w:r>
          </w:p>
        </w:tc>
      </w:tr>
      <w:tr>
        <w:tc>
          <w:tcPr>
            <w:tcW w:type="dxa" w:w="4759"/>
            <w:shd w:val="clear" w:color="auto" w:fill="F0F6FA"/>
          </w:tcPr>
          <w:p>
            <w:r>
              <w:rPr>
                <w:rFonts w:ascii="Calibri" w:hAnsi="Calibri"/>
                <w:b/>
                <w:i w:val="0"/>
                <w:color w:val="0B1F3A"/>
                <w:sz w:val="18"/>
              </w:rPr>
              <w:t>REST API</w:t>
            </w:r>
          </w:p>
        </w:tc>
        <w:tc>
          <w:tcPr>
            <w:tcW w:type="dxa" w:w="4759"/>
          </w:tcPr>
          <w:p>
            <w:r>
              <w:rPr>
                <w:rFonts w:ascii="Calibri" w:hAnsi="Calibri"/>
                <w:b w:val="0"/>
                <w:i w:val="0"/>
                <w:sz w:val="18"/>
              </w:rPr>
              <w:t>Full CRUD · OpenAPI 3.1 spec · sandbox available</w:t>
            </w:r>
          </w:p>
        </w:tc>
      </w:tr>
      <w:tr>
        <w:tc>
          <w:tcPr>
            <w:tcW w:type="dxa" w:w="4759"/>
            <w:shd w:val="clear" w:color="auto" w:fill="F0F6FA"/>
          </w:tcPr>
          <w:p>
            <w:r>
              <w:rPr>
                <w:rFonts w:ascii="Calibri" w:hAnsi="Calibri"/>
                <w:b/>
                <w:i w:val="0"/>
                <w:color w:val="0B1F3A"/>
                <w:sz w:val="18"/>
              </w:rPr>
              <w:t>Webhooks</w:t>
            </w:r>
          </w:p>
        </w:tc>
        <w:tc>
          <w:tcPr>
            <w:tcW w:type="dxa" w:w="4759"/>
          </w:tcPr>
          <w:p>
            <w:r>
              <w:rPr>
                <w:rFonts w:ascii="Calibri" w:hAnsi="Calibri"/>
                <w:b w:val="0"/>
                <w:i w:val="0"/>
                <w:sz w:val="18"/>
              </w:rPr>
              <w:t>Event-driven · decision, status, document events</w:t>
            </w:r>
          </w:p>
        </w:tc>
      </w:tr>
      <w:tr>
        <w:tc>
          <w:tcPr>
            <w:tcW w:type="dxa" w:w="4759"/>
            <w:shd w:val="clear" w:color="auto" w:fill="F0F6FA"/>
          </w:tcPr>
          <w:p>
            <w:r>
              <w:rPr>
                <w:rFonts w:ascii="Calibri" w:hAnsi="Calibri"/>
                <w:b/>
                <w:i w:val="0"/>
                <w:color w:val="0B1F3A"/>
                <w:sz w:val="18"/>
              </w:rPr>
              <w:t>Data Warehouse Export</w:t>
            </w:r>
          </w:p>
        </w:tc>
        <w:tc>
          <w:tcPr>
            <w:tcW w:type="dxa" w:w="4759"/>
          </w:tcPr>
          <w:p>
            <w:r>
              <w:rPr>
                <w:rFonts w:ascii="Calibri" w:hAnsi="Calibri"/>
                <w:b w:val="0"/>
                <w:i w:val="0"/>
                <w:sz w:val="18"/>
              </w:rPr>
              <w:t>Nightly delta exports · Parquet/CSV · S3/Azure Blob</w:t>
            </w:r>
          </w:p>
        </w:tc>
      </w:tr>
      <w:tr>
        <w:tc>
          <w:tcPr>
            <w:tcW w:type="dxa" w:w="4759"/>
            <w:shd w:val="clear" w:color="auto" w:fill="F0F6FA"/>
          </w:tcPr>
          <w:p>
            <w:r>
              <w:rPr>
                <w:rFonts w:ascii="Calibri" w:hAnsi="Calibri"/>
                <w:b/>
                <w:i w:val="0"/>
                <w:color w:val="0B1F3A"/>
                <w:sz w:val="18"/>
              </w:rPr>
              <w:t>BI Connector</w:t>
            </w:r>
          </w:p>
        </w:tc>
        <w:tc>
          <w:tcPr>
            <w:tcW w:type="dxa" w:w="4759"/>
          </w:tcPr>
          <w:p>
            <w:r>
              <w:rPr>
                <w:rFonts w:ascii="Calibri" w:hAnsi="Calibri"/>
                <w:b w:val="0"/>
                <w:i w:val="0"/>
                <w:sz w:val="18"/>
              </w:rPr>
              <w:t>Power BI &amp; Tableau certified connectors</w:t>
            </w:r>
          </w:p>
        </w:tc>
      </w:tr>
      <w:tr>
        <w:tc>
          <w:tcPr>
            <w:tcW w:type="dxa" w:w="4759"/>
            <w:shd w:val="clear" w:color="auto" w:fill="F0F6FA"/>
          </w:tcPr>
          <w:p>
            <w:r>
              <w:rPr>
                <w:rFonts w:ascii="Calibri" w:hAnsi="Calibri"/>
                <w:b/>
                <w:i w:val="0"/>
                <w:color w:val="0B1F3A"/>
                <w:sz w:val="18"/>
              </w:rPr>
              <w:t>Evidence Pack Export</w:t>
            </w:r>
          </w:p>
        </w:tc>
        <w:tc>
          <w:tcPr>
            <w:tcW w:type="dxa" w:w="4759"/>
          </w:tcPr>
          <w:p>
            <w:r>
              <w:rPr>
                <w:rFonts w:ascii="Calibri" w:hAnsi="Calibri"/>
                <w:b w:val="0"/>
                <w:i w:val="0"/>
                <w:sz w:val="18"/>
              </w:rPr>
              <w:t>Structured PDF · machine-readable JSON alongside</w:t>
            </w:r>
          </w:p>
        </w:tc>
      </w:tr>
      <w:tr>
        <w:tc>
          <w:tcPr>
            <w:tcW w:type="dxa" w:w="4759"/>
            <w:shd w:val="clear" w:color="auto" w:fill="F0F6FA"/>
          </w:tcPr>
          <w:p>
            <w:r>
              <w:rPr>
                <w:rFonts w:ascii="Calibri" w:hAnsi="Calibri"/>
                <w:b/>
                <w:i w:val="0"/>
                <w:color w:val="0B1F3A"/>
                <w:sz w:val="18"/>
              </w:rPr>
              <w:t>SFTP / Batch</w:t>
            </w:r>
          </w:p>
        </w:tc>
        <w:tc>
          <w:tcPr>
            <w:tcW w:type="dxa" w:w="4759"/>
          </w:tcPr>
          <w:p>
            <w:r>
              <w:rPr>
                <w:rFonts w:ascii="Calibri" w:hAnsi="Calibri"/>
                <w:b w:val="0"/>
                <w:i w:val="0"/>
                <w:sz w:val="18"/>
              </w:rPr>
              <w:t>Scheduled bulk file drops for legacy LOS integrations</w:t>
            </w:r>
          </w:p>
        </w:tc>
      </w:tr>
      <w:tr>
        <w:tc>
          <w:tcPr>
            <w:tcW w:type="dxa" w:w="4759"/>
            <w:shd w:val="clear" w:color="auto" w:fill="F0F6FA"/>
          </w:tcPr>
          <w:p>
            <w:r>
              <w:rPr>
                <w:rFonts w:ascii="Calibri" w:hAnsi="Calibri"/>
                <w:b/>
                <w:i w:val="0"/>
                <w:color w:val="0B1F3A"/>
                <w:sz w:val="18"/>
              </w:rPr>
              <w:t>Private Deployment</w:t>
            </w:r>
          </w:p>
        </w:tc>
        <w:tc>
          <w:tcPr>
            <w:tcW w:type="dxa" w:w="4759"/>
          </w:tcPr>
          <w:p>
            <w:r>
              <w:rPr>
                <w:rFonts w:ascii="Calibri" w:hAnsi="Calibri"/>
                <w:b w:val="0"/>
                <w:i w:val="0"/>
                <w:sz w:val="18"/>
              </w:rPr>
              <w:t>On-premise or dedicated cloud · full API parity</w:t>
            </w:r>
          </w:p>
        </w:tc>
      </w:tr>
      <w:tr>
        <w:tc>
          <w:tcPr>
            <w:tcW w:type="dxa" w:w="4759"/>
            <w:shd w:val="clear" w:color="auto" w:fill="F0F6FA"/>
          </w:tcPr>
          <w:p>
            <w:r>
              <w:rPr>
                <w:rFonts w:ascii="Calibri" w:hAnsi="Calibri"/>
                <w:b/>
                <w:i w:val="0"/>
                <w:color w:val="0B1F3A"/>
                <w:sz w:val="18"/>
              </w:rPr>
              <w:t>API Authentication</w:t>
            </w:r>
          </w:p>
        </w:tc>
        <w:tc>
          <w:tcPr>
            <w:tcW w:type="dxa" w:w="4759"/>
          </w:tcPr>
          <w:p>
            <w:r>
              <w:rPr>
                <w:rFonts w:ascii="Calibri" w:hAnsi="Calibri"/>
                <w:b w:val="0"/>
                <w:i w:val="0"/>
                <w:sz w:val="18"/>
              </w:rPr>
              <w:t>OAuth 2.0 / mTLS · per-tenant credentials</w:t>
            </w:r>
          </w:p>
        </w:tc>
      </w:tr>
    </w:tbl>
    <w:p/>
    <w:p>
      <w:pPr>
        <w:spacing w:before="80" w:after="80"/>
        <w:pBdr>
          <w:bottom w:val="single" w:sz="6" w:color="00A896"/>
        </w:pBdr>
      </w:pPr>
    </w:p>
    <w:p>
      <w:pPr>
        <w:spacing w:before="160" w:after="80"/>
      </w:pPr>
      <w:r>
        <w:rPr>
          <w:rFonts w:ascii="Calibri" w:hAnsi="Calibri"/>
          <w:b/>
          <w:color w:val="0B1F3A"/>
          <w:sz w:val="28"/>
        </w:rPr>
        <w:t>6. Files Changed (v3.0 → v4.0)</w:t>
      </w:r>
    </w:p>
    <w:tbl>
      <w:tblPr>
        <w:tblStyle w:val="TableGrid"/>
        <w:tblW w:type="auto" w:w="0"/>
        <w:jc w:val="left"/>
        <w:tblLook w:firstColumn="1" w:firstRow="1" w:lastColumn="0" w:lastRow="0" w:noHBand="0" w:noVBand="1" w:val="04A0"/>
      </w:tblPr>
      <w:tblGrid>
        <w:gridCol w:w="3173"/>
        <w:gridCol w:w="3173"/>
        <w:gridCol w:w="3173"/>
      </w:tblGrid>
      <w:tr>
        <w:tc>
          <w:tcPr>
            <w:tcW w:type="dxa" w:w="2160"/>
            <w:shd w:val="clear" w:color="auto" w:fill="0B1F3A"/>
          </w:tcPr>
          <w:p>
            <w:pPr>
              <w:jc w:val="left"/>
            </w:pPr>
            <w:r>
              <w:rPr>
                <w:rFonts w:ascii="Calibri" w:hAnsi="Calibri"/>
                <w:b/>
                <w:i w:val="0"/>
                <w:color w:val="FFFFFF"/>
                <w:sz w:val="18"/>
              </w:rPr>
              <w:t>File</w:t>
            </w:r>
          </w:p>
        </w:tc>
        <w:tc>
          <w:tcPr>
            <w:tcW w:type="dxa" w:w="1440"/>
            <w:shd w:val="clear" w:color="auto" w:fill="0B1F3A"/>
          </w:tcPr>
          <w:p>
            <w:pPr>
              <w:jc w:val="left"/>
            </w:pPr>
            <w:r>
              <w:rPr>
                <w:rFonts w:ascii="Calibri" w:hAnsi="Calibri"/>
                <w:b/>
                <w:i w:val="0"/>
                <w:color w:val="FFFFFF"/>
                <w:sz w:val="18"/>
              </w:rPr>
              <w:t>Status</w:t>
            </w:r>
          </w:p>
        </w:tc>
        <w:tc>
          <w:tcPr>
            <w:tcW w:type="dxa" w:w="5760"/>
            <w:shd w:val="clear" w:color="auto" w:fill="0B1F3A"/>
          </w:tcPr>
          <w:p>
            <w:pPr>
              <w:jc w:val="left"/>
            </w:pPr>
            <w:r>
              <w:rPr>
                <w:rFonts w:ascii="Calibri" w:hAnsi="Calibri"/>
                <w:b/>
                <w:i w:val="0"/>
                <w:color w:val="FFFFFF"/>
                <w:sz w:val="18"/>
              </w:rPr>
              <w:t>Changes</w:t>
            </w:r>
          </w:p>
        </w:tc>
      </w:tr>
      <w:tr>
        <w:tc>
          <w:tcPr>
            <w:tcW w:type="dxa" w:w="3173"/>
            <w:shd w:val="clear" w:color="auto" w:fill="E8F8F5"/>
          </w:tcPr>
          <w:p>
            <w:r>
              <w:rPr>
                <w:rFonts w:ascii="Calibri" w:hAnsi="Calibri"/>
                <w:b/>
                <w:i w:val="0"/>
                <w:color w:val="0B1F3A"/>
                <w:sz w:val="18"/>
              </w:rPr>
              <w:t>index.html</w:t>
            </w:r>
          </w:p>
        </w:tc>
        <w:tc>
          <w:tcPr>
            <w:tcW w:type="dxa" w:w="3173"/>
          </w:tcPr>
          <w:p>
            <w:r>
              <w:rPr>
                <w:rFonts w:ascii="Calibri" w:hAnsi="Calibri"/>
                <w:b/>
                <w:i w:val="0"/>
                <w:color w:val="F5A623"/>
                <w:sz w:val="18"/>
              </w:rPr>
              <w:t>MODIFIED</w:t>
            </w:r>
          </w:p>
        </w:tc>
        <w:tc>
          <w:tcPr>
            <w:tcW w:type="dxa" w:w="3173"/>
          </w:tcPr>
          <w:p>
            <w:r>
              <w:rPr>
                <w:rFonts w:ascii="Calibri" w:hAnsi="Calibri"/>
                <w:b w:val="0"/>
                <w:i w:val="0"/>
                <w:sz w:val="18"/>
              </w:rPr>
              <w:t>+89 lines / -5 lines. All changes implemented directly in index.html: Open Banking tab (BOI/PTSB cards), Compliance Dashboard (SEAR, FCA, Art.11 docs, VDD pack), Architecture view (Geographic Coverage section, Integrations &amp; API Layer section). Title updated from v2.0 to v2.1.</w:t>
            </w:r>
          </w:p>
        </w:tc>
      </w:tr>
      <w:tr>
        <w:tc>
          <w:tcPr>
            <w:tcW w:type="dxa" w:w="3173"/>
            <w:shd w:val="clear" w:color="auto" w:fill="E8F8F5"/>
          </w:tcPr>
          <w:p>
            <w:r>
              <w:rPr>
                <w:rFonts w:ascii="Calibri" w:hAnsi="Calibri"/>
                <w:b/>
                <w:i w:val="0"/>
                <w:color w:val="0B1F3A"/>
                <w:sz w:val="18"/>
              </w:rPr>
              <w:t>generate_v4_changelog_docx.py</w:t>
            </w:r>
          </w:p>
        </w:tc>
        <w:tc>
          <w:tcPr>
            <w:tcW w:type="dxa" w:w="3173"/>
          </w:tcPr>
          <w:p>
            <w:r>
              <w:rPr>
                <w:rFonts w:ascii="Calibri" w:hAnsi="Calibri"/>
                <w:b/>
                <w:i w:val="0"/>
                <w:color w:val="00A896"/>
                <w:sz w:val="18"/>
              </w:rPr>
              <w:t>NEW</w:t>
            </w:r>
          </w:p>
        </w:tc>
        <w:tc>
          <w:tcPr>
            <w:tcW w:type="dxa" w:w="3173"/>
          </w:tcPr>
          <w:p>
            <w:r>
              <w:rPr>
                <w:rFonts w:ascii="Calibri" w:hAnsi="Calibri"/>
                <w:b w:val="0"/>
                <w:i w:val="0"/>
                <w:sz w:val="18"/>
              </w:rPr>
              <w:t>This changelog generation script — documents all v3.0 → v4.0 changes.</w:t>
            </w:r>
          </w:p>
        </w:tc>
      </w:tr>
      <w:tr>
        <w:tc>
          <w:tcPr>
            <w:tcW w:type="dxa" w:w="3173"/>
            <w:shd w:val="clear" w:color="auto" w:fill="E8F8F5"/>
          </w:tcPr>
          <w:p>
            <w:r>
              <w:rPr>
                <w:rFonts w:ascii="Calibri" w:hAnsi="Calibri"/>
                <w:b/>
                <w:i w:val="0"/>
                <w:color w:val="0B1F3A"/>
                <w:sz w:val="18"/>
              </w:rPr>
              <w:t>FinPal_V4_Changelog.docx</w:t>
            </w:r>
          </w:p>
        </w:tc>
        <w:tc>
          <w:tcPr>
            <w:tcW w:type="dxa" w:w="3173"/>
          </w:tcPr>
          <w:p>
            <w:r>
              <w:rPr>
                <w:rFonts w:ascii="Calibri" w:hAnsi="Calibri"/>
                <w:b/>
                <w:i w:val="0"/>
                <w:color w:val="00A896"/>
                <w:sz w:val="18"/>
              </w:rPr>
              <w:t>NEW</w:t>
            </w:r>
          </w:p>
        </w:tc>
        <w:tc>
          <w:tcPr>
            <w:tcW w:type="dxa" w:w="3173"/>
          </w:tcPr>
          <w:p>
            <w:r>
              <w:rPr>
                <w:rFonts w:ascii="Calibri" w:hAnsi="Calibri"/>
                <w:b w:val="0"/>
                <w:i w:val="0"/>
                <w:sz w:val="18"/>
              </w:rPr>
              <w:t>Output of this script — the compiled changelog document.</w:t>
            </w:r>
          </w:p>
        </w:tc>
      </w:tr>
    </w:tbl>
    <w:p/>
    <w:p>
      <w:pPr>
        <w:spacing w:before="80" w:after="80"/>
        <w:pBdr>
          <w:bottom w:val="single" w:sz="6" w:color="00A896"/>
        </w:pBdr>
      </w:pPr>
    </w:p>
    <w:p>
      <w:pPr>
        <w:spacing w:before="160" w:after="80"/>
      </w:pPr>
      <w:r>
        <w:rPr>
          <w:rFonts w:ascii="Calibri" w:hAnsi="Calibri"/>
          <w:b/>
          <w:color w:val="0B1F3A"/>
          <w:sz w:val="28"/>
        </w:rPr>
        <w:t>7. Complete Feature Coverage Matrix (v4.0)</w:t>
      </w:r>
    </w:p>
    <w:p>
      <w:pPr>
        <w:spacing w:before="40" w:after="120"/>
      </w:pPr>
      <w:r>
        <w:rPr>
          <w:rFonts w:ascii="Calibri" w:hAnsi="Calibri"/>
          <w:b w:val="0"/>
          <w:i w:val="0"/>
          <w:color w:val="1A1A2E"/>
          <w:sz w:val="21"/>
        </w:rPr>
        <w:t>The following matrix confirms complete coverage of all required features in FinPal v4.0:</w:t>
      </w:r>
    </w:p>
    <w:tbl>
      <w:tblPr>
        <w:tblStyle w:val="TableGrid"/>
        <w:tblW w:type="auto" w:w="0"/>
        <w:jc w:val="left"/>
        <w:tblLook w:firstColumn="1" w:firstRow="1" w:lastColumn="0" w:lastRow="0" w:noHBand="0" w:noVBand="1" w:val="04A0"/>
      </w:tblPr>
      <w:tblGrid>
        <w:gridCol w:w="2379"/>
        <w:gridCol w:w="2379"/>
        <w:gridCol w:w="2379"/>
        <w:gridCol w:w="2379"/>
      </w:tblGrid>
      <w:tr>
        <w:tc>
          <w:tcPr>
            <w:tcW w:type="dxa" w:w="1584"/>
            <w:shd w:val="clear" w:color="auto" w:fill="0B1F3A"/>
          </w:tcPr>
          <w:p>
            <w:pPr>
              <w:jc w:val="left"/>
            </w:pPr>
            <w:r>
              <w:rPr>
                <w:rFonts w:ascii="Calibri" w:hAnsi="Calibri"/>
                <w:b/>
                <w:i w:val="0"/>
                <w:color w:val="FFFFFF"/>
                <w:sz w:val="18"/>
              </w:rPr>
              <w:t>Category</w:t>
            </w:r>
          </w:p>
        </w:tc>
        <w:tc>
          <w:tcPr>
            <w:tcW w:type="dxa" w:w="2880"/>
            <w:shd w:val="clear" w:color="auto" w:fill="0B1F3A"/>
          </w:tcPr>
          <w:p>
            <w:pPr>
              <w:jc w:val="left"/>
            </w:pPr>
            <w:r>
              <w:rPr>
                <w:rFonts w:ascii="Calibri" w:hAnsi="Calibri"/>
                <w:b/>
                <w:i w:val="0"/>
                <w:color w:val="FFFFFF"/>
                <w:sz w:val="18"/>
              </w:rPr>
              <w:t>Feature</w:t>
            </w:r>
          </w:p>
        </w:tc>
        <w:tc>
          <w:tcPr>
            <w:tcW w:type="dxa" w:w="1224"/>
            <w:shd w:val="clear" w:color="auto" w:fill="0B1F3A"/>
          </w:tcPr>
          <w:p>
            <w:pPr>
              <w:jc w:val="left"/>
            </w:pPr>
            <w:r>
              <w:rPr>
                <w:rFonts w:ascii="Calibri" w:hAnsi="Calibri"/>
                <w:b/>
                <w:i w:val="0"/>
                <w:color w:val="FFFFFF"/>
                <w:sz w:val="18"/>
              </w:rPr>
              <w:t>Status</w:t>
            </w:r>
          </w:p>
        </w:tc>
        <w:tc>
          <w:tcPr>
            <w:tcW w:type="dxa" w:w="3672"/>
            <w:shd w:val="clear" w:color="auto" w:fill="0B1F3A"/>
          </w:tcPr>
          <w:p>
            <w:pPr>
              <w:jc w:val="left"/>
            </w:pPr>
            <w:r>
              <w:rPr>
                <w:rFonts w:ascii="Calibri" w:hAnsi="Calibri"/>
                <w:b/>
                <w:i w:val="0"/>
                <w:color w:val="FFFFFF"/>
                <w:sz w:val="18"/>
              </w:rPr>
              <w:t>Notes</w:t>
            </w:r>
          </w:p>
        </w:tc>
      </w:tr>
      <w:tr>
        <w:tc>
          <w:tcPr>
            <w:tcW w:type="dxa" w:w="2379"/>
            <w:shd w:val="clear" w:color="auto" w:fill="E8F8F5"/>
          </w:tcPr>
          <w:p>
            <w:r>
              <w:rPr>
                <w:rFonts w:ascii="Calibri" w:hAnsi="Calibri"/>
                <w:b/>
                <w:i w:val="0"/>
                <w:color w:val="0B1F3A"/>
                <w:sz w:val="17"/>
              </w:rPr>
              <w:t>Core Product</w:t>
            </w:r>
          </w:p>
        </w:tc>
        <w:tc>
          <w:tcPr>
            <w:tcW w:type="dxa" w:w="2379"/>
          </w:tcPr>
          <w:p>
            <w:r>
              <w:rPr>
                <w:rFonts w:ascii="Calibri" w:hAnsi="Calibri"/>
                <w:b w:val="0"/>
                <w:i w:val="0"/>
                <w:sz w:val="18"/>
              </w:rPr>
              <w:t>AI-Powered Underwriting Automation</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PD/LGD/EAD models, SHAP, HITL decision gate</w:t>
            </w:r>
          </w:p>
        </w:tc>
      </w:tr>
      <w:tr>
        <w:tc>
          <w:tcPr>
            <w:tcW w:type="dxa" w:w="2379"/>
            <w:shd w:val="clear" w:color="auto" w:fill="E8F8F5"/>
          </w:tcPr>
          <w:p>
            <w:r>
              <w:rPr>
                <w:rFonts w:ascii="Calibri" w:hAnsi="Calibri"/>
                <w:b/>
                <w:i w:val="0"/>
                <w:color w:val="0B1F3A"/>
                <w:sz w:val="17"/>
              </w:rPr>
              <w:t>Core Product</w:t>
            </w:r>
          </w:p>
        </w:tc>
        <w:tc>
          <w:tcPr>
            <w:tcW w:type="dxa" w:w="2379"/>
          </w:tcPr>
          <w:p>
            <w:r>
              <w:rPr>
                <w:rFonts w:ascii="Calibri" w:hAnsi="Calibri"/>
                <w:b w:val="0"/>
                <w:i w:val="0"/>
                <w:sz w:val="18"/>
              </w:rPr>
              <w:t>Document Ingestion &amp; OCR</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IDP pipeline, OCR extraction, NER, authenticity signals</w:t>
            </w:r>
          </w:p>
        </w:tc>
      </w:tr>
      <w:tr>
        <w:tc>
          <w:tcPr>
            <w:tcW w:type="dxa" w:w="2379"/>
            <w:shd w:val="clear" w:color="auto" w:fill="E8F8F5"/>
          </w:tcPr>
          <w:p>
            <w:r>
              <w:rPr>
                <w:rFonts w:ascii="Calibri" w:hAnsi="Calibri"/>
                <w:b/>
                <w:i w:val="0"/>
                <w:color w:val="0B1F3A"/>
                <w:sz w:val="17"/>
              </w:rPr>
              <w:t>Core Product</w:t>
            </w:r>
          </w:p>
        </w:tc>
        <w:tc>
          <w:tcPr>
            <w:tcW w:type="dxa" w:w="2379"/>
          </w:tcPr>
          <w:p>
            <w:r>
              <w:rPr>
                <w:rFonts w:ascii="Calibri" w:hAnsi="Calibri"/>
                <w:b w:val="0"/>
                <w:i w:val="0"/>
                <w:sz w:val="18"/>
              </w:rPr>
              <w:t>Open Banking Integration</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AIB / BOI / PTSB — PSD2/AISP, 24-month history</w:t>
            </w:r>
          </w:p>
        </w:tc>
      </w:tr>
      <w:tr>
        <w:tc>
          <w:tcPr>
            <w:tcW w:type="dxa" w:w="2379"/>
            <w:shd w:val="clear" w:color="auto" w:fill="E8F8F5"/>
          </w:tcPr>
          <w:p>
            <w:r>
              <w:rPr>
                <w:rFonts w:ascii="Calibri" w:hAnsi="Calibri"/>
                <w:b/>
                <w:i w:val="0"/>
                <w:color w:val="0B1F3A"/>
                <w:sz w:val="17"/>
              </w:rPr>
              <w:t>Core Product</w:t>
            </w:r>
          </w:p>
        </w:tc>
        <w:tc>
          <w:tcPr>
            <w:tcW w:type="dxa" w:w="2379"/>
          </w:tcPr>
          <w:p>
            <w:r>
              <w:rPr>
                <w:rFonts w:ascii="Calibri" w:hAnsi="Calibri"/>
                <w:b w:val="0"/>
                <w:i w:val="0"/>
                <w:sz w:val="18"/>
              </w:rPr>
              <w:t>Transaction Categorisation</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Revenue, Payroll, Debt Service, Tax categories</w:t>
            </w:r>
          </w:p>
        </w:tc>
      </w:tr>
      <w:tr>
        <w:tc>
          <w:tcPr>
            <w:tcW w:type="dxa" w:w="2379"/>
            <w:shd w:val="clear" w:color="auto" w:fill="E8F8F5"/>
          </w:tcPr>
          <w:p>
            <w:r>
              <w:rPr>
                <w:rFonts w:ascii="Calibri" w:hAnsi="Calibri"/>
                <w:b/>
                <w:i w:val="0"/>
                <w:color w:val="0B1F3A"/>
                <w:sz w:val="17"/>
              </w:rPr>
              <w:t>Core Product</w:t>
            </w:r>
          </w:p>
        </w:tc>
        <w:tc>
          <w:tcPr>
            <w:tcW w:type="dxa" w:w="2379"/>
          </w:tcPr>
          <w:p>
            <w:r>
              <w:rPr>
                <w:rFonts w:ascii="Calibri" w:hAnsi="Calibri"/>
                <w:b w:val="0"/>
                <w:i w:val="0"/>
                <w:sz w:val="18"/>
              </w:rPr>
              <w:t>DSCR / Cash Flow Calculation</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DSCR policy minimum 1.20x, free cash flow p.a.</w:t>
            </w:r>
          </w:p>
        </w:tc>
      </w:tr>
      <w:tr>
        <w:tc>
          <w:tcPr>
            <w:tcW w:type="dxa" w:w="2379"/>
            <w:shd w:val="clear" w:color="auto" w:fill="E8F8F5"/>
          </w:tcPr>
          <w:p>
            <w:r>
              <w:rPr>
                <w:rFonts w:ascii="Calibri" w:hAnsi="Calibri"/>
                <w:b/>
                <w:i w:val="0"/>
                <w:color w:val="0B1F3A"/>
                <w:sz w:val="17"/>
              </w:rPr>
              <w:t>Core Product</w:t>
            </w:r>
          </w:p>
        </w:tc>
        <w:tc>
          <w:tcPr>
            <w:tcW w:type="dxa" w:w="2379"/>
          </w:tcPr>
          <w:p>
            <w:r>
              <w:rPr>
                <w:rFonts w:ascii="Calibri" w:hAnsi="Calibri"/>
                <w:b w:val="0"/>
                <w:i w:val="0"/>
                <w:sz w:val="18"/>
              </w:rPr>
              <w:t>Revenue Reconciliation (declared vs actual)</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Open banking lodgements vs declared, &gt;5% flag</w:t>
            </w:r>
          </w:p>
        </w:tc>
      </w:tr>
      <w:tr>
        <w:tc>
          <w:tcPr>
            <w:tcW w:type="dxa" w:w="2379"/>
            <w:shd w:val="clear" w:color="auto" w:fill="E8F8F5"/>
          </w:tcPr>
          <w:p>
            <w:r>
              <w:rPr>
                <w:rFonts w:ascii="Calibri" w:hAnsi="Calibri"/>
                <w:b/>
                <w:i w:val="0"/>
                <w:color w:val="0B1F3A"/>
                <w:sz w:val="17"/>
              </w:rPr>
              <w:t>Core Product</w:t>
            </w:r>
          </w:p>
        </w:tc>
        <w:tc>
          <w:tcPr>
            <w:tcW w:type="dxa" w:w="2379"/>
          </w:tcPr>
          <w:p>
            <w:r>
              <w:rPr>
                <w:rFonts w:ascii="Calibri" w:hAnsi="Calibri"/>
                <w:b w:val="0"/>
                <w:i w:val="0"/>
                <w:sz w:val="18"/>
              </w:rPr>
              <w:t>Automated Credit Scoring / Decisioning</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A1–C2 risk grades, risk-based pricing (EBA LOM)</w:t>
            </w:r>
          </w:p>
        </w:tc>
      </w:tr>
      <w:tr>
        <w:tc>
          <w:tcPr>
            <w:tcW w:type="dxa" w:w="2379"/>
            <w:shd w:val="clear" w:color="auto" w:fill="E8F8F5"/>
          </w:tcPr>
          <w:p>
            <w:r>
              <w:rPr>
                <w:rFonts w:ascii="Calibri" w:hAnsi="Calibri"/>
                <w:b/>
                <w:i w:val="0"/>
                <w:color w:val="0B1F3A"/>
                <w:sz w:val="17"/>
              </w:rPr>
              <w:t>Core Product</w:t>
            </w:r>
          </w:p>
        </w:tc>
        <w:tc>
          <w:tcPr>
            <w:tcW w:type="dxa" w:w="2379"/>
          </w:tcPr>
          <w:p>
            <w:r>
              <w:rPr>
                <w:rFonts w:ascii="Calibri" w:hAnsi="Calibri"/>
                <w:b w:val="0"/>
                <w:i w:val="0"/>
                <w:sz w:val="18"/>
              </w:rPr>
              <w:t>Decision Support (human-in-the-loop)</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Mandatory underwriter gate, rationale capture</w:t>
            </w:r>
          </w:p>
        </w:tc>
      </w:tr>
      <w:tr>
        <w:tc>
          <w:tcPr>
            <w:tcW w:type="dxa" w:w="2379"/>
            <w:shd w:val="clear" w:color="auto" w:fill="E8F8F5"/>
          </w:tcPr>
          <w:p>
            <w:r>
              <w:rPr>
                <w:rFonts w:ascii="Calibri" w:hAnsi="Calibri"/>
                <w:b/>
                <w:i w:val="0"/>
                <w:color w:val="0B1F3A"/>
                <w:sz w:val="17"/>
              </w:rPr>
              <w:t>Core Product</w:t>
            </w:r>
          </w:p>
        </w:tc>
        <w:tc>
          <w:tcPr>
            <w:tcW w:type="dxa" w:w="2379"/>
          </w:tcPr>
          <w:p>
            <w:r>
              <w:rPr>
                <w:rFonts w:ascii="Calibri" w:hAnsi="Calibri"/>
                <w:b w:val="0"/>
                <w:i w:val="0"/>
                <w:sz w:val="18"/>
              </w:rPr>
              <w:t>Structured Evidence Pack Output</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PDF + JSON export, all source data included</w:t>
            </w:r>
          </w:p>
        </w:tc>
      </w:tr>
      <w:tr>
        <w:tc>
          <w:tcPr>
            <w:tcW w:type="dxa" w:w="2379"/>
            <w:shd w:val="clear" w:color="auto" w:fill="FFF8E7"/>
          </w:tcPr>
          <w:p>
            <w:r>
              <w:rPr>
                <w:rFonts w:ascii="Calibri" w:hAnsi="Calibri"/>
                <w:b/>
                <w:i w:val="0"/>
                <w:color w:val="0B1F3A"/>
                <w:sz w:val="17"/>
              </w:rPr>
              <w:t>Compliance</w:t>
            </w:r>
          </w:p>
        </w:tc>
        <w:tc>
          <w:tcPr>
            <w:tcW w:type="dxa" w:w="2379"/>
          </w:tcPr>
          <w:p>
            <w:r>
              <w:rPr>
                <w:rFonts w:ascii="Calibri" w:hAnsi="Calibri"/>
                <w:b w:val="0"/>
                <w:i w:val="0"/>
                <w:sz w:val="18"/>
              </w:rPr>
              <w:t>GDPR-Native Architecture (EU data residency)</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Art.6/13/22/25/35 controls, PII Vault, DPA</w:t>
            </w:r>
          </w:p>
        </w:tc>
      </w:tr>
      <w:tr>
        <w:tc>
          <w:tcPr>
            <w:tcW w:type="dxa" w:w="2379"/>
            <w:shd w:val="clear" w:color="auto" w:fill="FFF8E7"/>
          </w:tcPr>
          <w:p>
            <w:r>
              <w:rPr>
                <w:rFonts w:ascii="Calibri" w:hAnsi="Calibri"/>
                <w:b/>
                <w:i w:val="0"/>
                <w:color w:val="0B1F3A"/>
                <w:sz w:val="17"/>
              </w:rPr>
              <w:t>Compliance</w:t>
            </w:r>
          </w:p>
        </w:tc>
        <w:tc>
          <w:tcPr>
            <w:tcW w:type="dxa" w:w="2379"/>
          </w:tcPr>
          <w:p>
            <w:r>
              <w:rPr>
                <w:rFonts w:ascii="Calibri" w:hAnsi="Calibri"/>
                <w:b w:val="0"/>
                <w:i w:val="0"/>
                <w:sz w:val="18"/>
              </w:rPr>
              <w:t>EU AI Act 2024/1689 Compliance</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Art.9–15 controls, high-risk classification</w:t>
            </w:r>
          </w:p>
        </w:tc>
      </w:tr>
      <w:tr>
        <w:tc>
          <w:tcPr>
            <w:tcW w:type="dxa" w:w="2379"/>
            <w:shd w:val="clear" w:color="auto" w:fill="FFF8E7"/>
          </w:tcPr>
          <w:p>
            <w:r>
              <w:rPr>
                <w:rFonts w:ascii="Calibri" w:hAnsi="Calibri"/>
                <w:b/>
                <w:i w:val="0"/>
                <w:color w:val="0B1F3A"/>
                <w:sz w:val="17"/>
              </w:rPr>
              <w:t>Compliance</w:t>
            </w:r>
          </w:p>
        </w:tc>
        <w:tc>
          <w:tcPr>
            <w:tcW w:type="dxa" w:w="2379"/>
          </w:tcPr>
          <w:p>
            <w:r>
              <w:rPr>
                <w:rFonts w:ascii="Calibri" w:hAnsi="Calibri"/>
                <w:b w:val="0"/>
                <w:i w:val="0"/>
                <w:sz w:val="18"/>
              </w:rPr>
              <w:t>CBI (Central Bank of Ireland) Awareness</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CBI notified, inspection-ready audit logs</w:t>
            </w:r>
          </w:p>
        </w:tc>
      </w:tr>
      <w:tr>
        <w:tc>
          <w:tcPr>
            <w:tcW w:type="dxa" w:w="2379"/>
            <w:shd w:val="clear" w:color="auto" w:fill="FFF8E7"/>
          </w:tcPr>
          <w:p>
            <w:r>
              <w:rPr>
                <w:rFonts w:ascii="Calibri" w:hAnsi="Calibri"/>
                <w:b/>
                <w:i w:val="0"/>
                <w:color w:val="0B1F3A"/>
                <w:sz w:val="17"/>
              </w:rPr>
              <w:t>Compliance</w:t>
            </w:r>
          </w:p>
        </w:tc>
        <w:tc>
          <w:tcPr>
            <w:tcW w:type="dxa" w:w="2379"/>
          </w:tcPr>
          <w:p>
            <w:r>
              <w:rPr>
                <w:rFonts w:ascii="Calibri" w:hAnsi="Calibri"/>
                <w:b w:val="0"/>
                <w:i w:val="0"/>
                <w:sz w:val="18"/>
              </w:rPr>
              <w:t>FCA (UK) Compliance</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Consumer Duty aligned, CGAP responsible lending</w:t>
            </w:r>
          </w:p>
        </w:tc>
      </w:tr>
      <w:tr>
        <w:tc>
          <w:tcPr>
            <w:tcW w:type="dxa" w:w="2379"/>
            <w:shd w:val="clear" w:color="auto" w:fill="FFF8E7"/>
          </w:tcPr>
          <w:p>
            <w:r>
              <w:rPr>
                <w:rFonts w:ascii="Calibri" w:hAnsi="Calibri"/>
                <w:b/>
                <w:i w:val="0"/>
                <w:color w:val="0B1F3A"/>
                <w:sz w:val="17"/>
              </w:rPr>
              <w:t>Compliance</w:t>
            </w:r>
          </w:p>
        </w:tc>
        <w:tc>
          <w:tcPr>
            <w:tcW w:type="dxa" w:w="2379"/>
          </w:tcPr>
          <w:p>
            <w:r>
              <w:rPr>
                <w:rFonts w:ascii="Calibri" w:hAnsi="Calibri"/>
                <w:b w:val="0"/>
                <w:i w:val="0"/>
                <w:sz w:val="18"/>
              </w:rPr>
              <w:t>AML / PEP Screening</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All directors screened at origination</w:t>
            </w:r>
          </w:p>
        </w:tc>
      </w:tr>
      <w:tr>
        <w:tc>
          <w:tcPr>
            <w:tcW w:type="dxa" w:w="2379"/>
            <w:shd w:val="clear" w:color="auto" w:fill="FFF8E7"/>
          </w:tcPr>
          <w:p>
            <w:r>
              <w:rPr>
                <w:rFonts w:ascii="Calibri" w:hAnsi="Calibri"/>
                <w:b/>
                <w:i w:val="0"/>
                <w:color w:val="0B1F3A"/>
                <w:sz w:val="17"/>
              </w:rPr>
              <w:t>Compliance</w:t>
            </w:r>
          </w:p>
        </w:tc>
        <w:tc>
          <w:tcPr>
            <w:tcW w:type="dxa" w:w="2379"/>
          </w:tcPr>
          <w:p>
            <w:r>
              <w:rPr>
                <w:rFonts w:ascii="Calibri" w:hAnsi="Calibri"/>
                <w:b w:val="0"/>
                <w:i w:val="0"/>
                <w:sz w:val="18"/>
              </w:rPr>
              <w:t>Immutable Audit Trail</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Cryptographically immutable, timestamped, Art.12</w:t>
            </w:r>
          </w:p>
        </w:tc>
      </w:tr>
      <w:tr>
        <w:tc>
          <w:tcPr>
            <w:tcW w:type="dxa" w:w="2379"/>
            <w:shd w:val="clear" w:color="auto" w:fill="FFF8E7"/>
          </w:tcPr>
          <w:p>
            <w:r>
              <w:rPr>
                <w:rFonts w:ascii="Calibri" w:hAnsi="Calibri"/>
                <w:b/>
                <w:i w:val="0"/>
                <w:color w:val="0B1F3A"/>
                <w:sz w:val="17"/>
              </w:rPr>
              <w:t>Compliance</w:t>
            </w:r>
          </w:p>
        </w:tc>
        <w:tc>
          <w:tcPr>
            <w:tcW w:type="dxa" w:w="2379"/>
          </w:tcPr>
          <w:p>
            <w:r>
              <w:rPr>
                <w:rFonts w:ascii="Calibri" w:hAnsi="Calibri"/>
                <w:b w:val="0"/>
                <w:i w:val="0"/>
                <w:sz w:val="18"/>
              </w:rPr>
              <w:t>IAF / SEAR Personal Liability Protection</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Named PCF holder logged, decision audit trail</w:t>
            </w:r>
          </w:p>
        </w:tc>
      </w:tr>
      <w:tr>
        <w:tc>
          <w:tcPr>
            <w:tcW w:type="dxa" w:w="2379"/>
            <w:shd w:val="clear" w:color="auto" w:fill="FFF8E7"/>
          </w:tcPr>
          <w:p>
            <w:r>
              <w:rPr>
                <w:rFonts w:ascii="Calibri" w:hAnsi="Calibri"/>
                <w:b/>
                <w:i w:val="0"/>
                <w:color w:val="0B1F3A"/>
                <w:sz w:val="17"/>
              </w:rPr>
              <w:t>Compliance</w:t>
            </w:r>
          </w:p>
        </w:tc>
        <w:tc>
          <w:tcPr>
            <w:tcW w:type="dxa" w:w="2379"/>
          </w:tcPr>
          <w:p>
            <w:r>
              <w:rPr>
                <w:rFonts w:ascii="Calibri" w:hAnsi="Calibri"/>
                <w:b w:val="0"/>
                <w:i w:val="0"/>
                <w:sz w:val="18"/>
              </w:rPr>
              <w:t>Pre-assembled Vendor Due Diligence Pack</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7 documents: InfoSec, DPA, AI Tech File, BCP, PenTest, Sub-processors, SOC2</w:t>
            </w:r>
          </w:p>
        </w:tc>
      </w:tr>
      <w:tr>
        <w:tc>
          <w:tcPr>
            <w:tcW w:type="dxa" w:w="2379"/>
            <w:shd w:val="clear" w:color="auto" w:fill="FFF8E7"/>
          </w:tcPr>
          <w:p>
            <w:r>
              <w:rPr>
                <w:rFonts w:ascii="Calibri" w:hAnsi="Calibri"/>
                <w:b/>
                <w:i w:val="0"/>
                <w:color w:val="0B1F3A"/>
                <w:sz w:val="17"/>
              </w:rPr>
              <w:t>Compliance</w:t>
            </w:r>
          </w:p>
        </w:tc>
        <w:tc>
          <w:tcPr>
            <w:tcW w:type="dxa" w:w="2379"/>
          </w:tcPr>
          <w:p>
            <w:r>
              <w:rPr>
                <w:rFonts w:ascii="Calibri" w:hAnsi="Calibri"/>
                <w:b w:val="0"/>
                <w:i w:val="0"/>
                <w:sz w:val="18"/>
              </w:rPr>
              <w:t>EU AI Act Technical Documentation</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Art.11 Annex IV — 6 components documented in UI</w:t>
            </w:r>
          </w:p>
        </w:tc>
      </w:tr>
      <w:tr>
        <w:tc>
          <w:tcPr>
            <w:tcW w:type="dxa" w:w="2379"/>
            <w:shd w:val="clear" w:color="auto" w:fill="EAF4FB"/>
          </w:tcPr>
          <w:p>
            <w:r>
              <w:rPr>
                <w:rFonts w:ascii="Calibri" w:hAnsi="Calibri"/>
                <w:b/>
                <w:i w:val="0"/>
                <w:color w:val="0B1F3A"/>
                <w:sz w:val="17"/>
              </w:rPr>
              <w:t>Geography</w:t>
            </w:r>
          </w:p>
        </w:tc>
        <w:tc>
          <w:tcPr>
            <w:tcW w:type="dxa" w:w="2379"/>
          </w:tcPr>
          <w:p>
            <w:r>
              <w:rPr>
                <w:rFonts w:ascii="Calibri" w:hAnsi="Calibri"/>
                <w:b w:val="0"/>
                <w:i w:val="0"/>
                <w:sz w:val="18"/>
              </w:rPr>
              <w:t>Ireland Market</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CBI, CRO, ROS, AIB/BOI/PTSB, ICB, IAF/SEAR, Azure West EU</w:t>
            </w:r>
          </w:p>
        </w:tc>
      </w:tr>
      <w:tr>
        <w:tc>
          <w:tcPr>
            <w:tcW w:type="dxa" w:w="2379"/>
            <w:shd w:val="clear" w:color="auto" w:fill="EAF4FB"/>
          </w:tcPr>
          <w:p>
            <w:r>
              <w:rPr>
                <w:rFonts w:ascii="Calibri" w:hAnsi="Calibri"/>
                <w:b/>
                <w:i w:val="0"/>
                <w:color w:val="0B1F3A"/>
                <w:sz w:val="17"/>
              </w:rPr>
              <w:t>Geography</w:t>
            </w:r>
          </w:p>
        </w:tc>
        <w:tc>
          <w:tcPr>
            <w:tcW w:type="dxa" w:w="2379"/>
          </w:tcPr>
          <w:p>
            <w:r>
              <w:rPr>
                <w:rFonts w:ascii="Calibri" w:hAnsi="Calibri"/>
                <w:b w:val="0"/>
                <w:i w:val="0"/>
                <w:sz w:val="18"/>
              </w:rPr>
              <w:t>United Kingdom</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FCA, Consumer Duty, CMA9 Open Banking, Experian/Equifax/TU</w:t>
            </w:r>
          </w:p>
        </w:tc>
      </w:tr>
      <w:tr>
        <w:tc>
          <w:tcPr>
            <w:tcW w:type="dxa" w:w="2379"/>
            <w:shd w:val="clear" w:color="auto" w:fill="EAF4FB"/>
          </w:tcPr>
          <w:p>
            <w:r>
              <w:rPr>
                <w:rFonts w:ascii="Calibri" w:hAnsi="Calibri"/>
                <w:b/>
                <w:i w:val="0"/>
                <w:color w:val="0B1F3A"/>
                <w:sz w:val="17"/>
              </w:rPr>
              <w:t>Geography</w:t>
            </w:r>
          </w:p>
        </w:tc>
        <w:tc>
          <w:tcPr>
            <w:tcW w:type="dxa" w:w="2379"/>
          </w:tcPr>
          <w:p>
            <w:r>
              <w:rPr>
                <w:rFonts w:ascii="Calibri" w:hAnsi="Calibri"/>
                <w:b w:val="0"/>
                <w:i w:val="0"/>
                <w:sz w:val="18"/>
              </w:rPr>
              <w:t>EU / Europe</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EU AI Act, GDPR, EBA LOM, PSD2, DORA, EEA data residency</w:t>
            </w:r>
          </w:p>
        </w:tc>
      </w:tr>
      <w:tr>
        <w:tc>
          <w:tcPr>
            <w:tcW w:type="dxa" w:w="2379"/>
            <w:shd w:val="clear" w:color="auto" w:fill="F4ECF7"/>
          </w:tcPr>
          <w:p>
            <w:r>
              <w:rPr>
                <w:rFonts w:ascii="Calibri" w:hAnsi="Calibri"/>
                <w:b/>
                <w:i w:val="0"/>
                <w:color w:val="0B1F3A"/>
                <w:sz w:val="17"/>
              </w:rPr>
              <w:t>Integrations</w:t>
            </w:r>
          </w:p>
        </w:tc>
        <w:tc>
          <w:tcPr>
            <w:tcW w:type="dxa" w:w="2379"/>
          </w:tcPr>
          <w:p>
            <w:r>
              <w:rPr>
                <w:rFonts w:ascii="Calibri" w:hAnsi="Calibri"/>
                <w:b w:val="0"/>
                <w:i w:val="0"/>
                <w:sz w:val="18"/>
              </w:rPr>
              <w:t>LOS (Loan Origination System) API</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REST, bidirectional sync, status webhooks</w:t>
            </w:r>
          </w:p>
        </w:tc>
      </w:tr>
      <w:tr>
        <w:tc>
          <w:tcPr>
            <w:tcW w:type="dxa" w:w="2379"/>
            <w:shd w:val="clear" w:color="auto" w:fill="F4ECF7"/>
          </w:tcPr>
          <w:p>
            <w:r>
              <w:rPr>
                <w:rFonts w:ascii="Calibri" w:hAnsi="Calibri"/>
                <w:b/>
                <w:i w:val="0"/>
                <w:color w:val="0B1F3A"/>
                <w:sz w:val="17"/>
              </w:rPr>
              <w:t>Integrations</w:t>
            </w:r>
          </w:p>
        </w:tc>
        <w:tc>
          <w:tcPr>
            <w:tcW w:type="dxa" w:w="2379"/>
          </w:tcPr>
          <w:p>
            <w:r>
              <w:rPr>
                <w:rFonts w:ascii="Calibri" w:hAnsi="Calibri"/>
                <w:b w:val="0"/>
                <w:i w:val="0"/>
                <w:sz w:val="18"/>
              </w:rPr>
              <w:t>REST API / Webhooks</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OpenAPI 3.1, event-driven webhooks, OAuth 2.0 / mTLS</w:t>
            </w:r>
          </w:p>
        </w:tc>
      </w:tr>
      <w:tr>
        <w:tc>
          <w:tcPr>
            <w:tcW w:type="dxa" w:w="2379"/>
            <w:shd w:val="clear" w:color="auto" w:fill="F4ECF7"/>
          </w:tcPr>
          <w:p>
            <w:r>
              <w:rPr>
                <w:rFonts w:ascii="Calibri" w:hAnsi="Calibri"/>
                <w:b/>
                <w:i w:val="0"/>
                <w:color w:val="0B1F3A"/>
                <w:sz w:val="17"/>
              </w:rPr>
              <w:t>Integrations</w:t>
            </w:r>
          </w:p>
        </w:tc>
        <w:tc>
          <w:tcPr>
            <w:tcW w:type="dxa" w:w="2379"/>
          </w:tcPr>
          <w:p>
            <w:r>
              <w:rPr>
                <w:rFonts w:ascii="Calibri" w:hAnsi="Calibri"/>
                <w:b w:val="0"/>
                <w:i w:val="0"/>
                <w:sz w:val="18"/>
              </w:rPr>
              <w:t>Irish Bank Open Banking (AIB/BOI/PTSB)</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All three major Irish banks, PSD2/AISP</w:t>
            </w:r>
          </w:p>
        </w:tc>
      </w:tr>
      <w:tr>
        <w:tc>
          <w:tcPr>
            <w:tcW w:type="dxa" w:w="2379"/>
            <w:shd w:val="clear" w:color="auto" w:fill="F4ECF7"/>
          </w:tcPr>
          <w:p>
            <w:r>
              <w:rPr>
                <w:rFonts w:ascii="Calibri" w:hAnsi="Calibri"/>
                <w:b/>
                <w:i w:val="0"/>
                <w:color w:val="0B1F3A"/>
                <w:sz w:val="17"/>
              </w:rPr>
              <w:t>Integrations</w:t>
            </w:r>
          </w:p>
        </w:tc>
        <w:tc>
          <w:tcPr>
            <w:tcW w:type="dxa" w:w="2379"/>
          </w:tcPr>
          <w:p>
            <w:r>
              <w:rPr>
                <w:rFonts w:ascii="Calibri" w:hAnsi="Calibri"/>
                <w:b w:val="0"/>
                <w:i w:val="0"/>
                <w:sz w:val="18"/>
              </w:rPr>
              <w:t>CRO (Companies Registration Office)</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Company search, director registry, filing history</w:t>
            </w:r>
          </w:p>
        </w:tc>
      </w:tr>
      <w:tr>
        <w:tc>
          <w:tcPr>
            <w:tcW w:type="dxa" w:w="2379"/>
            <w:shd w:val="clear" w:color="auto" w:fill="F4ECF7"/>
          </w:tcPr>
          <w:p>
            <w:r>
              <w:rPr>
                <w:rFonts w:ascii="Calibri" w:hAnsi="Calibri"/>
                <w:b/>
                <w:i w:val="0"/>
                <w:color w:val="0B1F3A"/>
                <w:sz w:val="17"/>
              </w:rPr>
              <w:t>Integrations</w:t>
            </w:r>
          </w:p>
        </w:tc>
        <w:tc>
          <w:tcPr>
            <w:tcW w:type="dxa" w:w="2379"/>
          </w:tcPr>
          <w:p>
            <w:r>
              <w:rPr>
                <w:rFonts w:ascii="Calibri" w:hAnsi="Calibri"/>
                <w:b w:val="0"/>
                <w:i w:val="0"/>
                <w:sz w:val="18"/>
              </w:rPr>
              <w:t>ROS (Revenue Online Service) Verify</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VAT, PAYE, CT tax clearance verification</w:t>
            </w:r>
          </w:p>
        </w:tc>
      </w:tr>
      <w:tr>
        <w:tc>
          <w:tcPr>
            <w:tcW w:type="dxa" w:w="2379"/>
            <w:shd w:val="clear" w:color="auto" w:fill="F4ECF7"/>
          </w:tcPr>
          <w:p>
            <w:r>
              <w:rPr>
                <w:rFonts w:ascii="Calibri" w:hAnsi="Calibri"/>
                <w:b/>
                <w:i w:val="0"/>
                <w:color w:val="0B1F3A"/>
                <w:sz w:val="17"/>
              </w:rPr>
              <w:t>Integrations</w:t>
            </w:r>
          </w:p>
        </w:tc>
        <w:tc>
          <w:tcPr>
            <w:tcW w:type="dxa" w:w="2379"/>
          </w:tcPr>
          <w:p>
            <w:r>
              <w:rPr>
                <w:rFonts w:ascii="Calibri" w:hAnsi="Calibri"/>
                <w:b w:val="0"/>
                <w:i w:val="0"/>
                <w:sz w:val="18"/>
              </w:rPr>
              <w:t>Credit Bureau Integration</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ICB (Ireland), Experian/Equifax/TU (UK)</w:t>
            </w:r>
          </w:p>
        </w:tc>
      </w:tr>
      <w:tr>
        <w:tc>
          <w:tcPr>
            <w:tcW w:type="dxa" w:w="2379"/>
            <w:shd w:val="clear" w:color="auto" w:fill="F4ECF7"/>
          </w:tcPr>
          <w:p>
            <w:r>
              <w:rPr>
                <w:rFonts w:ascii="Calibri" w:hAnsi="Calibri"/>
                <w:b/>
                <w:i w:val="0"/>
                <w:color w:val="0B1F3A"/>
                <w:sz w:val="17"/>
              </w:rPr>
              <w:t>Integrations</w:t>
            </w:r>
          </w:p>
        </w:tc>
        <w:tc>
          <w:tcPr>
            <w:tcW w:type="dxa" w:w="2379"/>
          </w:tcPr>
          <w:p>
            <w:r>
              <w:rPr>
                <w:rFonts w:ascii="Calibri" w:hAnsi="Calibri"/>
                <w:b w:val="0"/>
                <w:i w:val="0"/>
                <w:sz w:val="18"/>
              </w:rPr>
              <w:t>Data Warehouse / BI Export</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Parquet/CSV, S3/Azure Blob, Power BI &amp; Tableau connectors</w:t>
            </w:r>
          </w:p>
        </w:tc>
      </w:tr>
      <w:tr>
        <w:tc>
          <w:tcPr>
            <w:tcW w:type="dxa" w:w="2379"/>
            <w:shd w:val="clear" w:color="auto" w:fill="F4ECF7"/>
          </w:tcPr>
          <w:p>
            <w:r>
              <w:rPr>
                <w:rFonts w:ascii="Calibri" w:hAnsi="Calibri"/>
                <w:b/>
                <w:i w:val="0"/>
                <w:color w:val="0B1F3A"/>
                <w:sz w:val="17"/>
              </w:rPr>
              <w:t>Integrations</w:t>
            </w:r>
          </w:p>
        </w:tc>
        <w:tc>
          <w:tcPr>
            <w:tcW w:type="dxa" w:w="2379"/>
          </w:tcPr>
          <w:p>
            <w:r>
              <w:rPr>
                <w:rFonts w:ascii="Calibri" w:hAnsi="Calibri"/>
                <w:b w:val="0"/>
                <w:i w:val="0"/>
                <w:sz w:val="18"/>
              </w:rPr>
              <w:t>Private Deployment Option</w:t>
            </w:r>
          </w:p>
        </w:tc>
        <w:tc>
          <w:tcPr>
            <w:tcW w:type="dxa" w:w="2379"/>
          </w:tcPr>
          <w:p>
            <w:r>
              <w:rPr>
                <w:rFonts w:ascii="Calibri" w:hAnsi="Calibri"/>
                <w:b/>
                <w:i w:val="0"/>
                <w:color w:val="2ECC71"/>
                <w:sz w:val="18"/>
              </w:rPr>
              <w:t>Complete</w:t>
            </w:r>
          </w:p>
        </w:tc>
        <w:tc>
          <w:tcPr>
            <w:tcW w:type="dxa" w:w="2379"/>
          </w:tcPr>
          <w:p>
            <w:r>
              <w:rPr>
                <w:rFonts w:ascii="Calibri" w:hAnsi="Calibri"/>
                <w:b w:val="0"/>
                <w:i w:val="0"/>
                <w:color w:val="334E68"/>
                <w:sz w:val="17"/>
              </w:rPr>
              <w:t>On-premise and dedicated cloud, full API parity</w:t>
            </w:r>
          </w:p>
        </w:tc>
      </w:tr>
    </w:tbl>
    <w:p/>
    <w:p>
      <w:pPr>
        <w:spacing w:before="80" w:after="80"/>
        <w:pBdr>
          <w:bottom w:val="single" w:sz="6" w:color="00A896"/>
        </w:pBdr>
      </w:pPr>
    </w:p>
    <w:p>
      <w:pPr>
        <w:spacing w:before="160" w:after="80"/>
      </w:pPr>
      <w:r>
        <w:rPr>
          <w:rFonts w:ascii="Calibri" w:hAnsi="Calibri"/>
          <w:b/>
          <w:color w:val="0B1F3A"/>
          <w:sz w:val="28"/>
        </w:rPr>
        <w:t>8. What Was Not Changed (Intentionally Preserved from v3.0)</w:t>
      </w:r>
    </w:p>
    <w:p>
      <w:pPr>
        <w:spacing w:before="40" w:after="80"/>
      </w:pPr>
      <w:r>
        <w:rPr>
          <w:rFonts w:ascii="Calibri" w:hAnsi="Calibri"/>
          <w:b w:val="0"/>
          <w:i w:val="0"/>
          <w:color w:val="1A1A2E"/>
          <w:sz w:val="21"/>
        </w:rPr>
        <w:t>The following v3.0 features were intentionally left unchanged as they remain complete and correct:</w:t>
      </w:r>
    </w:p>
    <w:p>
      <w:pPr>
        <w:pStyle w:val="ListBullet"/>
        <w:spacing w:before="20" w:after="40"/>
        <w:ind w:left="360"/>
      </w:pPr>
      <w:r>
        <w:rPr>
          <w:rFonts w:ascii="Calibri" w:hAnsi="Calibri"/>
          <w:b w:val="0"/>
          <w:i w:val="0"/>
          <w:color w:val="1A1A2E"/>
          <w:sz w:val="21"/>
        </w:rPr>
        <w:t>All 7 application tabs: Overview, Risk &amp; XAI, Open Banking, IFRS 9, Compliance, Evidence Pack, Audit Log</w:t>
      </w:r>
    </w:p>
    <w:p>
      <w:pPr>
        <w:pStyle w:val="ListBullet"/>
        <w:spacing w:before="20" w:after="40"/>
        <w:ind w:left="360"/>
      </w:pPr>
      <w:r>
        <w:rPr>
          <w:rFonts w:ascii="Calibri" w:hAnsi="Calibri"/>
          <w:b w:val="0"/>
          <w:i w:val="0"/>
          <w:color w:val="1A1A2E"/>
          <w:sz w:val="21"/>
        </w:rPr>
        <w:t>SHAP explainability engine (EU AI Act Art.13) — full local and global explanations</w:t>
      </w:r>
    </w:p>
    <w:p>
      <w:pPr>
        <w:pStyle w:val="ListBullet"/>
        <w:spacing w:before="20" w:after="40"/>
        <w:ind w:left="360"/>
      </w:pPr>
      <w:r>
        <w:rPr>
          <w:rFonts w:ascii="Calibri" w:hAnsi="Calibri"/>
          <w:b w:val="0"/>
          <w:i w:val="0"/>
          <w:color w:val="1A1A2E"/>
          <w:sz w:val="21"/>
        </w:rPr>
        <w:t>GDPR consent ledger (Art.13/14/22 safeguards, SCHUFA ruling, data subject rights)</w:t>
      </w:r>
    </w:p>
    <w:p>
      <w:pPr>
        <w:pStyle w:val="ListBullet"/>
        <w:spacing w:before="20" w:after="40"/>
        <w:ind w:left="360"/>
      </w:pPr>
      <w:r>
        <w:rPr>
          <w:rFonts w:ascii="Calibri" w:hAnsi="Calibri"/>
          <w:b w:val="0"/>
          <w:i w:val="0"/>
          <w:color w:val="1A1A2E"/>
          <w:sz w:val="21"/>
        </w:rPr>
        <w:t>EBA LOM risk-based pricing framework (APR calculation, pricing grid)</w:t>
      </w:r>
    </w:p>
    <w:p>
      <w:pPr>
        <w:pStyle w:val="ListBullet"/>
        <w:spacing w:before="20" w:after="40"/>
        <w:ind w:left="360"/>
      </w:pPr>
      <w:r>
        <w:rPr>
          <w:rFonts w:ascii="Calibri" w:hAnsi="Calibri"/>
          <w:b w:val="0"/>
          <w:i w:val="0"/>
          <w:color w:val="1A1A2E"/>
          <w:sz w:val="21"/>
        </w:rPr>
        <w:t>IFRS 9 ECL engine (Stage 1/2/3, multi-scenario PD overlays, SICR tracking)</w:t>
      </w:r>
    </w:p>
    <w:p>
      <w:pPr>
        <w:pStyle w:val="ListBullet"/>
        <w:spacing w:before="20" w:after="40"/>
        <w:ind w:left="360"/>
      </w:pPr>
      <w:r>
        <w:rPr>
          <w:rFonts w:ascii="Calibri" w:hAnsi="Calibri"/>
          <w:b w:val="0"/>
          <w:i w:val="0"/>
          <w:color w:val="1A1A2E"/>
          <w:sz w:val="21"/>
        </w:rPr>
        <w:t>Fairness metrics (Disparate Impact Ratio &gt; 0.80, Equal Opportunity Delta &lt; 0.10)</w:t>
      </w:r>
    </w:p>
    <w:p>
      <w:pPr>
        <w:pStyle w:val="ListBullet"/>
        <w:spacing w:before="20" w:after="40"/>
        <w:ind w:left="360"/>
      </w:pPr>
      <w:r>
        <w:rPr>
          <w:rFonts w:ascii="Calibri" w:hAnsi="Calibri"/>
          <w:b w:val="0"/>
          <w:i w:val="0"/>
          <w:color w:val="1A1A2E"/>
          <w:sz w:val="21"/>
        </w:rPr>
        <w:t>Immutable audit trail (EU AI Act Art.12, CBI IAF, 22+ processing steps logged)</w:t>
      </w:r>
    </w:p>
    <w:p>
      <w:pPr>
        <w:pStyle w:val="ListBullet"/>
        <w:spacing w:before="20" w:after="40"/>
        <w:ind w:left="360"/>
      </w:pPr>
      <w:r>
        <w:rPr>
          <w:rFonts w:ascii="Calibri" w:hAnsi="Calibri"/>
          <w:b w:val="0"/>
          <w:i w:val="0"/>
          <w:color w:val="1A1A2E"/>
          <w:sz w:val="21"/>
        </w:rPr>
        <w:t>Model Governance / MRM framework (SR 11-7 alignment, challenger models, PSI/CSI drift)</w:t>
      </w:r>
    </w:p>
    <w:p>
      <w:pPr>
        <w:pStyle w:val="ListBullet"/>
        <w:spacing w:before="20" w:after="40"/>
        <w:ind w:left="360"/>
      </w:pPr>
      <w:r>
        <w:rPr>
          <w:rFonts w:ascii="Calibri" w:hAnsi="Calibri"/>
          <w:b w:val="0"/>
          <w:i w:val="0"/>
          <w:color w:val="1A1A2E"/>
          <w:sz w:val="21"/>
        </w:rPr>
        <w:t>Portfolio Risk Dashboard (concentration risk, IFRS 9 staging distribution)</w:t>
      </w:r>
    </w:p>
    <w:p>
      <w:pPr>
        <w:pStyle w:val="ListBullet"/>
        <w:spacing w:before="20" w:after="40"/>
        <w:ind w:left="360"/>
      </w:pPr>
      <w:r>
        <w:rPr>
          <w:rFonts w:ascii="Calibri" w:hAnsi="Calibri"/>
          <w:b w:val="0"/>
          <w:i w:val="0"/>
          <w:color w:val="1A1A2E"/>
          <w:sz w:val="21"/>
        </w:rPr>
        <w:t>Collections &amp; Borrower Protection (CGAP responsible digital credit)</w:t>
      </w:r>
    </w:p>
    <w:p>
      <w:pPr>
        <w:pStyle w:val="ListBullet"/>
        <w:spacing w:before="20" w:after="40"/>
        <w:ind w:left="360"/>
      </w:pPr>
      <w:r>
        <w:rPr>
          <w:rFonts w:ascii="Calibri" w:hAnsi="Calibri"/>
          <w:b w:val="0"/>
          <w:i w:val="0"/>
          <w:color w:val="1A1A2E"/>
          <w:sz w:val="21"/>
        </w:rPr>
        <w:t>Bureau Reporting (ICB Ireland, CAIS UK, Metro 2 US, Pan-African packs)</w:t>
      </w:r>
    </w:p>
    <w:p>
      <w:pPr>
        <w:pStyle w:val="ListBullet"/>
        <w:spacing w:before="20" w:after="40"/>
        <w:ind w:left="360"/>
      </w:pPr>
      <w:r>
        <w:rPr>
          <w:rFonts w:ascii="Calibri" w:hAnsi="Calibri"/>
          <w:b w:val="0"/>
          <w:i w:val="0"/>
          <w:color w:val="1A1A2E"/>
          <w:sz w:val="21"/>
        </w:rPr>
        <w:t>Intake Pipeline view (5-step borrower journey, IDP as hero feature)</w:t>
      </w:r>
    </w:p>
    <w:p>
      <w:pPr>
        <w:pStyle w:val="ListBullet"/>
        <w:spacing w:before="20" w:after="40"/>
        <w:ind w:left="360"/>
      </w:pPr>
      <w:r>
        <w:rPr>
          <w:rFonts w:ascii="Calibri" w:hAnsi="Calibri"/>
          <w:b w:val="0"/>
          <w:i w:val="0"/>
          <w:color w:val="1A1A2E"/>
          <w:sz w:val="21"/>
        </w:rPr>
        <w:t>Architecture &amp; Security view (tenant isolation, private AI, security controls)</w:t>
      </w:r>
    </w:p>
    <w:p>
      <w:pPr>
        <w:pStyle w:val="ListBullet"/>
        <w:spacing w:before="20" w:after="40"/>
        <w:ind w:left="360"/>
      </w:pPr>
      <w:r>
        <w:rPr>
          <w:rFonts w:ascii="Calibri" w:hAnsi="Calibri"/>
          <w:b w:val="0"/>
          <w:i w:val="0"/>
          <w:color w:val="1A1A2E"/>
          <w:sz w:val="21"/>
        </w:rPr>
        <w:t>All 4 sample applications: O'Brien Construction, Clancy Logistics, Ferris Hospitality, GreenwayTech</w:t>
      </w:r>
    </w:p>
    <w:p>
      <w:pPr>
        <w:pStyle w:val="ListBullet"/>
        <w:spacing w:before="20" w:after="40"/>
        <w:ind w:left="360"/>
      </w:pPr>
      <w:r>
        <w:rPr>
          <w:rFonts w:ascii="Calibri" w:hAnsi="Calibri"/>
          <w:b w:val="0"/>
          <w:i w:val="0"/>
          <w:color w:val="1A1A2E"/>
          <w:sz w:val="21"/>
        </w:rPr>
        <w:t>Tenant-isolated SaaS architecture with on-premise deployment option</w:t>
      </w:r>
    </w:p>
    <w:p>
      <w:pPr>
        <w:pStyle w:val="ListBullet"/>
        <w:spacing w:before="20" w:after="40"/>
        <w:ind w:left="360"/>
      </w:pPr>
      <w:r>
        <w:rPr>
          <w:rFonts w:ascii="Calibri" w:hAnsi="Calibri"/>
          <w:b w:val="0"/>
          <w:i w:val="0"/>
          <w:color w:val="1A1A2E"/>
          <w:sz w:val="21"/>
        </w:rPr>
        <w:t>Processing animation with 22 IDP pipeline step labels</w:t>
      </w:r>
    </w:p>
    <w:p/>
    <w:p>
      <w:pPr>
        <w:spacing w:before="80" w:after="80"/>
        <w:pBdr>
          <w:bottom w:val="single" w:sz="6" w:color="00A896"/>
        </w:pBdr>
      </w:pPr>
    </w:p>
    <w:p>
      <w:pPr>
        <w:spacing w:before="160" w:after="80"/>
      </w:pPr>
      <w:r>
        <w:rPr>
          <w:rFonts w:ascii="Calibri" w:hAnsi="Calibri"/>
          <w:b/>
          <w:color w:val="0B1F3A"/>
          <w:sz w:val="28"/>
        </w:rPr>
        <w:t>9. Version History</w:t>
      </w:r>
    </w:p>
    <w:tbl>
      <w:tblPr>
        <w:tblStyle w:val="TableGrid"/>
        <w:tblW w:type="auto" w:w="0"/>
        <w:tblLook w:firstColumn="1" w:firstRow="1" w:lastColumn="0" w:lastRow="0" w:noHBand="0" w:noVBand="1" w:val="04A0"/>
      </w:tblPr>
      <w:tblGrid>
        <w:gridCol w:w="3173"/>
        <w:gridCol w:w="3173"/>
        <w:gridCol w:w="3173"/>
      </w:tblGrid>
      <w:tr>
        <w:tc>
          <w:tcPr>
            <w:tcW w:type="dxa" w:w="1152"/>
            <w:shd w:val="clear" w:color="auto" w:fill="0B1F3A"/>
          </w:tcPr>
          <w:p>
            <w:pPr>
              <w:jc w:val="left"/>
            </w:pPr>
            <w:r>
              <w:rPr>
                <w:rFonts w:ascii="Calibri" w:hAnsi="Calibri"/>
                <w:b/>
                <w:i w:val="0"/>
                <w:color w:val="FFFFFF"/>
                <w:sz w:val="18"/>
              </w:rPr>
              <w:t>Version</w:t>
            </w:r>
          </w:p>
        </w:tc>
        <w:tc>
          <w:tcPr>
            <w:tcW w:type="dxa" w:w="2160"/>
            <w:shd w:val="clear" w:color="auto" w:fill="0B1F3A"/>
          </w:tcPr>
          <w:p>
            <w:pPr>
              <w:jc w:val="left"/>
            </w:pPr>
            <w:r>
              <w:rPr>
                <w:rFonts w:ascii="Calibri" w:hAnsi="Calibri"/>
                <w:b/>
                <w:i w:val="0"/>
                <w:color w:val="FFFFFF"/>
                <w:sz w:val="18"/>
              </w:rPr>
              <w:t>Date</w:t>
            </w:r>
          </w:p>
        </w:tc>
        <w:tc>
          <w:tcPr>
            <w:tcW w:type="dxa" w:w="6768"/>
            <w:shd w:val="clear" w:color="auto" w:fill="0B1F3A"/>
          </w:tcPr>
          <w:p>
            <w:pPr>
              <w:jc w:val="left"/>
            </w:pPr>
            <w:r>
              <w:rPr>
                <w:rFonts w:ascii="Calibri" w:hAnsi="Calibri"/>
                <w:b/>
                <w:i w:val="0"/>
                <w:color w:val="FFFFFF"/>
                <w:sz w:val="18"/>
              </w:rPr>
              <w:t>Summary</w:t>
            </w:r>
          </w:p>
        </w:tc>
      </w:tr>
      <w:tr>
        <w:tc>
          <w:tcPr>
            <w:tcW w:type="dxa" w:w="3173"/>
            <w:shd w:val="clear" w:color="auto" w:fill="F9F9F9"/>
          </w:tcPr>
          <w:p>
            <w:r>
              <w:rPr>
                <w:rFonts w:ascii="Calibri" w:hAnsi="Calibri"/>
                <w:b/>
                <w:i w:val="0"/>
                <w:color w:val="0B1F3A"/>
                <w:sz w:val="18"/>
              </w:rPr>
              <w:t>v1.0</w:t>
            </w:r>
          </w:p>
        </w:tc>
        <w:tc>
          <w:tcPr>
            <w:tcW w:type="dxa" w:w="3173"/>
          </w:tcPr>
          <w:p>
            <w:r>
              <w:rPr>
                <w:rFonts w:ascii="Calibri" w:hAnsi="Calibri"/>
                <w:b w:val="0"/>
                <w:i w:val="0"/>
                <w:sz w:val="18"/>
              </w:rPr>
              <w:t>Dec 2024</w:t>
            </w:r>
          </w:p>
        </w:tc>
        <w:tc>
          <w:tcPr>
            <w:tcW w:type="dxa" w:w="3173"/>
          </w:tcPr>
          <w:p>
            <w:r>
              <w:rPr>
                <w:rFonts w:ascii="Calibri" w:hAnsi="Calibri"/>
                <w:b w:val="0"/>
                <w:i w:val="0"/>
                <w:sz w:val="18"/>
              </w:rPr>
              <w:t>Initial upload — basic loan application prototype</w:t>
            </w:r>
          </w:p>
        </w:tc>
      </w:tr>
      <w:tr>
        <w:tc>
          <w:tcPr>
            <w:tcW w:type="dxa" w:w="3173"/>
            <w:shd w:val="clear" w:color="auto" w:fill="F9F9F9"/>
          </w:tcPr>
          <w:p>
            <w:r>
              <w:rPr>
                <w:rFonts w:ascii="Calibri" w:hAnsi="Calibri"/>
                <w:b/>
                <w:i w:val="0"/>
                <w:color w:val="0B1F3A"/>
                <w:sz w:val="18"/>
              </w:rPr>
              <w:t>v2.0</w:t>
            </w:r>
          </w:p>
        </w:tc>
        <w:tc>
          <w:tcPr>
            <w:tcW w:type="dxa" w:w="3173"/>
          </w:tcPr>
          <w:p>
            <w:r>
              <w:rPr>
                <w:rFonts w:ascii="Calibri" w:hAnsi="Calibri"/>
                <w:b w:val="0"/>
                <w:i w:val="0"/>
                <w:sz w:val="18"/>
              </w:rPr>
              <w:t>Feb 2025</w:t>
            </w:r>
          </w:p>
        </w:tc>
        <w:tc>
          <w:tcPr>
            <w:tcW w:type="dxa" w:w="3173"/>
          </w:tcPr>
          <w:p>
            <w:r>
              <w:rPr>
                <w:rFonts w:ascii="Calibri" w:hAnsi="Calibri"/>
                <w:b w:val="0"/>
                <w:i w:val="0"/>
                <w:sz w:val="18"/>
              </w:rPr>
              <w:t>Full platform upgrade: EU AI Act, EBA LOM, GDPR, IFRS 9 compliance overhaul</w:t>
            </w:r>
          </w:p>
        </w:tc>
      </w:tr>
      <w:tr>
        <w:tc>
          <w:tcPr>
            <w:tcW w:type="dxa" w:w="3173"/>
            <w:shd w:val="clear" w:color="auto" w:fill="F9F9F9"/>
          </w:tcPr>
          <w:p>
            <w:r>
              <w:rPr>
                <w:rFonts w:ascii="Calibri" w:hAnsi="Calibri"/>
                <w:b/>
                <w:i w:val="0"/>
                <w:color w:val="0B1F3A"/>
                <w:sz w:val="18"/>
              </w:rPr>
              <w:t>v3.0</w:t>
            </w:r>
          </w:p>
        </w:tc>
        <w:tc>
          <w:tcPr>
            <w:tcW w:type="dxa" w:w="3173"/>
          </w:tcPr>
          <w:p>
            <w:r>
              <w:rPr>
                <w:rFonts w:ascii="Calibri" w:hAnsi="Calibri"/>
                <w:b w:val="0"/>
                <w:i w:val="0"/>
                <w:sz w:val="18"/>
              </w:rPr>
              <w:t>Mar 2026</w:t>
            </w:r>
          </w:p>
        </w:tc>
        <w:tc>
          <w:tcPr>
            <w:tcW w:type="dxa" w:w="3173"/>
          </w:tcPr>
          <w:p>
            <w:r>
              <w:rPr>
                <w:rFonts w:ascii="Calibri" w:hAnsi="Calibri"/>
                <w:b w:val="0"/>
                <w:i w:val="0"/>
                <w:sz w:val="18"/>
              </w:rPr>
              <w:t>Product reframe: IDP pipeline, tenant isolation, private AI architecture, SaaS data governance</w:t>
            </w:r>
          </w:p>
        </w:tc>
      </w:tr>
      <w:tr>
        <w:tc>
          <w:tcPr>
            <w:tcW w:type="dxa" w:w="3173"/>
            <w:shd w:val="clear" w:color="auto" w:fill="E8F8F5"/>
          </w:tcPr>
          <w:p>
            <w:r>
              <w:rPr>
                <w:rFonts w:ascii="Calibri" w:hAnsi="Calibri"/>
                <w:b/>
                <w:i w:val="0"/>
                <w:color w:val="00A896"/>
                <w:sz w:val="18"/>
              </w:rPr>
              <w:t>v4.0</w:t>
            </w:r>
          </w:p>
        </w:tc>
        <w:tc>
          <w:tcPr>
            <w:tcW w:type="dxa" w:w="3173"/>
          </w:tcPr>
          <w:p>
            <w:r>
              <w:rPr>
                <w:rFonts w:ascii="Calibri" w:hAnsi="Calibri"/>
                <w:b w:val="0"/>
                <w:i w:val="0"/>
                <w:sz w:val="18"/>
              </w:rPr>
              <w:t>12 Mar 2026</w:t>
            </w:r>
          </w:p>
        </w:tc>
        <w:tc>
          <w:tcPr>
            <w:tcW w:type="dxa" w:w="3173"/>
          </w:tcPr>
          <w:p>
            <w:r>
              <w:rPr>
                <w:rFonts w:ascii="Calibri" w:hAnsi="Calibri"/>
                <w:b w:val="0"/>
                <w:i w:val="0"/>
                <w:sz w:val="18"/>
              </w:rPr>
              <w:t>Feature completeness: BOI/PTSB open banking, SEAR, FCA, EU AI Act Art.11 Tech Docs, Vendor Due Diligence Pack, Geographic Coverage section, LOS API, REST API, Webhooks, Data Warehouse/BI Export</w:t>
            </w:r>
          </w:p>
        </w:tc>
      </w:tr>
    </w:tbl>
    <w:p/>
    <w:p>
      <w:pPr>
        <w:jc w:val="center"/>
      </w:pPr>
      <w:r>
        <w:rPr>
          <w:rFonts w:ascii="Calibri" w:hAnsi="Calibri"/>
          <w:b w:val="0"/>
          <w:i/>
          <w:color w:val="7A94AC"/>
          <w:sz w:val="17"/>
        </w:rPr>
        <w:t>FinPal v4.0  ·  Feature Completeness Release  ·  12 March 2026  ·  Confidential</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