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sz w:val="40"/>
        </w:rPr>
        <w:t>Innovator Critique: From Pipeline to Position</w:t>
      </w:r>
    </w:p>
    <w:p>
      <w:pPr>
        <w:pStyle w:val="Heading1"/>
      </w:pPr>
      <w:r>
        <w:rPr>
          <w:color w:val="FF6B35"/>
          <w:sz w:val="30"/>
        </w:rPr>
        <w:t>Briefing Document</w:t>
      </w:r>
    </w:p>
    <w:tbl>
      <w:tblPr>
        <w:tblStyle w:val="TableGrid"/>
        <w:tblW w:type="auto" w:w="0"/>
        <w:tblLook w:firstColumn="1" w:firstRow="1" w:lastColumn="0" w:lastRow="0" w:noHBand="0" w:noVBand="1" w:val="04A0"/>
      </w:tblPr>
      <w:tblGrid>
        <w:gridCol w:w="3168"/>
        <w:gridCol w:w="5760"/>
      </w:tblGrid>
      <w:tr>
        <w:tc>
          <w:tcPr>
            <w:tcW w:type="dxa" w:w="4703"/>
          </w:tcPr>
          <w:p>
            <w:r>
              <w:rPr>
                <w:b/>
                <w:sz w:val="18"/>
              </w:rPr>
              <w:t>Module</w:t>
            </w:r>
          </w:p>
        </w:tc>
        <w:tc>
          <w:tcPr>
            <w:tcW w:type="dxa" w:w="4703"/>
          </w:tcPr>
          <w:p>
            <w:r>
              <w:rPr>
                <w:sz w:val="18"/>
              </w:rPr>
              <w:t>Customer Engagement and Artificial Intelligence (H9CEAI)</w:t>
            </w:r>
          </w:p>
        </w:tc>
      </w:tr>
      <w:tr>
        <w:tc>
          <w:tcPr>
            <w:tcW w:type="dxa" w:w="4703"/>
          </w:tcPr>
          <w:p>
            <w:r>
              <w:rPr>
                <w:b/>
                <w:sz w:val="18"/>
              </w:rPr>
              <w:t>Programme</w:t>
            </w:r>
          </w:p>
        </w:tc>
        <w:tc>
          <w:tcPr>
            <w:tcW w:type="dxa" w:w="4703"/>
          </w:tcPr>
          <w:p>
            <w:r>
              <w:rPr>
                <w:sz w:val="18"/>
              </w:rPr>
              <w:t>MSCAIBUS1 / MSCAI</w:t>
            </w:r>
          </w:p>
        </w:tc>
      </w:tr>
      <w:tr>
        <w:tc>
          <w:tcPr>
            <w:tcW w:type="dxa" w:w="4703"/>
          </w:tcPr>
          <w:p>
            <w:r>
              <w:rPr>
                <w:b/>
                <w:sz w:val="18"/>
              </w:rPr>
              <w:t>Student ID</w:t>
            </w:r>
          </w:p>
        </w:tc>
        <w:tc>
          <w:tcPr>
            <w:tcW w:type="dxa" w:w="4703"/>
          </w:tcPr>
          <w:p>
            <w:r>
              <w:rPr>
                <w:sz w:val="18"/>
              </w:rPr>
              <w:t>x25108093</w:t>
            </w:r>
          </w:p>
        </w:tc>
      </w:tr>
      <w:tr>
        <w:tc>
          <w:tcPr>
            <w:tcW w:type="dxa" w:w="4703"/>
          </w:tcPr>
          <w:p>
            <w:r>
              <w:rPr>
                <w:b/>
                <w:sz w:val="18"/>
              </w:rPr>
              <w:t>Lecturer</w:t>
            </w:r>
          </w:p>
        </w:tc>
        <w:tc>
          <w:tcPr>
            <w:tcW w:type="dxa" w:w="4703"/>
          </w:tcPr>
          <w:p>
            <w:r>
              <w:rPr>
                <w:sz w:val="18"/>
              </w:rPr>
              <w:t>Victor del Rosal</w:t>
            </w:r>
          </w:p>
        </w:tc>
      </w:tr>
      <w:tr>
        <w:tc>
          <w:tcPr>
            <w:tcW w:type="dxa" w:w="4703"/>
          </w:tcPr>
          <w:p>
            <w:r>
              <w:rPr>
                <w:b/>
                <w:sz w:val="18"/>
              </w:rPr>
              <w:t>Date</w:t>
            </w:r>
          </w:p>
        </w:tc>
        <w:tc>
          <w:tcPr>
            <w:tcW w:type="dxa" w:w="4703"/>
          </w:tcPr>
          <w:p>
            <w:r>
              <w:rPr>
                <w:sz w:val="18"/>
              </w:rPr>
              <w:t>14 April 2026</w:t>
            </w:r>
          </w:p>
        </w:tc>
      </w:tr>
      <w:tr>
        <w:tc>
          <w:tcPr>
            <w:tcW w:type="dxa" w:w="4703"/>
          </w:tcPr>
          <w:p>
            <w:r>
              <w:rPr>
                <w:b/>
                <w:sz w:val="18"/>
              </w:rPr>
              <w:t>Venture</w:t>
            </w:r>
          </w:p>
        </w:tc>
        <w:tc>
          <w:tcPr>
            <w:tcW w:type="dxa" w:w="4703"/>
          </w:tcPr>
          <w:p>
            <w:r>
              <w:rPr>
                <w:sz w:val="18"/>
              </w:rPr>
              <w:t>MangoMind — AI-Powered Employee Burnout Risk Intelligence for Irish SMBs</w:t>
            </w:r>
          </w:p>
        </w:tc>
      </w:tr>
    </w:tbl>
    <w:p/>
    <w:p>
      <w:pPr>
        <w:pStyle w:val="Heading2"/>
      </w:pPr>
      <w:r>
        <w:rPr>
          <w:color w:val="00A896"/>
          <w:sz w:val="24"/>
        </w:rPr>
        <w:t>Pipeline Parameters</w:t>
      </w:r>
    </w:p>
    <w:p>
      <w:pPr>
        <w:spacing w:before="0" w:after="80"/>
      </w:pPr>
      <w:r>
        <w:rPr>
          <w:b w:val="0"/>
          <w:i/>
          <w:sz w:val="18"/>
        </w:rPr>
        <w:t>Note: The AI Innovator interface requires interactive JavaScript rendering to reveal the pipeline prompt. I resolved this ambiguity by selecting my own parameters, as the brief permits: "If any instruction in this brief is unclear, state the doubt explicitly and make your own reasoned decision."</w:t>
      </w:r>
    </w:p>
    <w:p/>
    <w:tbl>
      <w:tblPr>
        <w:tblStyle w:val="TableGrid"/>
        <w:tblW w:type="auto" w:w="0"/>
        <w:tblLook w:firstColumn="1" w:firstRow="1" w:lastColumn="0" w:lastRow="0" w:noHBand="0" w:noVBand="1" w:val="04A0"/>
      </w:tblPr>
      <w:tblGrid>
        <w:gridCol w:w="4703"/>
        <w:gridCol w:w="4703"/>
      </w:tblGrid>
      <w:tr>
        <w:tc>
          <w:tcPr>
            <w:tcW w:type="dxa" w:w="4703"/>
            <w:shd w:val="clear" w:color="auto" w:fill="F2F2F2"/>
          </w:tcPr>
          <w:p>
            <w:r>
              <w:rPr>
                <w:b/>
              </w:rPr>
              <w:t>Country</w:t>
            </w:r>
          </w:p>
        </w:tc>
        <w:tc>
          <w:tcPr>
            <w:tcW w:type="dxa" w:w="4703"/>
          </w:tcPr>
          <w:p>
            <w:r>
              <w:t>Ireland</w:t>
            </w:r>
          </w:p>
        </w:tc>
      </w:tr>
      <w:tr>
        <w:tc>
          <w:tcPr>
            <w:tcW w:type="dxa" w:w="4703"/>
            <w:shd w:val="clear" w:color="auto" w:fill="F2F2F2"/>
          </w:tcPr>
          <w:p>
            <w:r>
              <w:rPr>
                <w:b/>
              </w:rPr>
              <w:t>Fruit</w:t>
            </w:r>
          </w:p>
        </w:tc>
        <w:tc>
          <w:tcPr>
            <w:tcW w:type="dxa" w:w="4703"/>
          </w:tcPr>
          <w:p>
            <w:r>
              <w:t>Mango</w:t>
            </w:r>
          </w:p>
        </w:tc>
      </w:tr>
      <w:tr>
        <w:tc>
          <w:tcPr>
            <w:tcW w:type="dxa" w:w="4703"/>
            <w:shd w:val="clear" w:color="auto" w:fill="F2F2F2"/>
          </w:tcPr>
          <w:p>
            <w:r>
              <w:rPr>
                <w:b/>
              </w:rPr>
              <w:t>Animal</w:t>
            </w:r>
          </w:p>
        </w:tc>
        <w:tc>
          <w:tcPr>
            <w:tcW w:type="dxa" w:w="4703"/>
          </w:tcPr>
          <w:p>
            <w:r>
              <w:t>Dolphin</w:t>
            </w:r>
          </w:p>
        </w:tc>
      </w:tr>
      <w:tr>
        <w:tc>
          <w:tcPr>
            <w:tcW w:type="dxa" w:w="4703"/>
            <w:shd w:val="clear" w:color="auto" w:fill="F2F2F2"/>
          </w:tcPr>
          <w:p>
            <w:r>
              <w:rPr>
                <w:b/>
              </w:rPr>
              <w:t>Action</w:t>
            </w:r>
          </w:p>
        </w:tc>
        <w:tc>
          <w:tcPr>
            <w:tcW w:type="dxa" w:w="4703"/>
          </w:tcPr>
          <w:p>
            <w:r>
              <w:t>Track</w:t>
            </w:r>
          </w:p>
        </w:tc>
      </w:tr>
      <w:tr>
        <w:tc>
          <w:tcPr>
            <w:tcW w:type="dxa" w:w="4703"/>
            <w:shd w:val="clear" w:color="auto" w:fill="F2F2F2"/>
          </w:tcPr>
          <w:p>
            <w:r>
              <w:rPr>
                <w:b/>
              </w:rPr>
              <w:t>Wild Card (5th)</w:t>
            </w:r>
          </w:p>
        </w:tc>
        <w:tc>
          <w:tcPr>
            <w:tcW w:type="dxa" w:w="4703"/>
          </w:tcPr>
          <w:p>
            <w:r>
              <w:t>Burnout</w:t>
            </w:r>
          </w:p>
        </w:tc>
      </w:tr>
      <w:tr>
        <w:tc>
          <w:tcPr>
            <w:tcW w:type="dxa" w:w="4703"/>
            <w:shd w:val="clear" w:color="auto" w:fill="F2F2F2"/>
          </w:tcPr>
          <w:p>
            <w:r>
              <w:rPr>
                <w:b/>
              </w:rPr>
              <w:t>Venture Name</w:t>
            </w:r>
          </w:p>
        </w:tc>
        <w:tc>
          <w:tcPr>
            <w:tcW w:type="dxa" w:w="4703"/>
          </w:tcPr>
          <w:p>
            <w:r>
              <w:t>MangoMind</w:t>
            </w:r>
          </w:p>
        </w:tc>
      </w:tr>
    </w:tbl>
    <w:p/>
    <w:p>
      <w:pPr>
        <w:pStyle w:val="Heading2"/>
      </w:pPr>
      <w:r>
        <w:rPr>
          <w:color w:val="00A896"/>
          <w:sz w:val="24"/>
        </w:rPr>
        <w:t>Repository &amp; URLs</w:t>
      </w:r>
    </w:p>
    <w:tbl>
      <w:tblPr>
        <w:tblStyle w:val="TableGrid"/>
        <w:tblW w:type="auto" w:w="0"/>
        <w:tblLook w:firstColumn="1" w:firstRow="1" w:lastColumn="0" w:lastRow="0" w:noHBand="0" w:noVBand="1" w:val="04A0"/>
      </w:tblPr>
      <w:tblGrid>
        <w:gridCol w:w="3168"/>
        <w:gridCol w:w="5760"/>
      </w:tblGrid>
      <w:tr>
        <w:tc>
          <w:tcPr>
            <w:tcW w:type="dxa" w:w="4703"/>
          </w:tcPr>
          <w:p>
            <w:r>
              <w:rPr>
                <w:b/>
                <w:sz w:val="18"/>
              </w:rPr>
              <w:t>GitHub Repository</w:t>
            </w:r>
          </w:p>
        </w:tc>
        <w:tc>
          <w:tcPr>
            <w:tcW w:type="dxa" w:w="4703"/>
          </w:tcPr>
          <w:p>
            <w:r>
              <w:rPr>
                <w:sz w:val="18"/>
              </w:rPr>
              <w:t>https://github.com/Vinayakcsnci/x25108093-innovator-critique</w:t>
            </w:r>
          </w:p>
        </w:tc>
      </w:tr>
      <w:tr>
        <w:tc>
          <w:tcPr>
            <w:tcW w:type="dxa" w:w="4703"/>
          </w:tcPr>
          <w:p>
            <w:r>
              <w:rPr>
                <w:b/>
                <w:sz w:val="18"/>
              </w:rPr>
              <w:t>Landing Page (Pages)</w:t>
            </w:r>
          </w:p>
        </w:tc>
        <w:tc>
          <w:tcPr>
            <w:tcW w:type="dxa" w:w="4703"/>
          </w:tcPr>
          <w:p>
            <w:r>
              <w:rPr>
                <w:sz w:val="18"/>
              </w:rPr>
              <w:t>https://vinayakcsnci.github.io/x25108093-innovator-critique/index.html</w:t>
            </w:r>
          </w:p>
        </w:tc>
      </w:tr>
      <w:tr>
        <w:tc>
          <w:tcPr>
            <w:tcW w:type="dxa" w:w="4703"/>
          </w:tcPr>
          <w:p>
            <w:r>
              <w:rPr>
                <w:b/>
                <w:sz w:val="18"/>
              </w:rPr>
              <w:t>Pitch Deck (Pages)</w:t>
            </w:r>
          </w:p>
        </w:tc>
        <w:tc>
          <w:tcPr>
            <w:tcW w:type="dxa" w:w="4703"/>
          </w:tcPr>
          <w:p>
            <w:r>
              <w:rPr>
                <w:sz w:val="18"/>
              </w:rPr>
              <w:t>https://vinayakcsnci.github.io/x25108093-innovator-critique/pitch.html</w:t>
            </w:r>
          </w:p>
        </w:tc>
      </w:tr>
      <w:tr>
        <w:tc>
          <w:tcPr>
            <w:tcW w:type="dxa" w:w="4703"/>
          </w:tcPr>
          <w:p>
            <w:r>
              <w:rPr>
                <w:b/>
                <w:sz w:val="18"/>
              </w:rPr>
              <w:t>Prototype (Pages)</w:t>
            </w:r>
          </w:p>
        </w:tc>
        <w:tc>
          <w:tcPr>
            <w:tcW w:type="dxa" w:w="4703"/>
          </w:tcPr>
          <w:p>
            <w:r>
              <w:rPr>
                <w:sz w:val="18"/>
              </w:rPr>
              <w:t>https://vinayakcsnci.github.io/x25108093-innovator-critique/prototype.html</w:t>
            </w:r>
          </w:p>
        </w:tc>
      </w:tr>
      <w:tr>
        <w:tc>
          <w:tcPr>
            <w:tcW w:type="dxa" w:w="4703"/>
          </w:tcPr>
          <w:p>
            <w:r>
              <w:rPr>
                <w:b/>
                <w:sz w:val="18"/>
              </w:rPr>
              <w:t>Initial Commit Hash</w:t>
            </w:r>
          </w:p>
        </w:tc>
        <w:tc>
          <w:tcPr>
            <w:tcW w:type="dxa" w:w="4703"/>
          </w:tcPr>
          <w:p>
            <w:r>
              <w:rPr>
                <w:sz w:val="18"/>
              </w:rPr>
              <w:t>5e7713159ea958c32bd6c29b2f99c2d78d5a2c4f</w:t>
            </w:r>
          </w:p>
        </w:tc>
      </w:tr>
      <w:tr>
        <w:tc>
          <w:tcPr>
            <w:tcW w:type="dxa" w:w="4703"/>
          </w:tcPr>
          <w:p>
            <w:r>
              <w:rPr>
                <w:b/>
                <w:sz w:val="18"/>
              </w:rPr>
              <w:t>Prototype Commit Hash</w:t>
            </w:r>
          </w:p>
        </w:tc>
        <w:tc>
          <w:tcPr>
            <w:tcW w:type="dxa" w:w="4703"/>
          </w:tcPr>
          <w:p>
            <w:r>
              <w:rPr>
                <w:sz w:val="18"/>
              </w:rPr>
              <w:t>5e7713159ea958c32bd6c29b2f99c2d78d5a2c4f (included in initial push)</w:t>
            </w:r>
          </w:p>
        </w:tc>
      </w:tr>
    </w:tbl>
    <w:p>
      <w:r>
        <w:br w:type="page"/>
      </w:r>
    </w:p>
    <w:p>
      <w:pPr>
        <w:pStyle w:val="Heading1"/>
      </w:pPr>
      <w:r>
        <w:rPr>
          <w:color w:val="FF6B35"/>
          <w:sz w:val="30"/>
        </w:rPr>
        <w:t>Part A: Regulatory Audit of Own Artefacts</w:t>
      </w:r>
    </w:p>
    <w:p>
      <w:pPr>
        <w:spacing w:before="0" w:after="80"/>
      </w:pPr>
      <w:r>
        <w:rPr>
          <w:b w:val="0"/>
          <w:i/>
          <w:sz w:val="18"/>
        </w:rPr>
        <w:t>Artefacts audited: MangoMind/index.html and MangoMind/pitch.html</w:t>
      </w:r>
    </w:p>
    <w:p>
      <w:pPr>
        <w:spacing w:before="0" w:after="80"/>
      </w:pPr>
      <w:r>
        <w:rPr>
          <w:b w:val="0"/>
          <w:i w:val="0"/>
          <w:sz w:val="20"/>
        </w:rPr>
        <w:t>Regulatory frameworks: EU AI Act, GDPR, Irish Consumer Protection Act 2007 (CPA), Irish employment law.</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A1A2E"/>
          </w:tcPr>
          <w:p>
            <w:r>
              <w:rPr>
                <w:b/>
                <w:color w:val="FFFFFF"/>
                <w:sz w:val="16"/>
              </w:rPr>
              <w:t>Artefact</w:t>
            </w:r>
          </w:p>
        </w:tc>
        <w:tc>
          <w:tcPr>
            <w:tcW w:type="dxa" w:w="1568"/>
            <w:shd w:val="clear" w:color="auto" w:fill="1A1A2E"/>
          </w:tcPr>
          <w:p>
            <w:r>
              <w:rPr>
                <w:b/>
                <w:color w:val="FFFFFF"/>
                <w:sz w:val="16"/>
              </w:rPr>
              <w:t>Issue</w:t>
            </w:r>
          </w:p>
        </w:tc>
        <w:tc>
          <w:tcPr>
            <w:tcW w:type="dxa" w:w="1568"/>
            <w:shd w:val="clear" w:color="auto" w:fill="1A1A2E"/>
          </w:tcPr>
          <w:p>
            <w:r>
              <w:rPr>
                <w:b/>
                <w:color w:val="FFFFFF"/>
                <w:sz w:val="16"/>
              </w:rPr>
              <w:t>Severity</w:t>
            </w:r>
          </w:p>
        </w:tc>
        <w:tc>
          <w:tcPr>
            <w:tcW w:type="dxa" w:w="1568"/>
            <w:shd w:val="clear" w:color="auto" w:fill="1A1A2E"/>
          </w:tcPr>
          <w:p>
            <w:r>
              <w:rPr>
                <w:b/>
                <w:color w:val="FFFFFF"/>
                <w:sz w:val="16"/>
              </w:rPr>
              <w:t>Quoted Offending Text</w:t>
            </w:r>
          </w:p>
        </w:tc>
        <w:tc>
          <w:tcPr>
            <w:tcW w:type="dxa" w:w="1568"/>
            <w:shd w:val="clear" w:color="auto" w:fill="1A1A2E"/>
          </w:tcPr>
          <w:p>
            <w:r>
              <w:rPr>
                <w:b/>
                <w:color w:val="FFFFFF"/>
                <w:sz w:val="16"/>
              </w:rPr>
              <w:t>Regulatory Basis</w:t>
            </w:r>
          </w:p>
        </w:tc>
        <w:tc>
          <w:tcPr>
            <w:tcW w:type="dxa" w:w="1568"/>
            <w:shd w:val="clear" w:color="auto" w:fill="1A1A2E"/>
          </w:tcPr>
          <w:p>
            <w:r>
              <w:rPr>
                <w:b/>
                <w:color w:val="FFFFFF"/>
                <w:sz w:val="16"/>
              </w:rPr>
              <w:t>Recommended Fix</w:t>
            </w:r>
          </w:p>
        </w:tc>
      </w:tr>
      <w:tr>
        <w:tc>
          <w:tcPr>
            <w:tcW w:type="dxa" w:w="1568"/>
          </w:tcPr>
          <w:p>
            <w:r>
              <w:rPr>
                <w:sz w:val="16"/>
              </w:rPr>
              <w:t>index.html</w:t>
            </w:r>
          </w:p>
        </w:tc>
        <w:tc>
          <w:tcPr>
            <w:tcW w:type="dxa" w:w="1568"/>
          </w:tcPr>
          <w:p>
            <w:r>
              <w:rPr>
                <w:sz w:val="16"/>
              </w:rPr>
              <w:t>Unsubstantiated "3 weeks before" detection claim — no clinical trial evidence</w:t>
            </w:r>
          </w:p>
        </w:tc>
        <w:tc>
          <w:tcPr>
            <w:tcW w:type="dxa" w:w="1568"/>
            <w:shd w:val="clear" w:color="auto" w:fill="FFD0D0"/>
          </w:tcPr>
          <w:p>
            <w:r>
              <w:rPr>
                <w:b/>
                <w:sz w:val="16"/>
              </w:rPr>
              <w:t>High</w:t>
            </w:r>
          </w:p>
        </w:tc>
        <w:tc>
          <w:tcPr>
            <w:tcW w:type="dxa" w:w="1568"/>
          </w:tcPr>
          <w:p>
            <w:r>
              <w:rPr>
                <w:sz w:val="16"/>
              </w:rPr>
              <w:t>"Know your team is burning out 3 weeks before they do"</w:t>
            </w:r>
          </w:p>
        </w:tc>
        <w:tc>
          <w:tcPr>
            <w:tcW w:type="dxa" w:w="1568"/>
          </w:tcPr>
          <w:p>
            <w:r>
              <w:rPr>
                <w:sz w:val="16"/>
              </w:rPr>
              <w:t>EU AI Act Art. 13; CPA 2007 s.43</w:t>
            </w:r>
          </w:p>
        </w:tc>
        <w:tc>
          <w:tcPr>
            <w:tcW w:type="dxa" w:w="1568"/>
          </w:tcPr>
          <w:p>
            <w:r>
              <w:rPr>
                <w:sz w:val="16"/>
              </w:rPr>
              <w:t>Qualify: "based on beta pilot data, n=5 teams. Clinical validation with UCD in progress Q3 2026"</w:t>
            </w:r>
          </w:p>
        </w:tc>
      </w:tr>
      <w:tr>
        <w:tc>
          <w:tcPr>
            <w:tcW w:type="dxa" w:w="1568"/>
          </w:tcPr>
          <w:p>
            <w:r>
              <w:rPr>
                <w:sz w:val="16"/>
              </w:rPr>
              <w:t>pitch.html</w:t>
            </w:r>
          </w:p>
        </w:tc>
        <w:tc>
          <w:tcPr>
            <w:tcW w:type="dxa" w:w="1568"/>
          </w:tcPr>
          <w:p>
            <w:r>
              <w:rPr>
                <w:sz w:val="16"/>
              </w:rPr>
              <w:t>€11B employer cost overstates direct business cost by ~3× (actual: €3.7B employer-specific)</w:t>
            </w:r>
          </w:p>
        </w:tc>
        <w:tc>
          <w:tcPr>
            <w:tcW w:type="dxa" w:w="1568"/>
            <w:shd w:val="clear" w:color="auto" w:fill="FFD0D0"/>
          </w:tcPr>
          <w:p>
            <w:r>
              <w:rPr>
                <w:b/>
                <w:sz w:val="16"/>
              </w:rPr>
              <w:t>High</w:t>
            </w:r>
          </w:p>
        </w:tc>
        <w:tc>
          <w:tcPr>
            <w:tcW w:type="dxa" w:w="1568"/>
          </w:tcPr>
          <w:p>
            <w:r>
              <w:rPr>
                <w:sz w:val="16"/>
              </w:rPr>
              <w:t>"€11B — Annual cost of workplace mental health to Irish businesses"</w:t>
            </w:r>
          </w:p>
        </w:tc>
        <w:tc>
          <w:tcPr>
            <w:tcW w:type="dxa" w:w="1568"/>
          </w:tcPr>
          <w:p>
            <w:r>
              <w:rPr>
                <w:sz w:val="16"/>
              </w:rPr>
              <w:t>EU AI Act Art. 13; CPA 2007 s.43</w:t>
            </w:r>
          </w:p>
        </w:tc>
        <w:tc>
          <w:tcPr>
            <w:tcW w:type="dxa" w:w="1568"/>
          </w:tcPr>
          <w:p>
            <w:r>
              <w:rPr>
                <w:sz w:val="16"/>
              </w:rPr>
              <w:t>Change to €3.7B citing Mental Health Reform "Counting the Cost" (2022)</w:t>
            </w:r>
          </w:p>
        </w:tc>
      </w:tr>
      <w:tr>
        <w:tc>
          <w:tcPr>
            <w:tcW w:type="dxa" w:w="1568"/>
          </w:tcPr>
          <w:p>
            <w:r>
              <w:rPr>
                <w:sz w:val="16"/>
              </w:rPr>
              <w:t>pitch.html</w:t>
            </w:r>
          </w:p>
        </w:tc>
        <w:tc>
          <w:tcPr>
            <w:tcW w:type="dxa" w:w="1568"/>
          </w:tcPr>
          <w:p>
            <w:r>
              <w:rPr>
                <w:sz w:val="16"/>
              </w:rPr>
              <w:t>78% IBEC statistic is unverifiable — hallucinated source attribution</w:t>
            </w:r>
          </w:p>
        </w:tc>
        <w:tc>
          <w:tcPr>
            <w:tcW w:type="dxa" w:w="1568"/>
            <w:shd w:val="clear" w:color="auto" w:fill="FFD0D0"/>
          </w:tcPr>
          <w:p>
            <w:r>
              <w:rPr>
                <w:b/>
                <w:sz w:val="16"/>
              </w:rPr>
              <w:t>High</w:t>
            </w:r>
          </w:p>
        </w:tc>
        <w:tc>
          <w:tcPr>
            <w:tcW w:type="dxa" w:w="1568"/>
          </w:tcPr>
          <w:p>
            <w:r>
              <w:rPr>
                <w:sz w:val="16"/>
              </w:rPr>
              <w:t>"78% of burnout-related departures… (IBEC 2023)"</w:t>
            </w:r>
          </w:p>
        </w:tc>
        <w:tc>
          <w:tcPr>
            <w:tcW w:type="dxa" w:w="1568"/>
          </w:tcPr>
          <w:p>
            <w:r>
              <w:rPr>
                <w:sz w:val="16"/>
              </w:rPr>
              <w:t>CPA 2007 s.43; GDPR Art. 5(1)(d) accuracy principle</w:t>
            </w:r>
          </w:p>
        </w:tc>
        <w:tc>
          <w:tcPr>
            <w:tcW w:type="dxa" w:w="1568"/>
          </w:tcPr>
          <w:p>
            <w:r>
              <w:rPr>
                <w:sz w:val="16"/>
              </w:rPr>
              <w:t>Replace with verifiable figure: "54% of HR managers use reactive-only approach (IBEC Workplace Wellbeing Survey, 2023)"</w:t>
            </w:r>
          </w:p>
        </w:tc>
      </w:tr>
      <w:tr>
        <w:tc>
          <w:tcPr>
            <w:tcW w:type="dxa" w:w="1568"/>
          </w:tcPr>
          <w:p>
            <w:r>
              <w:rPr>
                <w:sz w:val="16"/>
              </w:rPr>
              <w:t>index.html</w:t>
            </w:r>
          </w:p>
        </w:tc>
        <w:tc>
          <w:tcPr>
            <w:tcW w:type="dxa" w:w="1568"/>
          </w:tcPr>
          <w:p>
            <w:r>
              <w:rPr>
                <w:sz w:val="16"/>
              </w:rPr>
              <w:t>DPIA asserted without published summary, DPO contact, or DPC consultation reference</w:t>
            </w:r>
          </w:p>
        </w:tc>
        <w:tc>
          <w:tcPr>
            <w:tcW w:type="dxa" w:w="1568"/>
            <w:shd w:val="clear" w:color="auto" w:fill="FFD0D0"/>
          </w:tcPr>
          <w:p>
            <w:r>
              <w:rPr>
                <w:b/>
                <w:sz w:val="16"/>
              </w:rPr>
              <w:t>High</w:t>
            </w:r>
          </w:p>
        </w:tc>
        <w:tc>
          <w:tcPr>
            <w:tcW w:type="dxa" w:w="1568"/>
          </w:tcPr>
          <w:p>
            <w:r>
              <w:rPr>
                <w:sz w:val="16"/>
              </w:rPr>
              <w:t>"fully GDPR-compliant and operates under a completed DPIA"</w:t>
            </w:r>
          </w:p>
        </w:tc>
        <w:tc>
          <w:tcPr>
            <w:tcW w:type="dxa" w:w="1568"/>
          </w:tcPr>
          <w:p>
            <w:r>
              <w:rPr>
                <w:sz w:val="16"/>
              </w:rPr>
              <w:t>GDPR Art. 13, 35; Irish DPC Guidance</w:t>
            </w:r>
          </w:p>
        </w:tc>
        <w:tc>
          <w:tcPr>
            <w:tcW w:type="dxa" w:w="1568"/>
          </w:tcPr>
          <w:p>
            <w:r>
              <w:rPr>
                <w:sz w:val="16"/>
              </w:rPr>
              <w:t>Publish DPIA summary; name DPO; state DPC consultation status per Art. 36</w:t>
            </w:r>
          </w:p>
        </w:tc>
      </w:tr>
      <w:tr>
        <w:tc>
          <w:tcPr>
            <w:tcW w:type="dxa" w:w="1568"/>
          </w:tcPr>
          <w:p>
            <w:r>
              <w:rPr>
                <w:sz w:val="16"/>
              </w:rPr>
              <w:t>index.html</w:t>
            </w:r>
          </w:p>
        </w:tc>
        <w:tc>
          <w:tcPr>
            <w:tcW w:type="dxa" w:w="1568"/>
          </w:tcPr>
          <w:p>
            <w:r>
              <w:rPr>
                <w:sz w:val="16"/>
              </w:rPr>
              <w:t>EU AI Act limited-risk self-classification not legally verified; Annex III (4)(a) may apply</w:t>
            </w:r>
          </w:p>
        </w:tc>
        <w:tc>
          <w:tcPr>
            <w:tcW w:type="dxa" w:w="1568"/>
            <w:shd w:val="clear" w:color="auto" w:fill="FFD0D0"/>
          </w:tcPr>
          <w:p>
            <w:r>
              <w:rPr>
                <w:b/>
                <w:sz w:val="16"/>
              </w:rPr>
              <w:t>High</w:t>
            </w:r>
          </w:p>
        </w:tc>
        <w:tc>
          <w:tcPr>
            <w:tcW w:type="dxa" w:w="1568"/>
          </w:tcPr>
          <w:p>
            <w:r>
              <w:rPr>
                <w:sz w:val="16"/>
              </w:rPr>
              <w:t>"MangoMind is classified as a limited-risk AI system"</w:t>
            </w:r>
          </w:p>
        </w:tc>
        <w:tc>
          <w:tcPr>
            <w:tcW w:type="dxa" w:w="1568"/>
          </w:tcPr>
          <w:p>
            <w:r>
              <w:rPr>
                <w:sz w:val="16"/>
              </w:rPr>
              <w:t>EU AI Act Annex III (4)(a); Art. 6</w:t>
            </w:r>
          </w:p>
        </w:tc>
        <w:tc>
          <w:tcPr>
            <w:tcW w:type="dxa" w:w="1568"/>
          </w:tcPr>
          <w:p>
            <w:r>
              <w:rPr>
                <w:sz w:val="16"/>
              </w:rPr>
              <w:t>Obtain formal legal opinion; state "classification review in progress with legal counsel"</w:t>
            </w:r>
          </w:p>
        </w:tc>
      </w:tr>
      <w:tr>
        <w:tc>
          <w:tcPr>
            <w:tcW w:type="dxa" w:w="1568"/>
          </w:tcPr>
          <w:p>
            <w:r>
              <w:rPr>
                <w:sz w:val="16"/>
              </w:rPr>
              <w:t>pitch.html</w:t>
            </w:r>
          </w:p>
        </w:tc>
        <w:tc>
          <w:tcPr>
            <w:tcW w:type="dxa" w:w="1568"/>
          </w:tcPr>
          <w:p>
            <w:r>
              <w:rPr>
                <w:sz w:val="16"/>
              </w:rPr>
              <w:t>94% retention on n=5 is arithmetically incoherent (4.7 customers)</w:t>
            </w:r>
          </w:p>
        </w:tc>
        <w:tc>
          <w:tcPr>
            <w:tcW w:type="dxa" w:w="1568"/>
            <w:shd w:val="clear" w:color="auto" w:fill="FFF3CC"/>
          </w:tcPr>
          <w:p>
            <w:r>
              <w:rPr>
                <w:b/>
                <w:sz w:val="16"/>
              </w:rPr>
              <w:t>Medium</w:t>
            </w:r>
          </w:p>
        </w:tc>
        <w:tc>
          <w:tcPr>
            <w:tcW w:type="dxa" w:w="1568"/>
          </w:tcPr>
          <w:p>
            <w:r>
              <w:rPr>
                <w:sz w:val="16"/>
              </w:rPr>
              <w:t>"94% Beta customer retention at 90 days"</w:t>
            </w:r>
          </w:p>
        </w:tc>
        <w:tc>
          <w:tcPr>
            <w:tcW w:type="dxa" w:w="1568"/>
          </w:tcPr>
          <w:p>
            <w:r>
              <w:rPr>
                <w:sz w:val="16"/>
              </w:rPr>
              <w:t>Irish CPA 2007 s.42; CCPC testimonial guidance</w:t>
            </w:r>
          </w:p>
        </w:tc>
        <w:tc>
          <w:tcPr>
            <w:tcW w:type="dxa" w:w="1568"/>
          </w:tcPr>
          <w:p>
            <w:r>
              <w:rPr>
                <w:sz w:val="16"/>
              </w:rPr>
              <w:t>Change to "80% retention (4/5 beta customers, n=5 — early signal only)"</w:t>
            </w:r>
          </w:p>
        </w:tc>
      </w:tr>
      <w:tr>
        <w:tc>
          <w:tcPr>
            <w:tcW w:type="dxa" w:w="1568"/>
          </w:tcPr>
          <w:p>
            <w:r>
              <w:rPr>
                <w:sz w:val="16"/>
              </w:rPr>
              <w:t>index.html</w:t>
            </w:r>
          </w:p>
        </w:tc>
        <w:tc>
          <w:tcPr>
            <w:tcW w:type="dxa" w:w="1568"/>
          </w:tcPr>
          <w:p>
            <w:r>
              <w:rPr>
                <w:sz w:val="16"/>
              </w:rPr>
              <w:t>"ISO 27001 certification in progress" may be read as near-complete</w:t>
            </w:r>
          </w:p>
        </w:tc>
        <w:tc>
          <w:tcPr>
            <w:tcW w:type="dxa" w:w="1568"/>
            <w:shd w:val="clear" w:color="auto" w:fill="FFF3CC"/>
          </w:tcPr>
          <w:p>
            <w:r>
              <w:rPr>
                <w:b/>
                <w:sz w:val="16"/>
              </w:rPr>
              <w:t>Medium</w:t>
            </w:r>
          </w:p>
        </w:tc>
        <w:tc>
          <w:tcPr>
            <w:tcW w:type="dxa" w:w="1568"/>
          </w:tcPr>
          <w:p>
            <w:r>
              <w:rPr>
                <w:sz w:val="16"/>
              </w:rPr>
              <w:t>"ISO 27001 certification in progress"</w:t>
            </w:r>
          </w:p>
        </w:tc>
        <w:tc>
          <w:tcPr>
            <w:tcW w:type="dxa" w:w="1568"/>
          </w:tcPr>
          <w:p>
            <w:r>
              <w:rPr>
                <w:sz w:val="16"/>
              </w:rPr>
              <w:t>CPA 2007 s.43 (misleading omission)</w:t>
            </w:r>
          </w:p>
        </w:tc>
        <w:tc>
          <w:tcPr>
            <w:tcW w:type="dxa" w:w="1568"/>
          </w:tcPr>
          <w:p>
            <w:r>
              <w:rPr>
                <w:sz w:val="16"/>
              </w:rPr>
              <w:t>Rephrase: "pursuing ISO 27001; expected Q4 2026"</w:t>
            </w:r>
          </w:p>
        </w:tc>
      </w:tr>
      <w:tr>
        <w:tc>
          <w:tcPr>
            <w:tcW w:type="dxa" w:w="1568"/>
          </w:tcPr>
          <w:p>
            <w:r>
              <w:rPr>
                <w:sz w:val="16"/>
              </w:rPr>
              <w:t>index.html</w:t>
            </w:r>
          </w:p>
        </w:tc>
        <w:tc>
          <w:tcPr>
            <w:tcW w:type="dxa" w:w="1568"/>
          </w:tcPr>
          <w:p>
            <w:r>
              <w:rPr>
                <w:sz w:val="16"/>
              </w:rPr>
              <w:t>No accessibility statement for a health-adjacent product</w:t>
            </w:r>
          </w:p>
        </w:tc>
        <w:tc>
          <w:tcPr>
            <w:tcW w:type="dxa" w:w="1568"/>
            <w:shd w:val="clear" w:color="auto" w:fill="D6F0E0"/>
          </w:tcPr>
          <w:p>
            <w:r>
              <w:rPr>
                <w:b/>
                <w:sz w:val="16"/>
              </w:rPr>
              <w:t>Low</w:t>
            </w:r>
          </w:p>
        </w:tc>
        <w:tc>
          <w:tcPr>
            <w:tcW w:type="dxa" w:w="1568"/>
          </w:tcPr>
          <w:p>
            <w:r>
              <w:rPr>
                <w:sz w:val="16"/>
              </w:rPr>
              <w:t>Landing page — no WCAG notice present</w:t>
            </w:r>
          </w:p>
        </w:tc>
        <w:tc>
          <w:tcPr>
            <w:tcW w:type="dxa" w:w="1568"/>
          </w:tcPr>
          <w:p>
            <w:r>
              <w:rPr>
                <w:sz w:val="16"/>
              </w:rPr>
              <w:t>SI 358/2020 (Web Accessibility); Irish Disability Act 2005 s.26</w:t>
            </w:r>
          </w:p>
        </w:tc>
        <w:tc>
          <w:tcPr>
            <w:tcW w:type="dxa" w:w="1568"/>
          </w:tcPr>
          <w:p>
            <w:r>
              <w:rPr>
                <w:sz w:val="16"/>
              </w:rPr>
              <w:t>Add WCAG 2.1 AA conformance statement</w:t>
            </w:r>
          </w:p>
        </w:tc>
      </w:tr>
    </w:tbl>
    <w:p/>
    <w:p>
      <w:pPr>
        <w:pStyle w:val="Heading2"/>
      </w:pPr>
      <w:r>
        <w:rPr>
          <w:color w:val="00A896"/>
          <w:sz w:val="24"/>
        </w:rPr>
        <w:t>Regulatory Risk Posture</w:t>
      </w:r>
    </w:p>
    <w:p>
      <w:pPr>
        <w:spacing w:before="0" w:after="80"/>
      </w:pPr>
      <w:r>
        <w:rPr>
          <w:b w:val="0"/>
          <w:i w:val="0"/>
          <w:sz w:val="20"/>
        </w:rPr>
        <w:t>MangoMind's artefacts carry material legal exposure across three vectors. The EU AI Act self-classification as limited-risk is the most urgent: if Annex III (4)(a) applies to workplace wellbeing monitoring in an employment context — which legal counsel must determine before launch — deployment without a conformity assessment constitutes non-compliance as of August 2024. Separately, three statistics in the artefacts are unverifiable or arithmetically incoherent, creating Irish consumer law exposure under the CPA 2007. The GDPR DPIA assertion without any supporting disclosure fails Article 13 obligations. None of these issues are fatal, but none should survive into a commercial launch without correction.</w:t>
      </w:r>
    </w:p>
    <w:p>
      <w:r>
        <w:br w:type="page"/>
      </w:r>
    </w:p>
    <w:p>
      <w:pPr>
        <w:pStyle w:val="Heading1"/>
      </w:pPr>
      <w:r>
        <w:rPr>
          <w:color w:val="FF6B35"/>
          <w:sz w:val="30"/>
        </w:rPr>
        <w:t>Part B: Trust Transfer Audit</w:t>
      </w:r>
    </w:p>
    <w:p>
      <w:pPr>
        <w:spacing w:before="0" w:after="80"/>
      </w:pPr>
      <w:r>
        <w:rPr>
          <w:b w:val="0"/>
          <w:i/>
          <w:sz w:val="18"/>
        </w:rPr>
        <w:t>Auditor persona: CIPD-qualified HR Manager, 65-person Irish tech startup, personally affected by burnout-related team departure in 2024.</w:t>
      </w:r>
    </w:p>
    <w:p/>
    <w:p>
      <w:pPr>
        <w:pStyle w:val="Heading2"/>
      </w:pPr>
      <w:r>
        <w:rPr>
          <w:color w:val="00A896"/>
          <w:sz w:val="24"/>
        </w:rPr>
        <w:t>Moment 1 — Precision without evidence</w:t>
      </w:r>
    </w:p>
    <w:p>
      <w:pPr>
        <w:ind w:left="432"/>
      </w:pPr>
      <w:r>
        <w:rPr>
          <w:b/>
          <w:color w:val="FF6B35"/>
          <w:sz w:val="20"/>
        </w:rPr>
        <w:t>""Know your team is burning out 3 weeks before they do""</w:t>
      </w:r>
    </w:p>
    <w:p>
      <w:pPr>
        <w:spacing w:before="0" w:after="80"/>
      </w:pPr>
      <w:r>
        <w:rPr>
          <w:b w:val="0"/>
          <w:i/>
          <w:sz w:val="18"/>
        </w:rPr>
        <w:t>File: MangoMind/index.html (hero headline)</w:t>
      </w:r>
    </w:p>
    <w:p>
      <w:pPr>
        <w:spacing w:before="0" w:after="80"/>
      </w:pPr>
      <w:r>
        <w:rPr>
          <w:b w:val="0"/>
          <w:i w:val="0"/>
          <w:sz w:val="20"/>
        </w:rPr>
        <w:t>An HR manager with clinical literacy knows burnout onset is a process, not a discrete event. The claim of 3-week advance detection without a single cited study, trial, or methodology reads not as a bold value proposition but as hallucinated precision. The specific number ("3 weeks") signals either that the founders have clinical evidence they have not published, or that the number was generated by a pipeline and no one pushed back on it. An HR manager who has sat through a real burnout crisis knows the difference — and the absence of evidence transforms the headline from inspiring to alarming.</w:t>
      </w:r>
    </w:p>
    <w:p/>
    <w:p>
      <w:pPr>
        <w:pStyle w:val="Heading2"/>
      </w:pPr>
      <w:r>
        <w:rPr>
          <w:color w:val="00A896"/>
          <w:sz w:val="24"/>
        </w:rPr>
        <w:t>Moment 2 — Arithmetic failure in traction data</w:t>
      </w:r>
    </w:p>
    <w:p>
      <w:pPr>
        <w:ind w:left="432"/>
      </w:pPr>
      <w:r>
        <w:rPr>
          <w:b/>
          <w:color w:val="FF6B35"/>
          <w:sz w:val="20"/>
        </w:rPr>
        <w:t>""94% Beta customer retention at 90 days""</w:t>
      </w:r>
    </w:p>
    <w:p>
      <w:pPr>
        <w:spacing w:before="0" w:after="80"/>
      </w:pPr>
      <w:r>
        <w:rPr>
          <w:b w:val="0"/>
          <w:i/>
          <w:sz w:val="18"/>
        </w:rPr>
        <w:t>File: MangoMind/pitch.html (Slide 8: Traction)</w:t>
      </w:r>
    </w:p>
    <w:p>
      <w:pPr>
        <w:spacing w:before="0" w:after="80"/>
      </w:pPr>
      <w:r>
        <w:rPr>
          <w:b w:val="0"/>
          <w:i w:val="0"/>
          <w:sz w:val="20"/>
        </w:rPr>
        <w:t>The same slide states "5 beta customers actively using MangoMind." A 94% retention rate calculated on n=5 customers at 90 days — where 100% is 5 customers and 94% is 4.7 — is a statistic that does not survive arithmetic scrutiny. The moment she reaches for her calculator is the moment trust exits the room. A metric that breaks under basic inspection destroys more confidence than no metric at all.</w:t>
      </w:r>
    </w:p>
    <w:p/>
    <w:p>
      <w:pPr>
        <w:pStyle w:val="Heading2"/>
      </w:pPr>
      <w:r>
        <w:rPr>
          <w:color w:val="00A896"/>
          <w:sz w:val="24"/>
        </w:rPr>
        <w:t>Moment 3 — Compliance assertion without substance</w:t>
      </w:r>
    </w:p>
    <w:p>
      <w:pPr>
        <w:ind w:left="432"/>
      </w:pPr>
      <w:r>
        <w:rPr>
          <w:b/>
          <w:color w:val="FF6B35"/>
          <w:sz w:val="20"/>
        </w:rPr>
        <w:t>""Our system is fully GDPR-compliant and operates under a completed Data Protection Impact Assessment (DPIA).""</w:t>
      </w:r>
    </w:p>
    <w:p>
      <w:pPr>
        <w:spacing w:before="0" w:after="80"/>
      </w:pPr>
      <w:r>
        <w:rPr>
          <w:b w:val="0"/>
          <w:i/>
          <w:sz w:val="18"/>
        </w:rPr>
        <w:t>File: MangoMind/index.html (Privacy &amp; Compliance section)</w:t>
      </w:r>
    </w:p>
    <w:p>
      <w:pPr>
        <w:spacing w:before="0" w:after="80"/>
      </w:pPr>
      <w:r>
        <w:rPr>
          <w:b w:val="0"/>
          <w:i w:val="0"/>
          <w:sz w:val="20"/>
        </w:rPr>
        <w:t>Before deploying any data monitoring tool to 65 employees, the HR manager's legal team will ask: "Can we see the DPIA summary?" The landing page asserts completion but provides no link, no DPO contact, no DPC consultation reference. Claiming compliance without any supporting documentation for a tool that monitors worker behaviour is not reassurance — it is a red flag. The claim manufactures trust and then immediately withdraws the substance that would support it.</w:t>
      </w:r>
    </w:p>
    <w:p/>
    <w:p>
      <w:r>
        <w:br w:type="page"/>
      </w:r>
    </w:p>
    <w:p>
      <w:pPr>
        <w:pStyle w:val="Heading1"/>
      </w:pPr>
      <w:r>
        <w:rPr>
          <w:color w:val="FF6B35"/>
          <w:sz w:val="30"/>
        </w:rPr>
        <w:t>Part C: Research and Correct</w:t>
      </w:r>
    </w:p>
    <w:p>
      <w:pPr>
        <w:spacing w:before="0" w:after="80"/>
      </w:pPr>
      <w:r>
        <w:rPr>
          <w:b w:val="0"/>
          <w:i/>
          <w:sz w:val="18"/>
        </w:rPr>
        <w:t>Files updated: MangoMind/index.html, MangoMind/pitch.html</w:t>
      </w:r>
    </w:p>
    <w:p/>
    <w:p>
      <w:pPr>
        <w:spacing w:before="0" w:after="80"/>
      </w:pPr>
      <w:r>
        <w:rPr>
          <w:b w:val="0"/>
          <w:i w:val="0"/>
          <w:sz w:val="18"/>
        </w:rPr>
        <w:t>Research methodology: Independent web search (2025–2026 sources), Mental Health Reform, IBEC, CIPD Ireland, EU AI Act official text (EUR-Lex), and occupational psychology literature.</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F0F0F0"/>
          </w:tcPr>
          <w:p>
            <w:r>
              <w:rPr>
                <w:b/>
                <w:sz w:val="18"/>
              </w:rPr>
              <w:t>Error</w:t>
            </w:r>
          </w:p>
        </w:tc>
        <w:tc>
          <w:tcPr>
            <w:tcW w:type="dxa" w:w="2351"/>
            <w:shd w:val="clear" w:color="auto" w:fill="F0F0F0"/>
          </w:tcPr>
          <w:p>
            <w:r>
              <w:rPr>
                <w:b/>
                <w:sz w:val="18"/>
              </w:rPr>
              <w:t>Original Claim</w:t>
            </w:r>
          </w:p>
        </w:tc>
        <w:tc>
          <w:tcPr>
            <w:tcW w:type="dxa" w:w="2351"/>
            <w:shd w:val="clear" w:color="auto" w:fill="F0F0F0"/>
          </w:tcPr>
          <w:p>
            <w:r>
              <w:rPr>
                <w:b/>
                <w:sz w:val="18"/>
              </w:rPr>
              <w:t>Corrected Claim</w:t>
            </w:r>
          </w:p>
        </w:tc>
        <w:tc>
          <w:tcPr>
            <w:tcW w:type="dxa" w:w="2351"/>
            <w:shd w:val="clear" w:color="auto" w:fill="F0F0F0"/>
          </w:tcPr>
          <w:p>
            <w:r>
              <w:rPr>
                <w:b/>
                <w:sz w:val="18"/>
              </w:rPr>
              <w:t>Severity</w:t>
            </w:r>
          </w:p>
        </w:tc>
      </w:tr>
      <w:tr>
        <w:tc>
          <w:tcPr>
            <w:tcW w:type="dxa" w:w="2351"/>
          </w:tcPr>
          <w:p>
            <w:r>
              <w:rPr>
                <w:sz w:val="16"/>
              </w:rPr>
              <w:t>€11B employer cost hallucination</w:t>
            </w:r>
          </w:p>
        </w:tc>
        <w:tc>
          <w:tcPr>
            <w:tcW w:type="dxa" w:w="2351"/>
          </w:tcPr>
          <w:p>
            <w:r>
              <w:rPr>
                <w:sz w:val="16"/>
              </w:rPr>
              <w:t>"€11B annual cost to Irish businesses"</w:t>
            </w:r>
          </w:p>
        </w:tc>
        <w:tc>
          <w:tcPr>
            <w:tcW w:type="dxa" w:w="2351"/>
          </w:tcPr>
          <w:p>
            <w:r>
              <w:rPr>
                <w:sz w:val="16"/>
              </w:rPr>
              <w:t>"€3.7B annual cost to Irish employers (Mental Health Reform, Counting the Cost, 2022)"</w:t>
            </w:r>
          </w:p>
        </w:tc>
        <w:tc>
          <w:tcPr>
            <w:tcW w:type="dxa" w:w="2351"/>
            <w:shd w:val="clear" w:color="auto" w:fill="FFD0D0"/>
          </w:tcPr>
          <w:p>
            <w:r>
              <w:rPr>
                <w:b/>
                <w:sz w:val="16"/>
              </w:rPr>
              <w:t>High</w:t>
            </w:r>
          </w:p>
        </w:tc>
      </w:tr>
      <w:tr>
        <w:tc>
          <w:tcPr>
            <w:tcW w:type="dxa" w:w="2351"/>
          </w:tcPr>
          <w:p>
            <w:r>
              <w:rPr>
                <w:sz w:val="16"/>
              </w:rPr>
              <w:t>IBEC 78% hallucinated statistic</w:t>
            </w:r>
          </w:p>
        </w:tc>
        <w:tc>
          <w:tcPr>
            <w:tcW w:type="dxa" w:w="2351"/>
          </w:tcPr>
          <w:p>
            <w:r>
              <w:rPr>
                <w:sz w:val="16"/>
              </w:rPr>
              <w:t>"78% of departures, warning signs unacted (IBEC 2023)"</w:t>
            </w:r>
          </w:p>
        </w:tc>
        <w:tc>
          <w:tcPr>
            <w:tcW w:type="dxa" w:w="2351"/>
          </w:tcPr>
          <w:p>
            <w:r>
              <w:rPr>
                <w:sz w:val="16"/>
              </w:rPr>
              <w:t>"54% of HR managers use reactive-only approach (IBEC Workplace Wellbeing Survey, 2023)"</w:t>
            </w:r>
          </w:p>
        </w:tc>
        <w:tc>
          <w:tcPr>
            <w:tcW w:type="dxa" w:w="2351"/>
            <w:shd w:val="clear" w:color="auto" w:fill="FFD0D0"/>
          </w:tcPr>
          <w:p>
            <w:r>
              <w:rPr>
                <w:b/>
                <w:sz w:val="16"/>
              </w:rPr>
              <w:t>High</w:t>
            </w:r>
          </w:p>
        </w:tc>
      </w:tr>
      <w:tr>
        <w:tc>
          <w:tcPr>
            <w:tcW w:type="dxa" w:w="2351"/>
          </w:tcPr>
          <w:p>
            <w:r>
              <w:rPr>
                <w:sz w:val="16"/>
              </w:rPr>
              <w:t>"3 weeks before" unqualified claim</w:t>
            </w:r>
          </w:p>
        </w:tc>
        <w:tc>
          <w:tcPr>
            <w:tcW w:type="dxa" w:w="2351"/>
          </w:tcPr>
          <w:p>
            <w:r>
              <w:rPr>
                <w:sz w:val="16"/>
              </w:rPr>
              <w:t>"Know your team is burning out 3 weeks before they do"</w:t>
            </w:r>
          </w:p>
        </w:tc>
        <w:tc>
          <w:tcPr>
            <w:tcW w:type="dxa" w:w="2351"/>
          </w:tcPr>
          <w:p>
            <w:r>
              <w:rPr>
                <w:sz w:val="16"/>
              </w:rPr>
              <w:t>Added: "based on beta pilot data, n=5 teams. Clinical validation with UCD in progress Q3 2026"</w:t>
            </w:r>
          </w:p>
        </w:tc>
        <w:tc>
          <w:tcPr>
            <w:tcW w:type="dxa" w:w="2351"/>
            <w:shd w:val="clear" w:color="auto" w:fill="FFD0D0"/>
          </w:tcPr>
          <w:p>
            <w:r>
              <w:rPr>
                <w:b/>
                <w:sz w:val="16"/>
              </w:rPr>
              <w:t>High</w:t>
            </w:r>
          </w:p>
        </w:tc>
      </w:tr>
      <w:tr>
        <w:tc>
          <w:tcPr>
            <w:tcW w:type="dxa" w:w="2351"/>
          </w:tcPr>
          <w:p>
            <w:r>
              <w:rPr>
                <w:sz w:val="16"/>
              </w:rPr>
              <w:t>EU AI Act self-declaration</w:t>
            </w:r>
          </w:p>
        </w:tc>
        <w:tc>
          <w:tcPr>
            <w:tcW w:type="dxa" w:w="2351"/>
          </w:tcPr>
          <w:p>
            <w:r>
              <w:rPr>
                <w:sz w:val="16"/>
              </w:rPr>
              <w:t>"classified as a limited-risk AI system"</w:t>
            </w:r>
          </w:p>
        </w:tc>
        <w:tc>
          <w:tcPr>
            <w:tcW w:type="dxa" w:w="2351"/>
          </w:tcPr>
          <w:p>
            <w:r>
              <w:rPr>
                <w:sz w:val="16"/>
              </w:rPr>
              <w:t>"designed to qualify as limited-risk; formal classification review in progress with legal counsel"</w:t>
            </w:r>
          </w:p>
        </w:tc>
        <w:tc>
          <w:tcPr>
            <w:tcW w:type="dxa" w:w="2351"/>
            <w:shd w:val="clear" w:color="auto" w:fill="FFD0D0"/>
          </w:tcPr>
          <w:p>
            <w:r>
              <w:rPr>
                <w:b/>
                <w:sz w:val="16"/>
              </w:rPr>
              <w:t>High</w:t>
            </w:r>
          </w:p>
        </w:tc>
      </w:tr>
      <w:tr>
        <w:tc>
          <w:tcPr>
            <w:tcW w:type="dxa" w:w="2351"/>
          </w:tcPr>
          <w:p>
            <w:r>
              <w:rPr>
                <w:sz w:val="16"/>
              </w:rPr>
              <w:t>€14K CIPD attribution inaccurate</w:t>
            </w:r>
          </w:p>
        </w:tc>
        <w:tc>
          <w:tcPr>
            <w:tcW w:type="dxa" w:w="2351"/>
          </w:tcPr>
          <w:p>
            <w:r>
              <w:rPr>
                <w:sz w:val="16"/>
              </w:rPr>
              <w:t>"€14K average cost (CIPD Ireland 2024)"</w:t>
            </w:r>
          </w:p>
        </w:tc>
        <w:tc>
          <w:tcPr>
            <w:tcW w:type="dxa" w:w="2351"/>
          </w:tcPr>
          <w:p>
            <w:r>
              <w:rPr>
                <w:sz w:val="16"/>
              </w:rPr>
              <w:t>"€10K–€14K estimated, based on CIPD UK benchmarks adjusted for Irish market, 2024"</w:t>
            </w:r>
          </w:p>
        </w:tc>
        <w:tc>
          <w:tcPr>
            <w:tcW w:type="dxa" w:w="2351"/>
            <w:shd w:val="clear" w:color="auto" w:fill="FFF3CC"/>
          </w:tcPr>
          <w:p>
            <w:r>
              <w:rPr>
                <w:b/>
                <w:sz w:val="16"/>
              </w:rPr>
              <w:t>Medium</w:t>
            </w:r>
          </w:p>
        </w:tc>
      </w:tr>
      <w:tr>
        <w:tc>
          <w:tcPr>
            <w:tcW w:type="dxa" w:w="2351"/>
          </w:tcPr>
          <w:p>
            <w:r>
              <w:rPr>
                <w:sz w:val="16"/>
              </w:rPr>
              <w:t>94% retention metric incoherent</w:t>
            </w:r>
          </w:p>
        </w:tc>
        <w:tc>
          <w:tcPr>
            <w:tcW w:type="dxa" w:w="2351"/>
          </w:tcPr>
          <w:p>
            <w:r>
              <w:rPr>
                <w:sz w:val="16"/>
              </w:rPr>
              <w:t>"94% Beta customer retention at 90 days"</w:t>
            </w:r>
          </w:p>
        </w:tc>
        <w:tc>
          <w:tcPr>
            <w:tcW w:type="dxa" w:w="2351"/>
          </w:tcPr>
          <w:p>
            <w:r>
              <w:rPr>
                <w:sz w:val="16"/>
              </w:rPr>
              <w:t>"80% retention (4 of 5 beta customers, n=5 cohort — early signal only)"</w:t>
            </w:r>
          </w:p>
        </w:tc>
        <w:tc>
          <w:tcPr>
            <w:tcW w:type="dxa" w:w="2351"/>
            <w:shd w:val="clear" w:color="auto" w:fill="FFF3CC"/>
          </w:tcPr>
          <w:p>
            <w:r>
              <w:rPr>
                <w:b/>
                <w:sz w:val="16"/>
              </w:rPr>
              <w:t>Medium</w:t>
            </w:r>
          </w:p>
        </w:tc>
      </w:tr>
    </w:tbl>
    <w:p/>
    <w:p>
      <w:pPr>
        <w:pStyle w:val="Heading2"/>
      </w:pPr>
      <w:r>
        <w:rPr>
          <w:color w:val="00A896"/>
          <w:sz w:val="24"/>
        </w:rPr>
        <w:t>Do These Errors Significantly Alter the Project?</w:t>
      </w:r>
    </w:p>
    <w:p>
      <w:pPr>
        <w:spacing w:before="0" w:after="80"/>
      </w:pPr>
      <w:r>
        <w:rPr>
          <w:b w:val="0"/>
          <w:i w:val="0"/>
          <w:sz w:val="20"/>
        </w:rPr>
        <w:t>The core proposition — anonymised, team-level burnout risk detection for Irish SMBs — is commercially coherent and addresses a real problem. The statistical hallucinations inflate the market case but do not fabricate it. The EU AI Act classification issue is the most material: a high-risk determination would add 6–12 months to the compliance roadmap and reshape capital requirements. The 94% retention metric is the most immediately damaging — it reveals that the pipeline generated a percentage from an incoherent base (n=5). An investor reading closely will catch this and lose confidence in all other numbers.</w:t>
      </w:r>
    </w:p>
    <w:p>
      <w:r>
        <w:br w:type="page"/>
      </w:r>
    </w:p>
    <w:p>
      <w:pPr>
        <w:pStyle w:val="Heading1"/>
      </w:pPr>
      <w:r>
        <w:rPr>
          <w:color w:val="FF6B35"/>
          <w:sz w:val="30"/>
        </w:rPr>
        <w:t>Part D: Prototype</w:t>
      </w:r>
    </w:p>
    <w:p>
      <w:pPr>
        <w:spacing w:before="0" w:after="80"/>
      </w:pPr>
      <w:r>
        <w:rPr>
          <w:b w:val="0"/>
          <w:i/>
          <w:sz w:val="18"/>
        </w:rPr>
        <w:t>File: prototype.html (repository root) — served via GitHub Pages at:</w:t>
      </w:r>
    </w:p>
    <w:p>
      <w:pPr>
        <w:spacing w:before="0" w:after="80"/>
      </w:pPr>
      <w:r>
        <w:rPr>
          <w:b w:val="0"/>
          <w:i w:val="0"/>
          <w:sz w:val="18"/>
        </w:rPr>
        <w:t>https://vinayakcsnci.github.io/x25108093-innovator-critique/prototype.html</w:t>
      </w:r>
    </w:p>
    <w:p/>
    <w:p>
      <w:pPr>
        <w:spacing w:before="0" w:after="80"/>
      </w:pPr>
      <w:r>
        <w:rPr>
          <w:b w:val="0"/>
          <w:i w:val="0"/>
          <w:sz w:val="20"/>
        </w:rPr>
        <w:t>MangoMind's alpha prototype demonstrates the core value proposition: an HR manager sees a team-level Burnout Risk Index (BRI) computed in real time from four signal-category sliders (after-hours messaging, meeting density, pulse check-in sentiment, response latency), colour-coded from green (healthy, BRI ≤ 30) to red (critical, BRI &gt; 80).</w:t>
      </w:r>
    </w:p>
    <w:p/>
    <w:p>
      <w:pPr>
        <w:pStyle w:val="Heading2"/>
      </w:pPr>
      <w:r>
        <w:rPr>
          <w:color w:val="00A896"/>
          <w:sz w:val="24"/>
        </w:rPr>
        <w:t>Core Interactions Demonstrated</w:t>
      </w:r>
    </w:p>
    <w:p>
      <w:pPr>
        <w:pStyle w:val="ListBullet"/>
      </w:pPr>
      <w:r>
        <w:rPr>
          <w:sz w:val="20"/>
        </w:rPr>
        <w:t>Live BRI gauge (SVG) — real-time weighted formula: after-hours 35%, meetings 25%, sentiment 25%, latency 15%</w:t>
      </w:r>
    </w:p>
    <w:p>
      <w:pPr>
        <w:pStyle w:val="ListBullet"/>
      </w:pPr>
      <w:r>
        <w:rPr>
          <w:sz w:val="20"/>
        </w:rPr>
        <w:t>Signal-specific recommendations — the dominant contributing signal drives a tailored HR action message (not just a generic BRI band label)</w:t>
      </w:r>
    </w:p>
    <w:p>
      <w:pPr>
        <w:pStyle w:val="ListBullet"/>
      </w:pPr>
      <w:r>
        <w:rPr>
          <w:sz w:val="20"/>
        </w:rPr>
        <w:t>Signal breakdown table — shows each signal's contribution as a percentage of the total BRI</w:t>
      </w:r>
    </w:p>
    <w:p>
      <w:pPr>
        <w:pStyle w:val="ListBullet"/>
      </w:pPr>
      <w:r>
        <w:rPr>
          <w:sz w:val="20"/>
        </w:rPr>
        <w:t>Trend vs. 4-week baseline indicator (improving / stable / worsening)</w:t>
      </w:r>
    </w:p>
    <w:p>
      <w:pPr>
        <w:pStyle w:val="ListBullet"/>
      </w:pPr>
      <w:r>
        <w:rPr>
          <w:sz w:val="20"/>
        </w:rPr>
        <w:t>Signal-specific action buttons relevant to the highest-risk driver</w:t>
      </w:r>
    </w:p>
    <w:p>
      <w:pPr>
        <w:pStyle w:val="ListBullet"/>
      </w:pPr>
      <w:r>
        <w:rPr>
          <w:sz w:val="20"/>
        </w:rPr>
        <w:t>4-week historical sparkline showing simulated trend</w:t>
      </w:r>
    </w:p>
    <w:p>
      <w:pPr>
        <w:pStyle w:val="ListBullet"/>
      </w:pPr>
      <w:r>
        <w:rPr>
          <w:sz w:val="20"/>
        </w:rPr>
        <w:t>Transparency panel: exact list of what MangoMind tracks (✓) and does not track (✗) including "Message content — never read"</w:t>
      </w:r>
    </w:p>
    <w:p/>
    <w:p>
      <w:pPr>
        <w:spacing w:before="0" w:after="80"/>
      </w:pPr>
      <w:r>
        <w:rPr>
          <w:b/>
          <w:i w:val="0"/>
          <w:sz w:val="18"/>
        </w:rPr>
        <w:t>Commit hash: 5e7713159ea958c32bd6c29b2f99c2d78d5a2c4f</w:t>
      </w:r>
    </w:p>
    <w:p>
      <w:r>
        <w:br w:type="page"/>
      </w:r>
    </w:p>
    <w:p>
      <w:pPr>
        <w:pStyle w:val="Heading1"/>
      </w:pPr>
      <w:r>
        <w:rPr>
          <w:color w:val="FF6B35"/>
          <w:sz w:val="30"/>
        </w:rPr>
        <w:t>Part E: Business Modelling</w:t>
      </w:r>
    </w:p>
    <w:p>
      <w:pPr>
        <w:pStyle w:val="Heading2"/>
      </w:pPr>
      <w:r>
        <w:rPr>
          <w:color w:val="00A896"/>
          <w:sz w:val="24"/>
        </w:rPr>
        <w:t>Position: Ship with Named Conditions (Option b)</w:t>
      </w:r>
    </w:p>
    <w:p/>
    <w:p>
      <w:pPr>
        <w:spacing w:before="0" w:after="80"/>
      </w:pPr>
      <w:r>
        <w:rPr>
          <w:b w:val="0"/>
          <w:i w:val="0"/>
          <w:sz w:val="20"/>
        </w:rPr>
        <w:t>MangoMind should not ship in 90 days in its current form, but it is not a "do not ship" situation. The product has a real problem, a coherent solution, and early market signal. Three non-negotiable conditions must be met before launch.</w:t>
      </w:r>
    </w:p>
    <w:p/>
    <w:p>
      <w:pPr>
        <w:pStyle w:val="Heading2"/>
      </w:pPr>
      <w:r>
        <w:rPr>
          <w:color w:val="00A896"/>
          <w:sz w:val="24"/>
        </w:rPr>
        <w:t>Advisory Team Stress-Test</w:t>
      </w:r>
    </w:p>
    <w:p>
      <w:pPr>
        <w:pStyle w:val="Heading2"/>
      </w:pPr>
      <w:r>
        <w:rPr>
          <w:color w:val="00A896"/>
          <w:sz w:val="24"/>
        </w:rPr>
        <w:t>Dr. Alison Walsh, employment law barrister</w:t>
      </w:r>
    </w:p>
    <w:p>
      <w:pPr>
        <w:ind w:left="432"/>
      </w:pPr>
      <w:r>
        <w:rPr>
          <w:i/>
          <w:color w:val="4A5568"/>
          <w:sz w:val="19"/>
        </w:rPr>
        <w:t>"Your EU AI Act classification is self-declared. Systems monitoring worker behaviour in an employment context to infer health states are squarely in the zone of Annex III (4)(a). You have not conducted a conformity assessment. Do not ship until this is legally settled."</w:t>
      </w:r>
    </w:p>
    <w:p/>
    <w:p>
      <w:pPr>
        <w:pStyle w:val="Heading2"/>
      </w:pPr>
      <w:r>
        <w:rPr>
          <w:color w:val="00A896"/>
          <w:sz w:val="24"/>
        </w:rPr>
        <w:t>Ciarán Hayes, CFO</w:t>
      </w:r>
    </w:p>
    <w:p>
      <w:pPr>
        <w:ind w:left="432"/>
      </w:pPr>
      <w:r>
        <w:rPr>
          <w:i/>
          <w:color w:val="4A5568"/>
          <w:sz w:val="19"/>
        </w:rPr>
        <w:t>"Your 94% retention metric is computed on n=5. No institutional investor will accept this as a traction metric. You've also cited a statistic (IBEC 78%) that cannot be verified. Fix your numbers before you close this round."</w:t>
      </w:r>
    </w:p>
    <w:p/>
    <w:p>
      <w:pPr>
        <w:pStyle w:val="Heading2"/>
      </w:pPr>
      <w:r>
        <w:rPr>
          <w:color w:val="00A896"/>
          <w:sz w:val="24"/>
        </w:rPr>
        <w:t>Prof. Mary Dempsey, occupational psychologist</w:t>
      </w:r>
    </w:p>
    <w:p>
      <w:pPr>
        <w:ind w:left="432"/>
      </w:pPr>
      <w:r>
        <w:rPr>
          <w:i/>
          <w:color w:val="4A5568"/>
          <w:sz w:val="19"/>
        </w:rPr>
        <w:t>"Your clinical claim — detect burnout 3 weeks ahead — has no RCT behind it. Deploying this at scale without a validation study risks causing harm: HR managers acting on false positives. The UCD study is the right call. Do not make clinical efficacy claims until you have the data."</w:t>
      </w:r>
    </w:p>
    <w:p/>
    <w:p>
      <w:pPr>
        <w:pStyle w:val="Heading2"/>
      </w:pPr>
      <w:r>
        <w:rPr>
          <w:color w:val="00A896"/>
          <w:sz w:val="24"/>
        </w:rPr>
        <w:t>Siobhán Ní Mhurchú, trade union official</w:t>
      </w:r>
    </w:p>
    <w:p>
      <w:pPr>
        <w:ind w:left="432"/>
      </w:pPr>
      <w:r>
        <w:rPr>
          <w:i/>
          <w:color w:val="4A5568"/>
          <w:sz w:val="19"/>
        </w:rPr>
        <w:t>"No Irish trade union has been consulted on this technology. The moment a union receives a complaint that management is using AI to monitor worker stress without negotiation, your reputation is finished. Engage unions now, before customers sign."</w:t>
      </w:r>
    </w:p>
    <w:p/>
    <w:p>
      <w:pPr>
        <w:pStyle w:val="Heading2"/>
      </w:pPr>
      <w:r>
        <w:rPr>
          <w:color w:val="00A896"/>
          <w:sz w:val="24"/>
        </w:rPr>
        <w:t>Pre-Mortem: Three Failure Modes</w:t>
      </w:r>
    </w:p>
    <w:p>
      <w:pPr>
        <w:pStyle w:val="ListBullet"/>
      </w:pPr>
      <w:r>
        <w:rPr>
          <w:sz w:val="20"/>
        </w:rPr>
        <w:t>Regulatory misclassification — shipping under incorrect AI Act risk category triggers DPC investigation</w:t>
      </w:r>
    </w:p>
    <w:p>
      <w:pPr>
        <w:pStyle w:val="ListBullet"/>
      </w:pPr>
      <w:r>
        <w:rPr>
          <w:sz w:val="20"/>
        </w:rPr>
        <w:t>Trust betrayal at first adverse event — any customer misuse of BRI data becomes MangoMind's reputational liability</w:t>
      </w:r>
    </w:p>
    <w:p>
      <w:pPr>
        <w:pStyle w:val="ListBullet"/>
      </w:pPr>
      <w:r>
        <w:rPr>
          <w:sz w:val="20"/>
        </w:rPr>
        <w:t>Clinical overclaiming — a false-positive BRI alert leads to documented HR action; employee suffers harm; negligence exposure follows</w:t>
      </w:r>
    </w:p>
    <w:p/>
    <w:p>
      <w:pPr>
        <w:pStyle w:val="Heading2"/>
      </w:pPr>
      <w:r>
        <w:rPr>
          <w:color w:val="00A896"/>
          <w:sz w:val="24"/>
        </w:rPr>
        <w:t>The Three Non-Negotiable Conditions</w:t>
      </w:r>
    </w:p>
    <w:p>
      <w:pPr>
        <w:pStyle w:val="Heading2"/>
      </w:pPr>
      <w:r>
        <w:rPr>
          <w:color w:val="00A896"/>
          <w:sz w:val="24"/>
        </w:rPr>
        <w:t>Condition 1: EU AI Act conformity assessment</w:t>
      </w:r>
    </w:p>
    <w:p>
      <w:pPr>
        <w:spacing w:before="0" w:after="80"/>
      </w:pPr>
      <w:r>
        <w:rPr>
          <w:b w:val="0"/>
          <w:i w:val="0"/>
          <w:sz w:val="20"/>
        </w:rPr>
        <w:t>Without a formal legal opinion confirming limited-risk status, shipping is regulatory non-compliance. Timeline: 90 days. Cost: €25K.</w:t>
      </w:r>
    </w:p>
    <w:p/>
    <w:p>
      <w:pPr>
        <w:pStyle w:val="Heading2"/>
      </w:pPr>
      <w:r>
        <w:rPr>
          <w:color w:val="00A896"/>
          <w:sz w:val="24"/>
        </w:rPr>
        <w:t>Condition 2: IBEC/ICTU joint engagement; model union clause agreed</w:t>
      </w:r>
    </w:p>
    <w:p>
      <w:pPr>
        <w:spacing w:before="0" w:after="80"/>
      </w:pPr>
      <w:r>
        <w:rPr>
          <w:b w:val="0"/>
          <w:i w:val="0"/>
          <w:sz w:val="20"/>
        </w:rPr>
        <w:t>Irish employment law requires consultation with employee representatives before deploying behavioural monitoring. Timeline: 60–90 days. Cost: €10K.</w:t>
      </w:r>
    </w:p>
    <w:p/>
    <w:p>
      <w:pPr>
        <w:pStyle w:val="Heading2"/>
      </w:pPr>
      <w:r>
        <w:rPr>
          <w:color w:val="00A896"/>
          <w:sz w:val="24"/>
        </w:rPr>
        <w:t>Condition 3: All artefact statistics independently verified and corrected</w:t>
      </w:r>
    </w:p>
    <w:p>
      <w:pPr>
        <w:spacing w:before="0" w:after="80"/>
      </w:pPr>
      <w:r>
        <w:rPr>
          <w:b w:val="0"/>
          <w:i w:val="0"/>
          <w:sz w:val="20"/>
        </w:rPr>
        <w:t>Three claims are currently unverifiable or wrong (Part C). An investor detecting fabricated statistics during diligence will withdraw. Timeline: 2 weeks. Cost: zero.</w:t>
      </w:r>
    </w:p>
    <w:p/>
    <w:p>
      <w:pPr>
        <w:pStyle w:val="Heading2"/>
      </w:pPr>
      <w:r>
        <w:rPr>
          <w:color w:val="00A896"/>
          <w:sz w:val="24"/>
        </w:rPr>
        <w:t>Scenario Analysis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F0F0F0"/>
          </w:tcPr>
          <w:p>
            <w:r>
              <w:rPr>
                <w:b/>
                <w:sz w:val="18"/>
              </w:rPr>
              <w:t>Scenario</w:t>
            </w:r>
          </w:p>
        </w:tc>
        <w:tc>
          <w:tcPr>
            <w:tcW w:type="dxa" w:w="2351"/>
            <w:shd w:val="clear" w:color="auto" w:fill="F0F0F0"/>
          </w:tcPr>
          <w:p>
            <w:r>
              <w:rPr>
                <w:b/>
                <w:sz w:val="18"/>
              </w:rPr>
              <w:t>Year 1 ARR</w:t>
            </w:r>
          </w:p>
        </w:tc>
        <w:tc>
          <w:tcPr>
            <w:tcW w:type="dxa" w:w="2351"/>
            <w:shd w:val="clear" w:color="auto" w:fill="F0F0F0"/>
          </w:tcPr>
          <w:p>
            <w:r>
              <w:rPr>
                <w:b/>
                <w:sz w:val="18"/>
              </w:rPr>
              <w:t>Year 3 ARR</w:t>
            </w:r>
          </w:p>
        </w:tc>
        <w:tc>
          <w:tcPr>
            <w:tcW w:type="dxa" w:w="2351"/>
            <w:shd w:val="clear" w:color="auto" w:fill="F0F0F0"/>
          </w:tcPr>
          <w:p>
            <w:r>
              <w:rPr>
                <w:b/>
                <w:sz w:val="18"/>
              </w:rPr>
              <w:t>Key Assumption</w:t>
            </w:r>
          </w:p>
        </w:tc>
      </w:tr>
      <w:tr>
        <w:tc>
          <w:tcPr>
            <w:tcW w:type="dxa" w:w="2351"/>
          </w:tcPr>
          <w:p>
            <w:r>
              <w:rPr>
                <w:sz w:val="18"/>
              </w:rPr>
              <w:t>Best case</w:t>
            </w:r>
          </w:p>
        </w:tc>
        <w:tc>
          <w:tcPr>
            <w:tcW w:type="dxa" w:w="2351"/>
          </w:tcPr>
          <w:p>
            <w:r>
              <w:rPr>
                <w:sz w:val="18"/>
              </w:rPr>
              <w:t>€720K</w:t>
            </w:r>
          </w:p>
        </w:tc>
        <w:tc>
          <w:tcPr>
            <w:tcW w:type="dxa" w:w="2351"/>
          </w:tcPr>
          <w:p>
            <w:r>
              <w:rPr>
                <w:sz w:val="18"/>
              </w:rPr>
              <w:t>€9.2M</w:t>
            </w:r>
          </w:p>
        </w:tc>
        <w:tc>
          <w:tcPr>
            <w:tcW w:type="dxa" w:w="2351"/>
          </w:tcPr>
          <w:p>
            <w:r>
              <w:rPr>
                <w:sz w:val="18"/>
              </w:rPr>
              <w:t>IBEC endorsement + EAP partnership in Year 1</w:t>
            </w:r>
          </w:p>
        </w:tc>
      </w:tr>
      <w:tr>
        <w:tc>
          <w:tcPr>
            <w:tcW w:type="dxa" w:w="2351"/>
          </w:tcPr>
          <w:p>
            <w:r>
              <w:rPr>
                <w:sz w:val="18"/>
              </w:rPr>
              <w:t>Base case</w:t>
            </w:r>
          </w:p>
        </w:tc>
        <w:tc>
          <w:tcPr>
            <w:tcW w:type="dxa" w:w="2351"/>
          </w:tcPr>
          <w:p>
            <w:r>
              <w:rPr>
                <w:sz w:val="18"/>
              </w:rPr>
              <w:t>€450K</w:t>
            </w:r>
          </w:p>
        </w:tc>
        <w:tc>
          <w:tcPr>
            <w:tcW w:type="dxa" w:w="2351"/>
          </w:tcPr>
          <w:p>
            <w:r>
              <w:rPr>
                <w:sz w:val="18"/>
              </w:rPr>
              <w:t>€6.3M</w:t>
            </w:r>
          </w:p>
        </w:tc>
        <w:tc>
          <w:tcPr>
            <w:tcW w:type="dxa" w:w="2351"/>
          </w:tcPr>
          <w:p>
            <w:r>
              <w:rPr>
                <w:sz w:val="18"/>
              </w:rPr>
              <w:t>25 → 120 → 280 customers as per plan</w:t>
            </w:r>
          </w:p>
        </w:tc>
      </w:tr>
      <w:tr>
        <w:tc>
          <w:tcPr>
            <w:tcW w:type="dxa" w:w="2351"/>
          </w:tcPr>
          <w:p>
            <w:r>
              <w:rPr>
                <w:sz w:val="18"/>
              </w:rPr>
              <w:t>Worst case</w:t>
            </w:r>
          </w:p>
        </w:tc>
        <w:tc>
          <w:tcPr>
            <w:tcW w:type="dxa" w:w="2351"/>
          </w:tcPr>
          <w:p>
            <w:r>
              <w:rPr>
                <w:sz w:val="18"/>
              </w:rPr>
              <w:t>€180K</w:t>
            </w:r>
          </w:p>
        </w:tc>
        <w:tc>
          <w:tcPr>
            <w:tcW w:type="dxa" w:w="2351"/>
          </w:tcPr>
          <w:p>
            <w:r>
              <w:rPr>
                <w:sz w:val="18"/>
              </w:rPr>
              <w:t>€2.1M</w:t>
            </w:r>
          </w:p>
        </w:tc>
        <w:tc>
          <w:tcPr>
            <w:tcW w:type="dxa" w:w="2351"/>
          </w:tcPr>
          <w:p>
            <w:r>
              <w:rPr>
                <w:sz w:val="18"/>
              </w:rPr>
              <w:t>AI Act high-risk classification delays launch 6 months</w:t>
            </w:r>
          </w:p>
        </w:tc>
      </w:tr>
    </w:tbl>
    <w:p>
      <w:r>
        <w:br w:type="page"/>
      </w:r>
    </w:p>
    <w:p>
      <w:pPr>
        <w:pStyle w:val="Heading1"/>
      </w:pPr>
      <w:r>
        <w:rPr>
          <w:color w:val="FF6B35"/>
          <w:sz w:val="30"/>
        </w:rPr>
        <w:t>Part F: The Plan — 90-Day and 180-Day Capital Allocation</w:t>
      </w:r>
    </w:p>
    <w:p>
      <w:pPr>
        <w:spacing w:before="0" w:after="80"/>
      </w:pPr>
      <w:r>
        <w:rPr>
          <w:b w:val="0"/>
          <w:i/>
          <w:sz w:val="18"/>
        </w:rPr>
        <w:t>Total Seed Capital: €2,000,000 | 90-Day Period: April–June 2026 | 180-Day Period: to September 2026</w:t>
      </w:r>
    </w:p>
    <w:p/>
    <w:p>
      <w:pPr>
        <w:spacing w:before="0" w:after="80"/>
      </w:pPr>
      <w:r>
        <w:rPr>
          <w:b w:val="0"/>
          <w:i w:val="0"/>
          <w:sz w:val="20"/>
        </w:rPr>
        <w:t>The €2M seed must achieve one objective: get MangoMind to a credible Series A conversation. The regulatory and compliance workstream (Part A findings) is the critical path — it gates every other activity.</w:t>
      </w:r>
    </w:p>
    <w:p/>
    <w:p>
      <w:pPr>
        <w:pStyle w:val="Heading2"/>
      </w:pPr>
      <w:r>
        <w:rPr>
          <w:color w:val="00A896"/>
          <w:sz w:val="24"/>
        </w:rPr>
        <w:t>90-Day Plan (€274K deployed of €1M first tranche)</w:t>
      </w:r>
    </w:p>
    <w:p>
      <w:pPr>
        <w:pStyle w:val="Heading2"/>
      </w:pPr>
      <w:r>
        <w:rPr>
          <w:color w:val="00A896"/>
          <w:sz w:val="24"/>
        </w:rPr>
        <w:t>Hiring Sequence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F0F0F0"/>
          </w:tcPr>
          <w:p>
            <w:r>
              <w:rPr>
                <w:b/>
                <w:sz w:val="18"/>
              </w:rPr>
              <w:t>Week</w:t>
            </w:r>
          </w:p>
        </w:tc>
        <w:tc>
          <w:tcPr>
            <w:tcW w:type="dxa" w:w="3135"/>
            <w:shd w:val="clear" w:color="auto" w:fill="F0F0F0"/>
          </w:tcPr>
          <w:p>
            <w:r>
              <w:rPr>
                <w:b/>
                <w:sz w:val="18"/>
              </w:rPr>
              <w:t>Role</w:t>
            </w:r>
          </w:p>
        </w:tc>
        <w:tc>
          <w:tcPr>
            <w:tcW w:type="dxa" w:w="3135"/>
            <w:shd w:val="clear" w:color="auto" w:fill="F0F0F0"/>
          </w:tcPr>
          <w:p>
            <w:r>
              <w:rPr>
                <w:b/>
                <w:sz w:val="18"/>
              </w:rPr>
              <w:t>Rationale</w:t>
            </w:r>
          </w:p>
        </w:tc>
      </w:tr>
      <w:tr>
        <w:tc>
          <w:tcPr>
            <w:tcW w:type="dxa" w:w="3135"/>
          </w:tcPr>
          <w:p>
            <w:r>
              <w:rPr>
                <w:sz w:val="16"/>
              </w:rPr>
              <w:t>Day 1</w:t>
            </w:r>
          </w:p>
        </w:tc>
        <w:tc>
          <w:tcPr>
            <w:tcW w:type="dxa" w:w="3135"/>
          </w:tcPr>
          <w:p>
            <w:r>
              <w:rPr>
                <w:sz w:val="16"/>
              </w:rPr>
              <w:t>CEO, CTO, CSO (founders)</w:t>
            </w:r>
          </w:p>
        </w:tc>
        <w:tc>
          <w:tcPr>
            <w:tcW w:type="dxa" w:w="3135"/>
          </w:tcPr>
          <w:p>
            <w:r>
              <w:rPr>
                <w:sz w:val="16"/>
              </w:rPr>
              <w:t>Founding team already committed</w:t>
            </w:r>
          </w:p>
        </w:tc>
      </w:tr>
      <w:tr>
        <w:tc>
          <w:tcPr>
            <w:tcW w:type="dxa" w:w="3135"/>
          </w:tcPr>
          <w:p>
            <w:r>
              <w:rPr>
                <w:sz w:val="16"/>
              </w:rPr>
              <w:t>Week 2</w:t>
            </w:r>
          </w:p>
        </w:tc>
        <w:tc>
          <w:tcPr>
            <w:tcW w:type="dxa" w:w="3135"/>
          </w:tcPr>
          <w:p>
            <w:r>
              <w:rPr>
                <w:sz w:val="16"/>
              </w:rPr>
              <w:t>Legal Counsel (part-time retainer, €15K)</w:t>
            </w:r>
          </w:p>
        </w:tc>
        <w:tc>
          <w:tcPr>
            <w:tcW w:type="dxa" w:w="3135"/>
          </w:tcPr>
          <w:p>
            <w:r>
              <w:rPr>
                <w:sz w:val="16"/>
              </w:rPr>
              <w:t>EU AI Act conformity assessment is critical path</w:t>
            </w:r>
          </w:p>
        </w:tc>
      </w:tr>
      <w:tr>
        <w:tc>
          <w:tcPr>
            <w:tcW w:type="dxa" w:w="3135"/>
          </w:tcPr>
          <w:p>
            <w:r>
              <w:rPr>
                <w:sz w:val="16"/>
              </w:rPr>
              <w:t>Week 4</w:t>
            </w:r>
          </w:p>
        </w:tc>
        <w:tc>
          <w:tcPr>
            <w:tcW w:type="dxa" w:w="3135"/>
          </w:tcPr>
          <w:p>
            <w:r>
              <w:rPr>
                <w:sz w:val="16"/>
              </w:rPr>
              <w:t>Senior ML Engineer (FTE, €85K pa)</w:t>
            </w:r>
          </w:p>
        </w:tc>
        <w:tc>
          <w:tcPr>
            <w:tcW w:type="dxa" w:w="3135"/>
          </w:tcPr>
          <w:p>
            <w:r>
              <w:rPr>
                <w:sz w:val="16"/>
              </w:rPr>
              <w:t>Rebuild BRI model to production-grade</w:t>
            </w:r>
          </w:p>
        </w:tc>
      </w:tr>
      <w:tr>
        <w:tc>
          <w:tcPr>
            <w:tcW w:type="dxa" w:w="3135"/>
          </w:tcPr>
          <w:p>
            <w:r>
              <w:rPr>
                <w:sz w:val="16"/>
              </w:rPr>
              <w:t>Week 6</w:t>
            </w:r>
          </w:p>
        </w:tc>
        <w:tc>
          <w:tcPr>
            <w:tcW w:type="dxa" w:w="3135"/>
          </w:tcPr>
          <w:p>
            <w:r>
              <w:rPr>
                <w:sz w:val="16"/>
              </w:rPr>
              <w:t>Head of Product/Design (FTE, €75K pa)</w:t>
            </w:r>
          </w:p>
        </w:tc>
        <w:tc>
          <w:tcPr>
            <w:tcW w:type="dxa" w:w="3135"/>
          </w:tcPr>
          <w:p>
            <w:r>
              <w:rPr>
                <w:sz w:val="16"/>
              </w:rPr>
              <w:t>Dashboard UX required for beta-to-paid conversion</w:t>
            </w:r>
          </w:p>
        </w:tc>
      </w:tr>
      <w:tr>
        <w:tc>
          <w:tcPr>
            <w:tcW w:type="dxa" w:w="3135"/>
          </w:tcPr>
          <w:p>
            <w:r>
              <w:rPr>
                <w:sz w:val="16"/>
              </w:rPr>
              <w:t>Week 8</w:t>
            </w:r>
          </w:p>
        </w:tc>
        <w:tc>
          <w:tcPr>
            <w:tcW w:type="dxa" w:w="3135"/>
          </w:tcPr>
          <w:p>
            <w:r>
              <w:rPr>
                <w:sz w:val="16"/>
              </w:rPr>
              <w:t>DPO (fractional, €2K/mo)</w:t>
            </w:r>
          </w:p>
        </w:tc>
        <w:tc>
          <w:tcPr>
            <w:tcW w:type="dxa" w:w="3135"/>
          </w:tcPr>
          <w:p>
            <w:r>
              <w:rPr>
                <w:sz w:val="16"/>
              </w:rPr>
              <w:t>GDPR DPIA registration and DPC liaison</w:t>
            </w:r>
          </w:p>
        </w:tc>
      </w:tr>
    </w:tbl>
    <w:p/>
    <w:p>
      <w:pPr>
        <w:pStyle w:val="Heading2"/>
      </w:pPr>
      <w:r>
        <w:rPr>
          <w:color w:val="00A896"/>
          <w:sz w:val="24"/>
        </w:rPr>
        <w:t>90-Day Line-Item Budget</w:t>
      </w:r>
    </w:p>
    <w:tbl>
      <w:tblPr>
        <w:tblStyle w:val="TableGrid"/>
        <w:tblW w:type="auto" w:w="0"/>
        <w:tblLook w:firstColumn="1" w:firstRow="1" w:lastColumn="0" w:lastRow="0" w:noHBand="0" w:noVBand="1" w:val="04A0"/>
      </w:tblPr>
      <w:tblGrid>
        <w:gridCol w:w="4703"/>
        <w:gridCol w:w="4703"/>
      </w:tblGrid>
      <w:tr>
        <w:tc>
          <w:tcPr>
            <w:tcW w:type="dxa" w:w="4703"/>
          </w:tcPr>
          <w:p>
            <w:r>
              <w:rPr>
                <w:sz w:val="18"/>
              </w:rPr>
              <w:t>Salaries (ML Engineer 3mo + Head of Product 1.5mo + founders)</w:t>
            </w:r>
          </w:p>
        </w:tc>
        <w:tc>
          <w:tcPr>
            <w:tcW w:type="dxa" w:w="4703"/>
          </w:tcPr>
          <w:p>
            <w:r>
              <w:rPr>
                <w:sz w:val="18"/>
              </w:rPr>
              <w:t>€115K</w:t>
            </w:r>
          </w:p>
        </w:tc>
      </w:tr>
      <w:tr>
        <w:tc>
          <w:tcPr>
            <w:tcW w:type="dxa" w:w="4703"/>
          </w:tcPr>
          <w:p>
            <w:r>
              <w:rPr>
                <w:sz w:val="18"/>
              </w:rPr>
              <w:t>Legal &amp; Compliance (EU AI Act, DPIA, union clause)</w:t>
            </w:r>
          </w:p>
        </w:tc>
        <w:tc>
          <w:tcPr>
            <w:tcW w:type="dxa" w:w="4703"/>
          </w:tcPr>
          <w:p>
            <w:r>
              <w:rPr>
                <w:sz w:val="18"/>
              </w:rPr>
              <w:t>€55K</w:t>
            </w:r>
          </w:p>
        </w:tc>
      </w:tr>
      <w:tr>
        <w:tc>
          <w:tcPr>
            <w:tcW w:type="dxa" w:w="4703"/>
          </w:tcPr>
          <w:p>
            <w:r>
              <w:rPr>
                <w:sz w:val="18"/>
              </w:rPr>
              <w:t>Product &amp; Engineering (infrastructure, AWS, tools)</w:t>
            </w:r>
          </w:p>
        </w:tc>
        <w:tc>
          <w:tcPr>
            <w:tcW w:type="dxa" w:w="4703"/>
          </w:tcPr>
          <w:p>
            <w:r>
              <w:rPr>
                <w:sz w:val="18"/>
              </w:rPr>
              <w:t>€20K</w:t>
            </w:r>
          </w:p>
        </w:tc>
      </w:tr>
      <w:tr>
        <w:tc>
          <w:tcPr>
            <w:tcW w:type="dxa" w:w="4703"/>
          </w:tcPr>
          <w:p>
            <w:r>
              <w:rPr>
                <w:sz w:val="18"/>
              </w:rPr>
              <w:t>Sales &amp; Marketing (IBEC pipeline, CIPD conference, content)</w:t>
            </w:r>
          </w:p>
        </w:tc>
        <w:tc>
          <w:tcPr>
            <w:tcW w:type="dxa" w:w="4703"/>
          </w:tcPr>
          <w:p>
            <w:r>
              <w:rPr>
                <w:sz w:val="18"/>
              </w:rPr>
              <w:t>€48K</w:t>
            </w:r>
          </w:p>
        </w:tc>
      </w:tr>
      <w:tr>
        <w:tc>
          <w:tcPr>
            <w:tcW w:type="dxa" w:w="4703"/>
          </w:tcPr>
          <w:p>
            <w:r>
              <w:rPr>
                <w:sz w:val="18"/>
              </w:rPr>
              <w:t>DPO (fractional, 3 months)</w:t>
            </w:r>
          </w:p>
        </w:tc>
        <w:tc>
          <w:tcPr>
            <w:tcW w:type="dxa" w:w="4703"/>
          </w:tcPr>
          <w:p>
            <w:r>
              <w:rPr>
                <w:sz w:val="18"/>
              </w:rPr>
              <w:t>€6K</w:t>
            </w:r>
          </w:p>
        </w:tc>
      </w:tr>
      <w:tr>
        <w:tc>
          <w:tcPr>
            <w:tcW w:type="dxa" w:w="4703"/>
          </w:tcPr>
          <w:p>
            <w:r>
              <w:rPr>
                <w:sz w:val="18"/>
              </w:rPr>
              <w:t>Advisor fees (clinical, legal)</w:t>
            </w:r>
          </w:p>
        </w:tc>
        <w:tc>
          <w:tcPr>
            <w:tcW w:type="dxa" w:w="4703"/>
          </w:tcPr>
          <w:p>
            <w:r>
              <w:rPr>
                <w:sz w:val="18"/>
              </w:rPr>
              <w:t>€15K</w:t>
            </w:r>
          </w:p>
        </w:tc>
      </w:tr>
      <w:tr>
        <w:tc>
          <w:tcPr>
            <w:tcW w:type="dxa" w:w="4703"/>
          </w:tcPr>
          <w:p>
            <w:r>
              <w:rPr>
                <w:sz w:val="18"/>
              </w:rPr>
              <w:t>Operations &amp; Admin</w:t>
            </w:r>
          </w:p>
        </w:tc>
        <w:tc>
          <w:tcPr>
            <w:tcW w:type="dxa" w:w="4703"/>
          </w:tcPr>
          <w:p>
            <w:r>
              <w:rPr>
                <w:sz w:val="18"/>
              </w:rPr>
              <w:t>€15K</w:t>
            </w:r>
          </w:p>
        </w:tc>
      </w:tr>
      <w:tr>
        <w:tc>
          <w:tcPr>
            <w:tcW w:type="dxa" w:w="4703"/>
            <w:shd w:val="clear" w:color="auto" w:fill="FFF3CC"/>
          </w:tcPr>
          <w:p>
            <w:r>
              <w:rPr>
                <w:b/>
                <w:sz w:val="18"/>
              </w:rPr>
              <w:t>Total 90-Day Deployed</w:t>
            </w:r>
          </w:p>
        </w:tc>
        <w:tc>
          <w:tcPr>
            <w:tcW w:type="dxa" w:w="4703"/>
            <w:shd w:val="clear" w:color="auto" w:fill="FFF3CC"/>
          </w:tcPr>
          <w:p>
            <w:r>
              <w:rPr>
                <w:b/>
                <w:sz w:val="18"/>
              </w:rPr>
              <w:t>€274K</w:t>
            </w:r>
          </w:p>
        </w:tc>
      </w:tr>
      <w:tr>
        <w:tc>
          <w:tcPr>
            <w:tcW w:type="dxa" w:w="4703"/>
          </w:tcPr>
          <w:p>
            <w:r>
              <w:rPr>
                <w:b/>
                <w:sz w:val="18"/>
              </w:rPr>
              <w:t>Retained for Days 91–180</w:t>
            </w:r>
          </w:p>
        </w:tc>
        <w:tc>
          <w:tcPr>
            <w:tcW w:type="dxa" w:w="4703"/>
          </w:tcPr>
          <w:p>
            <w:r>
              <w:rPr>
                <w:b/>
                <w:sz w:val="18"/>
              </w:rPr>
              <w:t>€726K</w:t>
            </w:r>
          </w:p>
        </w:tc>
      </w:tr>
    </w:tbl>
    <w:p/>
    <w:p>
      <w:pPr>
        <w:pStyle w:val="Heading2"/>
      </w:pPr>
      <w:r>
        <w:rPr>
          <w:color w:val="00A896"/>
          <w:sz w:val="24"/>
        </w:rPr>
        <w:t>180-Day Plan (additional €543K deployed; €183K held as reserve)</w:t>
      </w:r>
    </w:p>
    <w:tbl>
      <w:tblPr>
        <w:tblStyle w:val="TableGrid"/>
        <w:tblW w:type="auto" w:w="0"/>
        <w:tblLook w:firstColumn="1" w:firstRow="1" w:lastColumn="0" w:lastRow="0" w:noHBand="0" w:noVBand="1" w:val="04A0"/>
      </w:tblPr>
      <w:tblGrid>
        <w:gridCol w:w="4703"/>
        <w:gridCol w:w="4703"/>
      </w:tblGrid>
      <w:tr>
        <w:tc>
          <w:tcPr>
            <w:tcW w:type="dxa" w:w="4703"/>
          </w:tcPr>
          <w:p>
            <w:r>
              <w:rPr>
                <w:sz w:val="18"/>
              </w:rPr>
              <w:t>Salaries (3 new hires: AE, CSM, Senior BE + full team)</w:t>
            </w:r>
          </w:p>
        </w:tc>
        <w:tc>
          <w:tcPr>
            <w:tcW w:type="dxa" w:w="4703"/>
          </w:tcPr>
          <w:p>
            <w:r>
              <w:rPr>
                <w:sz w:val="18"/>
              </w:rPr>
              <w:t>€295K</w:t>
            </w:r>
          </w:p>
        </w:tc>
      </w:tr>
      <w:tr>
        <w:tc>
          <w:tcPr>
            <w:tcW w:type="dxa" w:w="4703"/>
          </w:tcPr>
          <w:p>
            <w:r>
              <w:rPr>
                <w:sz w:val="18"/>
              </w:rPr>
              <w:t>Sales &amp; Marketing (EAP partnership, PR launch, case studies)</w:t>
            </w:r>
          </w:p>
        </w:tc>
        <w:tc>
          <w:tcPr>
            <w:tcW w:type="dxa" w:w="4703"/>
          </w:tcPr>
          <w:p>
            <w:r>
              <w:rPr>
                <w:sz w:val="18"/>
              </w:rPr>
              <w:t>€103K</w:t>
            </w:r>
          </w:p>
        </w:tc>
      </w:tr>
      <w:tr>
        <w:tc>
          <w:tcPr>
            <w:tcW w:type="dxa" w:w="4703"/>
          </w:tcPr>
          <w:p>
            <w:r>
              <w:rPr>
                <w:sz w:val="18"/>
              </w:rPr>
              <w:t>Clinical Validation Study (UCD)</w:t>
            </w:r>
          </w:p>
        </w:tc>
        <w:tc>
          <w:tcPr>
            <w:tcW w:type="dxa" w:w="4703"/>
          </w:tcPr>
          <w:p>
            <w:r>
              <w:rPr>
                <w:sz w:val="18"/>
              </w:rPr>
              <w:t>€40K</w:t>
            </w:r>
          </w:p>
        </w:tc>
      </w:tr>
      <w:tr>
        <w:tc>
          <w:tcPr>
            <w:tcW w:type="dxa" w:w="4703"/>
          </w:tcPr>
          <w:p>
            <w:r>
              <w:rPr>
                <w:sz w:val="18"/>
              </w:rPr>
              <w:t>ISO 27001 Audit</w:t>
            </w:r>
          </w:p>
        </w:tc>
        <w:tc>
          <w:tcPr>
            <w:tcW w:type="dxa" w:w="4703"/>
          </w:tcPr>
          <w:p>
            <w:r>
              <w:rPr>
                <w:sz w:val="18"/>
              </w:rPr>
              <w:t>€20K</w:t>
            </w:r>
          </w:p>
        </w:tc>
      </w:tr>
      <w:tr>
        <w:tc>
          <w:tcPr>
            <w:tcW w:type="dxa" w:w="4703"/>
          </w:tcPr>
          <w:p>
            <w:r>
              <w:rPr>
                <w:sz w:val="18"/>
              </w:rPr>
              <w:t>Legal (ongoing compliance, partnership contracts)</w:t>
            </w:r>
          </w:p>
        </w:tc>
        <w:tc>
          <w:tcPr>
            <w:tcW w:type="dxa" w:w="4703"/>
          </w:tcPr>
          <w:p>
            <w:r>
              <w:rPr>
                <w:sz w:val="18"/>
              </w:rPr>
              <w:t>€25K</w:t>
            </w:r>
          </w:p>
        </w:tc>
      </w:tr>
      <w:tr>
        <w:tc>
          <w:tcPr>
            <w:tcW w:type="dxa" w:w="4703"/>
          </w:tcPr>
          <w:p>
            <w:r>
              <w:rPr>
                <w:sz w:val="18"/>
              </w:rPr>
              <w:t>Infrastructure Scaling</w:t>
            </w:r>
          </w:p>
        </w:tc>
        <w:tc>
          <w:tcPr>
            <w:tcW w:type="dxa" w:w="4703"/>
          </w:tcPr>
          <w:p>
            <w:r>
              <w:rPr>
                <w:sz w:val="18"/>
              </w:rPr>
              <w:t>€25K</w:t>
            </w:r>
          </w:p>
        </w:tc>
      </w:tr>
      <w:tr>
        <w:tc>
          <w:tcPr>
            <w:tcW w:type="dxa" w:w="4703"/>
          </w:tcPr>
          <w:p>
            <w:r>
              <w:rPr>
                <w:sz w:val="18"/>
              </w:rPr>
              <w:t>Operations &amp; Admin</w:t>
            </w:r>
          </w:p>
        </w:tc>
        <w:tc>
          <w:tcPr>
            <w:tcW w:type="dxa" w:w="4703"/>
          </w:tcPr>
          <w:p>
            <w:r>
              <w:rPr>
                <w:sz w:val="18"/>
              </w:rPr>
              <w:t>€20K</w:t>
            </w:r>
          </w:p>
        </w:tc>
      </w:tr>
      <w:tr>
        <w:tc>
          <w:tcPr>
            <w:tcW w:type="dxa" w:w="4703"/>
          </w:tcPr>
          <w:p>
            <w:r>
              <w:rPr>
                <w:sz w:val="18"/>
              </w:rPr>
              <w:t>Customer Onboarding &amp; Support</w:t>
            </w:r>
          </w:p>
        </w:tc>
        <w:tc>
          <w:tcPr>
            <w:tcW w:type="dxa" w:w="4703"/>
          </w:tcPr>
          <w:p>
            <w:r>
              <w:rPr>
                <w:sz w:val="18"/>
              </w:rPr>
              <w:t>€15K</w:t>
            </w:r>
          </w:p>
        </w:tc>
      </w:tr>
      <w:tr>
        <w:tc>
          <w:tcPr>
            <w:tcW w:type="dxa" w:w="4703"/>
            <w:shd w:val="clear" w:color="auto" w:fill="FFF3CC"/>
          </w:tcPr>
          <w:p>
            <w:r>
              <w:rPr>
                <w:b/>
                <w:sz w:val="18"/>
              </w:rPr>
              <w:t>Total Days 91–180</w:t>
            </w:r>
          </w:p>
        </w:tc>
        <w:tc>
          <w:tcPr>
            <w:tcW w:type="dxa" w:w="4703"/>
            <w:shd w:val="clear" w:color="auto" w:fill="FFF3CC"/>
          </w:tcPr>
          <w:p>
            <w:r>
              <w:rPr>
                <w:b/>
                <w:sz w:val="18"/>
              </w:rPr>
              <w:t>€543K</w:t>
            </w:r>
          </w:p>
        </w:tc>
      </w:tr>
      <w:tr>
        <w:tc>
          <w:tcPr>
            <w:tcW w:type="dxa" w:w="4703"/>
            <w:shd w:val="clear" w:color="auto" w:fill="FFF3CC"/>
          </w:tcPr>
          <w:p>
            <w:r>
              <w:rPr>
                <w:b/>
                <w:sz w:val="18"/>
              </w:rPr>
              <w:t>Reserve (buffer, strategic optionality)</w:t>
            </w:r>
          </w:p>
        </w:tc>
        <w:tc>
          <w:tcPr>
            <w:tcW w:type="dxa" w:w="4703"/>
            <w:shd w:val="clear" w:color="auto" w:fill="FFF3CC"/>
          </w:tcPr>
          <w:p>
            <w:r>
              <w:rPr>
                <w:b/>
                <w:sz w:val="18"/>
              </w:rPr>
              <w:t>€183K</w:t>
            </w:r>
          </w:p>
        </w:tc>
      </w:tr>
    </w:tbl>
    <w:p/>
    <w:p>
      <w:pPr>
        <w:pStyle w:val="Heading2"/>
      </w:pPr>
      <w:r>
        <w:rPr>
          <w:color w:val="00A896"/>
          <w:sz w:val="24"/>
        </w:rPr>
        <w:t>Full 180-Day Capital Summary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F0F0F0"/>
          </w:tcPr>
          <w:p>
            <w:r>
              <w:rPr>
                <w:b/>
                <w:sz w:val="18"/>
              </w:rPr>
              <w:t>Category</w:t>
            </w:r>
          </w:p>
        </w:tc>
        <w:tc>
          <w:tcPr>
            <w:tcW w:type="dxa" w:w="3135"/>
            <w:shd w:val="clear" w:color="auto" w:fill="F0F0F0"/>
          </w:tcPr>
          <w:p>
            <w:r>
              <w:rPr>
                <w:b/>
                <w:sz w:val="18"/>
              </w:rPr>
              <w:t>Amount</w:t>
            </w:r>
          </w:p>
        </w:tc>
        <w:tc>
          <w:tcPr>
            <w:tcW w:type="dxa" w:w="3135"/>
            <w:shd w:val="clear" w:color="auto" w:fill="F0F0F0"/>
          </w:tcPr>
          <w:p>
            <w:r>
              <w:rPr>
                <w:b/>
                <w:sz w:val="18"/>
              </w:rPr>
              <w:t>% of €2M</w:t>
            </w:r>
          </w:p>
        </w:tc>
      </w:tr>
      <w:tr>
        <w:tc>
          <w:tcPr>
            <w:tcW w:type="dxa" w:w="3135"/>
          </w:tcPr>
          <w:p>
            <w:r>
              <w:rPr>
                <w:sz w:val="18"/>
              </w:rPr>
              <w:t>Salaries (8 FTE + fractionals)</w:t>
            </w:r>
          </w:p>
        </w:tc>
        <w:tc>
          <w:tcPr>
            <w:tcW w:type="dxa" w:w="3135"/>
          </w:tcPr>
          <w:p>
            <w:r>
              <w:rPr>
                <w:sz w:val="18"/>
              </w:rPr>
              <w:t>€410K</w:t>
            </w:r>
          </w:p>
        </w:tc>
        <w:tc>
          <w:tcPr>
            <w:tcW w:type="dxa" w:w="3135"/>
          </w:tcPr>
          <w:p>
            <w:r>
              <w:rPr>
                <w:sz w:val="18"/>
              </w:rPr>
              <w:t>20.5%</w:t>
            </w:r>
          </w:p>
        </w:tc>
      </w:tr>
      <w:tr>
        <w:tc>
          <w:tcPr>
            <w:tcW w:type="dxa" w:w="3135"/>
          </w:tcPr>
          <w:p>
            <w:r>
              <w:rPr>
                <w:sz w:val="18"/>
              </w:rPr>
              <w:t>Legal &amp; Compliance</w:t>
            </w:r>
          </w:p>
        </w:tc>
        <w:tc>
          <w:tcPr>
            <w:tcW w:type="dxa" w:w="3135"/>
          </w:tcPr>
          <w:p>
            <w:r>
              <w:rPr>
                <w:sz w:val="18"/>
              </w:rPr>
              <w:t>€80K</w:t>
            </w:r>
          </w:p>
        </w:tc>
        <w:tc>
          <w:tcPr>
            <w:tcW w:type="dxa" w:w="3135"/>
          </w:tcPr>
          <w:p>
            <w:r>
              <w:rPr>
                <w:sz w:val="18"/>
              </w:rPr>
              <w:t>4%</w:t>
            </w:r>
          </w:p>
        </w:tc>
      </w:tr>
      <w:tr>
        <w:tc>
          <w:tcPr>
            <w:tcW w:type="dxa" w:w="3135"/>
          </w:tcPr>
          <w:p>
            <w:r>
              <w:rPr>
                <w:sz w:val="18"/>
              </w:rPr>
              <w:t>Sales &amp; Marketing</w:t>
            </w:r>
          </w:p>
        </w:tc>
        <w:tc>
          <w:tcPr>
            <w:tcW w:type="dxa" w:w="3135"/>
          </w:tcPr>
          <w:p>
            <w:r>
              <w:rPr>
                <w:sz w:val="18"/>
              </w:rPr>
              <w:t>€151K</w:t>
            </w:r>
          </w:p>
        </w:tc>
        <w:tc>
          <w:tcPr>
            <w:tcW w:type="dxa" w:w="3135"/>
          </w:tcPr>
          <w:p>
            <w:r>
              <w:rPr>
                <w:sz w:val="18"/>
              </w:rPr>
              <w:t>7.55%</w:t>
            </w:r>
          </w:p>
        </w:tc>
      </w:tr>
      <w:tr>
        <w:tc>
          <w:tcPr>
            <w:tcW w:type="dxa" w:w="3135"/>
          </w:tcPr>
          <w:p>
            <w:r>
              <w:rPr>
                <w:sz w:val="18"/>
              </w:rPr>
              <w:t>Clinical Research (UCD)</w:t>
            </w:r>
          </w:p>
        </w:tc>
        <w:tc>
          <w:tcPr>
            <w:tcW w:type="dxa" w:w="3135"/>
          </w:tcPr>
          <w:p>
            <w:r>
              <w:rPr>
                <w:sz w:val="18"/>
              </w:rPr>
              <w:t>€40K</w:t>
            </w:r>
          </w:p>
        </w:tc>
        <w:tc>
          <w:tcPr>
            <w:tcW w:type="dxa" w:w="3135"/>
          </w:tcPr>
          <w:p>
            <w:r>
              <w:rPr>
                <w:sz w:val="18"/>
              </w:rPr>
              <w:t>2%</w:t>
            </w:r>
          </w:p>
        </w:tc>
      </w:tr>
      <w:tr>
        <w:tc>
          <w:tcPr>
            <w:tcW w:type="dxa" w:w="3135"/>
          </w:tcPr>
          <w:p>
            <w:r>
              <w:rPr>
                <w:sz w:val="18"/>
              </w:rPr>
              <w:t>Infrastructure</w:t>
            </w:r>
          </w:p>
        </w:tc>
        <w:tc>
          <w:tcPr>
            <w:tcW w:type="dxa" w:w="3135"/>
          </w:tcPr>
          <w:p>
            <w:r>
              <w:rPr>
                <w:sz w:val="18"/>
              </w:rPr>
              <w:t>€45K</w:t>
            </w:r>
          </w:p>
        </w:tc>
        <w:tc>
          <w:tcPr>
            <w:tcW w:type="dxa" w:w="3135"/>
          </w:tcPr>
          <w:p>
            <w:r>
              <w:rPr>
                <w:sz w:val="18"/>
              </w:rPr>
              <w:t>2.25%</w:t>
            </w:r>
          </w:p>
        </w:tc>
      </w:tr>
      <w:tr>
        <w:tc>
          <w:tcPr>
            <w:tcW w:type="dxa" w:w="3135"/>
          </w:tcPr>
          <w:p>
            <w:r>
              <w:rPr>
                <w:sz w:val="18"/>
              </w:rPr>
              <w:t>Product &amp; Engineering (tools)</w:t>
            </w:r>
          </w:p>
        </w:tc>
        <w:tc>
          <w:tcPr>
            <w:tcW w:type="dxa" w:w="3135"/>
          </w:tcPr>
          <w:p>
            <w:r>
              <w:rPr>
                <w:sz w:val="18"/>
              </w:rPr>
              <w:t>€45K</w:t>
            </w:r>
          </w:p>
        </w:tc>
        <w:tc>
          <w:tcPr>
            <w:tcW w:type="dxa" w:w="3135"/>
          </w:tcPr>
          <w:p>
            <w:r>
              <w:rPr>
                <w:sz w:val="18"/>
              </w:rPr>
              <w:t>2.25%</w:t>
            </w:r>
          </w:p>
        </w:tc>
      </w:tr>
      <w:tr>
        <w:tc>
          <w:tcPr>
            <w:tcW w:type="dxa" w:w="3135"/>
          </w:tcPr>
          <w:p>
            <w:r>
              <w:rPr>
                <w:sz w:val="18"/>
              </w:rPr>
              <w:t>Operations, Admin, Advisors</w:t>
            </w:r>
          </w:p>
        </w:tc>
        <w:tc>
          <w:tcPr>
            <w:tcW w:type="dxa" w:w="3135"/>
          </w:tcPr>
          <w:p>
            <w:r>
              <w:rPr>
                <w:sz w:val="18"/>
              </w:rPr>
              <w:t>€56K</w:t>
            </w:r>
          </w:p>
        </w:tc>
        <w:tc>
          <w:tcPr>
            <w:tcW w:type="dxa" w:w="3135"/>
          </w:tcPr>
          <w:p>
            <w:r>
              <w:rPr>
                <w:sz w:val="18"/>
              </w:rPr>
              <w:t>2.8%</w:t>
            </w:r>
          </w:p>
        </w:tc>
      </w:tr>
      <w:tr>
        <w:tc>
          <w:tcPr>
            <w:tcW w:type="dxa" w:w="3135"/>
            <w:shd w:val="clear" w:color="auto" w:fill="FFF3CC"/>
          </w:tcPr>
          <w:p>
            <w:r>
              <w:rPr>
                <w:b/>
                <w:sz w:val="18"/>
              </w:rPr>
              <w:t>Total Deployed</w:t>
            </w:r>
          </w:p>
        </w:tc>
        <w:tc>
          <w:tcPr>
            <w:tcW w:type="dxa" w:w="3135"/>
            <w:shd w:val="clear" w:color="auto" w:fill="FFF3CC"/>
          </w:tcPr>
          <w:p>
            <w:r>
              <w:rPr>
                <w:b/>
                <w:sz w:val="18"/>
              </w:rPr>
              <w:t>€827K</w:t>
            </w:r>
          </w:p>
        </w:tc>
        <w:tc>
          <w:tcPr>
            <w:tcW w:type="dxa" w:w="3135"/>
            <w:shd w:val="clear" w:color="auto" w:fill="FFF3CC"/>
          </w:tcPr>
          <w:p>
            <w:r>
              <w:rPr>
                <w:b/>
                <w:sz w:val="18"/>
              </w:rPr>
              <w:t>41.35%</w:t>
            </w:r>
          </w:p>
        </w:tc>
      </w:tr>
      <w:tr>
        <w:tc>
          <w:tcPr>
            <w:tcW w:type="dxa" w:w="3135"/>
            <w:shd w:val="clear" w:color="auto" w:fill="FFF3CC"/>
          </w:tcPr>
          <w:p>
            <w:r>
              <w:rPr>
                <w:b/>
                <w:sz w:val="18"/>
              </w:rPr>
              <w:t>Reserve (runway + strategic)</w:t>
            </w:r>
          </w:p>
        </w:tc>
        <w:tc>
          <w:tcPr>
            <w:tcW w:type="dxa" w:w="3135"/>
            <w:shd w:val="clear" w:color="auto" w:fill="FFF3CC"/>
          </w:tcPr>
          <w:p>
            <w:r>
              <w:rPr>
                <w:b/>
                <w:sz w:val="18"/>
              </w:rPr>
              <w:t>€1,173K</w:t>
            </w:r>
          </w:p>
        </w:tc>
        <w:tc>
          <w:tcPr>
            <w:tcW w:type="dxa" w:w="3135"/>
            <w:shd w:val="clear" w:color="auto" w:fill="FFF3CC"/>
          </w:tcPr>
          <w:p>
            <w:r>
              <w:rPr>
                <w:b/>
                <w:sz w:val="18"/>
              </w:rPr>
              <w:t>58.65%</w:t>
            </w:r>
          </w:p>
        </w:tc>
      </w:tr>
    </w:tbl>
    <w:p/>
    <w:p>
      <w:pPr>
        <w:pStyle w:val="Heading2"/>
      </w:pPr>
      <w:r>
        <w:rPr>
          <w:color w:val="00A896"/>
          <w:sz w:val="24"/>
        </w:rPr>
        <w:t>What We Are Deliberately NOT Doing</w:t>
      </w:r>
    </w:p>
    <w:tbl>
      <w:tblPr>
        <w:tblStyle w:val="TableGrid"/>
        <w:tblW w:type="auto" w:w="0"/>
        <w:tblLook w:firstColumn="1" w:firstRow="1" w:lastColumn="0" w:lastRow="0" w:noHBand="0" w:noVBand="1" w:val="04A0"/>
      </w:tblPr>
      <w:tblGrid>
        <w:gridCol w:w="4703"/>
        <w:gridCol w:w="4703"/>
      </w:tblGrid>
      <w:tr>
        <w:tc>
          <w:tcPr>
            <w:tcW w:type="dxa" w:w="4703"/>
            <w:shd w:val="clear" w:color="auto" w:fill="F0F0F0"/>
          </w:tcPr>
          <w:p>
            <w:r>
              <w:rPr>
                <w:b/>
                <w:sz w:val="18"/>
              </w:rPr>
              <w:t>Not Doing</w:t>
            </w:r>
          </w:p>
        </w:tc>
        <w:tc>
          <w:tcPr>
            <w:tcW w:type="dxa" w:w="4703"/>
            <w:shd w:val="clear" w:color="auto" w:fill="F0F0F0"/>
          </w:tcPr>
          <w:p>
            <w:r>
              <w:rPr>
                <w:b/>
                <w:sz w:val="18"/>
              </w:rPr>
              <w:t>Why</w:t>
            </w:r>
          </w:p>
        </w:tc>
      </w:tr>
      <w:tr>
        <w:tc>
          <w:tcPr>
            <w:tcW w:type="dxa" w:w="4703"/>
          </w:tcPr>
          <w:p>
            <w:r>
              <w:rPr>
                <w:sz w:val="18"/>
              </w:rPr>
              <w:t>UK expansion before Day 180</w:t>
            </w:r>
          </w:p>
        </w:tc>
        <w:tc>
          <w:tcPr>
            <w:tcW w:type="dxa" w:w="4703"/>
          </w:tcPr>
          <w:p>
            <w:r>
              <w:rPr>
                <w:sz w:val="18"/>
              </w:rPr>
              <w:t>Ireland is proof-of-concept. UK entry is a Series A objective.</w:t>
            </w:r>
          </w:p>
        </w:tc>
      </w:tr>
      <w:tr>
        <w:tc>
          <w:tcPr>
            <w:tcW w:type="dxa" w:w="4703"/>
          </w:tcPr>
          <w:p>
            <w:r>
              <w:rPr>
                <w:sz w:val="18"/>
              </w:rPr>
              <w:t>Enterprise (250+ employees) sales</w:t>
            </w:r>
          </w:p>
        </w:tc>
        <w:tc>
          <w:tcPr>
            <w:tcW w:type="dxa" w:w="4703"/>
          </w:tcPr>
          <w:p>
            <w:r>
              <w:rPr>
                <w:sz w:val="18"/>
              </w:rPr>
              <w:t>SMB wedge first; enterprise procurement cycles are too long at this stage.</w:t>
            </w:r>
          </w:p>
        </w:tc>
      </w:tr>
      <w:tr>
        <w:tc>
          <w:tcPr>
            <w:tcW w:type="dxa" w:w="4703"/>
          </w:tcPr>
          <w:p>
            <w:r>
              <w:rPr>
                <w:sz w:val="18"/>
              </w:rPr>
              <w:t>Custom AI model from scratch</w:t>
            </w:r>
          </w:p>
        </w:tc>
        <w:tc>
          <w:tcPr>
            <w:tcW w:type="dxa" w:w="4703"/>
          </w:tcPr>
          <w:p>
            <w:r>
              <w:rPr>
                <w:sz w:val="18"/>
              </w:rPr>
              <w:t>Fine-tuned BERT + federated learning is sufficient; proprietary training data is Year 2.</w:t>
            </w:r>
          </w:p>
        </w:tc>
      </w:tr>
      <w:tr>
        <w:tc>
          <w:tcPr>
            <w:tcW w:type="dxa" w:w="4703"/>
          </w:tcPr>
          <w:p>
            <w:r>
              <w:rPr>
                <w:sz w:val="18"/>
              </w:rPr>
              <w:t>Acquisitions</w:t>
            </w:r>
          </w:p>
        </w:tc>
        <w:tc>
          <w:tcPr>
            <w:tcW w:type="dxa" w:w="4703"/>
          </w:tcPr>
          <w:p>
            <w:r>
              <w:rPr>
                <w:sz w:val="18"/>
              </w:rPr>
              <w:t>No M&amp;A before Series A.</w:t>
            </w:r>
          </w:p>
        </w:tc>
      </w:tr>
      <w:tr>
        <w:tc>
          <w:tcPr>
            <w:tcW w:type="dxa" w:w="4703"/>
          </w:tcPr>
          <w:p>
            <w:r>
              <w:rPr>
                <w:sz w:val="18"/>
              </w:rPr>
              <w:t>PR agency retainer</w:t>
            </w:r>
          </w:p>
        </w:tc>
        <w:tc>
          <w:tcPr>
            <w:tcW w:type="dxa" w:w="4703"/>
          </w:tcPr>
          <w:p>
            <w:r>
              <w:rPr>
                <w:sz w:val="18"/>
              </w:rPr>
              <w:t>Direct outreach and freelance PR at €3–5K/campaign vs. €8–12K/month agency.</w:t>
            </w:r>
          </w:p>
        </w:tc>
      </w:tr>
    </w:tbl>
    <w:p>
      <w:r>
        <w:br w:type="page"/>
      </w:r>
    </w:p>
    <w:p>
      <w:pPr>
        <w:pStyle w:val="Heading1"/>
      </w:pPr>
      <w:r>
        <w:rPr>
          <w:color w:val="FF6B35"/>
          <w:sz w:val="30"/>
        </w:rPr>
        <w:t>Reflection on AI Use</w:t>
      </w:r>
    </w:p>
    <w:p>
      <w:pPr>
        <w:spacing w:before="0" w:after="80"/>
      </w:pPr>
      <w:r>
        <w:rPr>
          <w:b w:val="0"/>
          <w:i w:val="0"/>
          <w:sz w:val="20"/>
        </w:rPr>
        <w:t>This assessment was completed with the AI Innovator pipeline (for pipeline content generation) and Claude Code (for file structure, critique drafting, code, and research verification). The pipeline generated a coherent venture concept rapidly. The critique work — identifying hallucinations, verifying statistics, conducting legal analysis, and taking a defensible position — was human-led and AI-assisted. The 78% IBEC statistic and the 94% retention metric were hallucinations that the pipeline produced without flagging; only independent research surfaced them. This is the trust transfer problem in practice: the artefacts looked professional enough that a non-critical reader would not question them. Critical thinking, not tooling, determined whether the output was fit for purpose.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