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80" w:before="0"/>
        <w:jc w:val="center"/>
      </w:pPr>
      <w:r>
        <w:rPr>
          <w:rFonts w:ascii="Calibri" w:hAnsi="Calibri"/>
          <w:b/>
          <w:color w:val="1F3864"/>
          <w:sz w:val="104"/>
        </w:rPr>
        <w:t>VOLTARAS</w:t>
      </w:r>
    </w:p>
    <w:p>
      <w:pPr>
        <w:spacing w:after="200" w:before="0"/>
        <w:jc w:val="center"/>
      </w:pPr>
      <w:r>
        <w:rPr>
          <w:rFonts w:ascii="Calibri" w:hAnsi="Calibri"/>
          <w:b/>
          <w:color w:val="2E74B5"/>
          <w:sz w:val="52"/>
        </w:rPr>
        <w:t>Docker Demo Data Report</w:t>
      </w:r>
    </w:p>
    <w:p>
      <w:pPr>
        <w:spacing w:after="360" w:before="0"/>
        <w:jc w:val="center"/>
      </w:pPr>
      <w:r>
        <w:rPr>
          <w:rFonts w:ascii="Calibri" w:hAnsi="Calibri"/>
          <w:b/>
          <w:color w:val="1F3864"/>
          <w:sz w:val="36"/>
        </w:rPr>
        <w:t>30 Dummy Users</w:t>
      </w:r>
    </w:p>
    <w:p>
      <w:pPr>
        <w:spacing w:after="320" w:before="0"/>
        <w:pBdr>
          <w:bottom w:val="single" w:sz="12" w:color="2E74B5"/>
        </w:pBdr>
      </w:pPr>
      <w:r>
        <w:rPr>
          <w:rFonts w:ascii="Calibri" w:hAnsi="Calibri"/>
          <w:b w:val="0"/>
          <w:sz w:val="4"/>
        </w:rPr>
      </w:r>
    </w:p>
    <w:p>
      <w:pPr>
        <w:spacing w:after="80" w:before="0"/>
        <w:jc w:val="center"/>
      </w:pPr>
      <w:r>
        <w:rPr>
          <w:rFonts w:ascii="Calibri" w:hAnsi="Calibri"/>
          <w:b w:val="0"/>
          <w:color w:val="595959"/>
          <w:sz w:val="22"/>
        </w:rPr>
        <w:t>Verified dataset — generated from the running Docker MySQL database and API Gateway</w:t>
      </w:r>
    </w:p>
    <w:p>
      <w:pPr>
        <w:spacing w:after="480" w:before="0"/>
        <w:jc w:val="center"/>
      </w:pPr>
      <w:r>
        <w:rPr>
          <w:rFonts w:ascii="Calibri" w:hAnsi="Calibri"/>
          <w:b w:val="0"/>
          <w:color w:val="595959"/>
          <w:sz w:val="22"/>
        </w:rPr>
        <w:t>Generation date: 13 August 2026</w:t>
      </w:r>
    </w:p>
    <w:p>
      <w:pPr>
        <w:spacing w:after="120" w:before="0"/>
        <w:jc w:val="center"/>
        <w:shd w:val="clear" w:fill="F2F6FC"/>
      </w:pPr>
      <w:r>
        <w:rPr>
          <w:rFonts w:ascii="Calibri" w:hAnsi="Calibri"/>
          <w:b/>
          <w:color w:val="1F3864"/>
          <w:sz w:val="20"/>
        </w:rPr>
        <w:t>1 ADMIN   ·   29 CONSUMER   ·   1 Organization   ·   30 Meters   ·   30 Readings   ·   30 Bills   ·   30 Payments   ·   10 Complaints</w:t>
      </w:r>
    </w:p>
    <w:p>
      <w:pPr>
        <w:spacing w:after="120" w:before="200"/>
        <w:jc w:val="center"/>
      </w:pPr>
      <w:r>
        <w:rPr>
          <w:rFonts w:ascii="Calibri" w:hAnsi="Calibri"/>
          <w:b/>
          <w:color w:val="2E7D32"/>
          <w:sz w:val="24"/>
        </w:rPr>
        <w:t>Internal demonstration and testing data only</w:t>
      </w:r>
    </w:p>
    <w:p>
      <w:pPr>
        <w:sectPr>
          <w:pgSz w:w="12240" w:h="15840"/>
          <w:pgMar w:top="1247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1. Purpose and Scope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This report documents the local Docker demo dataset seeded for the VOLTARAS microservice stack. The dataset supports frontend development, API demonstrations, Swagger/OpenAPI testing, and end-to-end verification of the Docker Compose deployment through the API Gateway.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All users, profiles, meters, readings, bills, payments, and complaints described in this report are fictional. Every record was generated by the local demo seed scripts (docker/seed/seed-docker-demo-data.ps1 and docker/seed/seed-docker-demo-data.sh) and is intended exclusively for local demonstration and testing. No real personal data is present in this dataset.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2. Demo Login Credentials</w:t>
      </w:r>
    </w:p>
    <w:p>
      <w:pPr>
        <w:spacing w:after="80" w:before="0"/>
      </w:pPr>
      <w:r>
        <w:rPr>
          <w:rFonts w:ascii="Calibri" w:hAnsi="Calibri"/>
          <w:b w:val="0"/>
          <w:sz w:val="21"/>
        </w:rPr>
        <w:t>All 30 demo accounts share one common demo password:</w:t>
      </w:r>
    </w:p>
    <w:p>
      <w:pPr>
        <w:spacing w:after="200" w:before="0"/>
        <w:shd w:val="clear" w:fill="F2F6FC"/>
      </w:pPr>
      <w:r>
        <w:rPr>
          <w:rFonts w:ascii="Calibri" w:hAnsi="Calibri"/>
          <w:b/>
          <w:color w:val="1F3864"/>
          <w:sz w:val="24"/>
        </w:rPr>
        <w:t>Voltaras@123</w:t>
      </w:r>
    </w:p>
    <w:p>
      <w:pPr>
        <w:spacing w:after="160" w:before="0"/>
      </w:pPr>
      <w:r>
        <w:rPr>
          <w:rFonts w:ascii="Calibri" w:hAnsi="Calibri"/>
          <w:b w:val="0"/>
          <w:sz w:val="21"/>
        </w:rPr>
        <w:t>There is exactly one admin account; the remaining 29 demo accounts are consumers.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65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550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47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ADMIN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sunny.demo@voltaras.local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Sunny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soumya.demo@voltaras.local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Soumya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anil.demo@voltaras.local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Anil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vinay.demo@voltaras.local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Vinay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pavan.demo@voltaras.local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Pavan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tarun.demo@voltaras.local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Tarun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bharath.demo@voltaras.local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Bharath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satya.demo@voltaras.local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Satya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srivalli.demo@voltaras.local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Srivalli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rekha.demo@voltaras.local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Rekha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uday.demo@voltaras.local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Uday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color w:val="595959"/>
          <w:sz w:val="19"/>
        </w:rPr>
        <w:t>The complete email list follows the pattern &lt;name&gt;.demo@voltaras.local for every demo user (see Section 4).</w:t>
      </w:r>
    </w:p>
    <w:p>
      <w:pPr>
        <w:spacing w:after="120" w:before="0"/>
      </w:pPr>
      <w:r>
        <w:rPr>
          <w:rFonts w:ascii="Calibri" w:hAnsi="Calibri"/>
          <w:b w:val="0"/>
          <w:color w:val="595959"/>
          <w:sz w:val="19"/>
        </w:rPr>
        <w:t>This report intentionally contains no MySQL, RabbitMQ, Razorpay, mail, JWT, .env, or other infrastructure credentials.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3. Verified Dataset Summary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The counts below were verified with read-only SELECT queries against the running Docker MySQL databases.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760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02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Demo users (*.demo@voltaras.local)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— ADMIN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— CONSUMER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User profiles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Organization (VOLTARAS_DEMO)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Organization memberships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Assigned meters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Verified meter readings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Bills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Successful payments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Complaints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</w:tbl>
    <w:p>
      <w:pPr>
        <w:sectPr>
          <w:footerReference w:type="default" r:id="rId9"/>
          <w:headerReference w:type="default" r:id="rId10"/>
          <w:pgSz w:w="12240" w:h="15840"/>
          <w:pgMar w:top="1247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4. Complete 30-User Directory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Every demo account seeded in auth_db (users 33–62). All 30 accounts are active. Addresses are fictional Hyderabad/Telangana locations.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rPr>
          <w:tblHeader w:val="true"/>
          <w:cantSplit/>
        </w:trPr>
        <w:tc>
          <w:tcPr>
            <w:tcW w:type="dxa" w:w="61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2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143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300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161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88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Active</w:t>
            </w:r>
          </w:p>
        </w:tc>
        <w:tc>
          <w:tcPr>
            <w:tcW w:type="dxa" w:w="150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Phone</w:t>
            </w:r>
          </w:p>
        </w:tc>
        <w:tc>
          <w:tcPr>
            <w:tcW w:type="dxa" w:w="539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9000000000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45, Ayyappa Society, KPHB Colony,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9000000017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8-2-293/82/A, Road No 7, Banjara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9000000034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H.No 1-98/9/3, Kondapur,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9000000051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Flat 12A, Orchid Enclave, Gachibowli,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9000000068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2nd Floor, Sunrise Towers, Ameerpet,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9000000085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5-9-22, Secretariat Road, Secunderabad,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9000000102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88, SBI Colony, Uppal,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9000000119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6-3-248, Road No 1, Somajiguda,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9000000136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Flat 302, Sri Sai Residency, Jubilee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ADMIN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9000000153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12-34/5, Madhapur Main Road,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9000000170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45, Ayyappa Society, KPHB Colony,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9000000187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8-2-293/82/A, Road No 7, Banjara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9000000204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H.No 1-98/9/3, Kondapur,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9000000221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Flat 12A, Orchid Enclave, Gachibowli,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9000000238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2nd Floor, Sunrise Towers, Ameerpet,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9000000255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5-9-22, Secretariat Road, Secunderabad,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9000000272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88, SBI Colony, Uppal,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9000000289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6-3-248, Road No 1, Somajiguda,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9000000306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Flat 302, Sri Sai Residency, Jubilee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9000000323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12-34/5, Madhapur Main Road,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9000000340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45, Ayyappa Society, KPHB Colony,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9000000357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8-2-293/82/A, Road No 7, Banjara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9000000374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H.No 1-98/9/3, Kondapur,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9000000391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Flat 12A, Orchid Enclave, Gachibowli,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9000000408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2nd Floor, Sunrise Towers, Ameerpet,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9000000425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5-9-22, Secretariat Road, Secunderabad,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9000000442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88, SBI Colony, Uppal,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9000000459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6-3-248, Road No 1, Somajiguda,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9000000476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Flat 302, Sri Sai Residency, Jubilee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9000000493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12-34/5, Madhapur Main Road, Hyderabad, Telangana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color w:val="595959"/>
          <w:sz w:val="18"/>
        </w:rPr>
        <w:t>Names verified present: Soumya, Anil, Vinay, Pavan, Tarun, Bharath, Satya, Srivalli, Rekha, Sunny (admin), Uday, Sunil, Jash, Nagesh, Swaraj, Kavya, Rahul, Sneha, Kiran, Deepak, Lavanya, Rohit, Meena, Akhil, Divya, Manoj, Priya, Charan, Harika, Naveen.</w:t>
      </w:r>
    </w:p>
    <w:p>
      <w:pPr>
        <w:sectPr>
          <w:pgSz w:w="15840" w:h="12240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5. User-Linked Operational Data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Actual database values linked to each demo user, split into three readable tables. All amounts are in INR (payment_db currency).</w:t>
      </w:r>
    </w:p>
    <w:p>
      <w:pPr>
        <w:pStyle w:val="Heading2"/>
        <w:spacing w:before="200" w:after="120"/>
      </w:pPr>
      <w:r>
        <w:rPr>
          <w:rFonts w:ascii="Calibri" w:hAnsi="Calibri"/>
          <w:color w:val="1F3864"/>
        </w:rPr>
        <w:t>Table A — Organization &amp; 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  <w:cantSplit/>
        </w:trPr>
        <w:tc>
          <w:tcPr>
            <w:tcW w:type="dxa" w:w="61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7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352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840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60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199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Org code</w:t>
            </w:r>
          </w:p>
        </w:tc>
        <w:tc>
          <w:tcPr>
            <w:tcW w:type="dxa" w:w="168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Membership role</w:t>
            </w:r>
          </w:p>
        </w:tc>
        <w:tc>
          <w:tcPr>
            <w:tcW w:type="dxa" w:w="168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Membership status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OWNER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hAnsi="Calibri"/>
          <w:color w:val="1F3864"/>
        </w:rPr>
        <w:t>Table B — Meter &amp; Verified Reading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blHeader w:val="true"/>
          <w:cantSplit/>
        </w:trPr>
        <w:tc>
          <w:tcPr>
            <w:tcW w:type="dxa" w:w="62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9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344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17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Meter ID</w:t>
            </w:r>
          </w:p>
        </w:tc>
        <w:tc>
          <w:tcPr>
            <w:tcW w:type="dxa" w:w="2191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Meter number</w:t>
            </w:r>
          </w:p>
        </w:tc>
        <w:tc>
          <w:tcPr>
            <w:tcW w:type="dxa" w:w="125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Reading ID</w:t>
            </w:r>
          </w:p>
        </w:tc>
        <w:tc>
          <w:tcPr>
            <w:tcW w:type="dxa" w:w="1330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Previous</w:t>
            </w:r>
          </w:p>
        </w:tc>
        <w:tc>
          <w:tcPr>
            <w:tcW w:type="dxa" w:w="1330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17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40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MTR-DEMO-0001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1060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MTR-DEMO-0002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1215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MTR-DEMO-0003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1370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MTR-DEMO-0004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1525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MTR-DEMO-0005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1680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MTR-DEMO-0006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1835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MTR-DEMO-0007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1990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MTR-DEMO-0008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2145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MTR-DEMO-0009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2300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MTR-DEMO-0010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2455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MTR-DEMO-0011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2610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MTR-DEMO-0012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2765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MTR-DEMO-0013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2920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MTR-DEMO-0014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3075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MTR-DEMO-0015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3230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MTR-DEMO-0016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3385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MTR-DEMO-0017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3540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MTR-DEMO-0018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3695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MTR-DEMO-0019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3850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MTR-DEMO-0020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4005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MTR-DEMO-0021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4160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MTR-DEMO-0022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4315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MTR-DEMO-0023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4470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MTR-DEMO-0024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4625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MTR-DEMO-0025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4780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MTR-DEMO-0026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4935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MTR-DEMO-0027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5090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MTR-DEMO-0028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5245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MTR-DEMO-0029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5400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MTR-DEMO-0030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5555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hAnsi="Calibri"/>
          <w:color w:val="1F3864"/>
        </w:rPr>
        <w:t>Table C — Bill, Payment &amp; Complaint 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rPr>
          <w:tblHeader w:val="true"/>
          <w:cantSplit/>
        </w:trPr>
        <w:tc>
          <w:tcPr>
            <w:tcW w:type="dxa" w:w="62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1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326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93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Bill ID</w:t>
            </w:r>
          </w:p>
        </w:tc>
        <w:tc>
          <w:tcPr>
            <w:tcW w:type="dxa" w:w="147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Bill amount (INR)</w:t>
            </w:r>
          </w:p>
        </w:tc>
        <w:tc>
          <w:tcPr>
            <w:tcW w:type="dxa" w:w="132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Due date</w:t>
            </w:r>
          </w:p>
        </w:tc>
        <w:tc>
          <w:tcPr>
            <w:tcW w:type="dxa" w:w="124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Bill status</w:t>
            </w:r>
          </w:p>
        </w:tc>
        <w:tc>
          <w:tcPr>
            <w:tcW w:type="dxa" w:w="116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Payment ID</w:t>
            </w:r>
          </w:p>
        </w:tc>
        <w:tc>
          <w:tcPr>
            <w:tcW w:type="dxa" w:w="163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Payment amount (INR)</w:t>
            </w:r>
          </w:p>
        </w:tc>
        <w:tc>
          <w:tcPr>
            <w:tcW w:type="dxa" w:w="132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Payment status</w:t>
            </w:r>
          </w:p>
        </w:tc>
        <w:tc>
          <w:tcPr>
            <w:tcW w:type="dxa" w:w="101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Complaints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199.5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199.5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207.38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207.38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215.25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215.25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231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231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238.88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238.88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246.75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246.75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254.63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254.63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328.13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328.13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341.25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341.25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354.38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354.38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367.5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367.5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380.63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380.63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393.75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393.75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406.88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406.88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420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420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446.25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446.25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459.38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459.38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546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546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sectPr>
          <w:pgSz w:w="12240" w:h="15840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6. Complaint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rPr>
          <w:tblHeader w:val="true"/>
          <w:cantSplit/>
        </w:trPr>
        <w:tc>
          <w:tcPr>
            <w:tcW w:type="dxa" w:w="48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97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Complaint ID</w:t>
            </w:r>
          </w:p>
        </w:tc>
        <w:tc>
          <w:tcPr>
            <w:tcW w:type="dxa" w:w="167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Ticket number</w:t>
            </w:r>
          </w:p>
        </w:tc>
        <w:tc>
          <w:tcPr>
            <w:tcW w:type="dxa" w:w="237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Consumer</w:t>
            </w:r>
          </w:p>
        </w:tc>
        <w:tc>
          <w:tcPr>
            <w:tcW w:type="dxa" w:w="153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47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104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97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46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Created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CMP-20260813-0001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soumya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CMP-20260813-0002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anil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CMP-20260813-0003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vinay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CMP-20260813-0004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pavan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CMP-20260813-0005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tarun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CMP-20260813-0006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bharath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CMP-20260813-0007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satya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CMP-20260813-0008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srivalli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CMP-20260813-0009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rekha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CMP-20260813-0010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[voltaras-demo] Dummy complaint - uday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color w:val="595959"/>
          <w:sz w:val="18"/>
        </w:rPr>
        <w:t>All 10 demo complaints use category BILLING_ISSUE. One additional pre-existing smoke-test complaint (CMP-20260812-0001, created by the Docker deployment test) exists in complaint_db but is not part of the demo dataset and is excluded here.</w:t>
      </w:r>
    </w:p>
    <w:p>
      <w:pPr>
        <w:sectPr>
          <w:pgSz w:w="15840" w:h="12240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7. Validation Results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The following checks were executed against the running stack on 13 August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86"/>
        <w:gridCol w:w="6786"/>
      </w:tblGrid>
      <w:tr>
        <w:trPr>
          <w:tblHeader w:val="true"/>
          <w:cantSplit/>
        </w:trPr>
        <w:tc>
          <w:tcPr>
            <w:tcW w:type="dxa" w:w="705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check</w:t>
            </w:r>
          </w:p>
        </w:tc>
        <w:tc>
          <w:tcPr>
            <w:tcW w:type="dxa" w:w="258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Docker containers healthy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13 / 13 healthy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Login sunny.demo@voltaras.local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ADMIN (auth user ID 42)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Login vinay.demo@voltaras.local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 (auth user ID 35)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GET /api/complaints (consumer token)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HTTP 200 — 1 complaint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GET /api/admin/complaints (admin token)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HTTP 200 — 11 total (10 demo + 1 smoke test)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GET /api/admin/complaints (consumer token)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HTTP 403 — access denied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Seed scripts idempotency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Passed — re-run produced identical counts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8. Known Limitations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API Gateway currently has no route for /api/meters/**, so the seeder cannot reach meter-management through the gateway.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seeder calls the meter-management-service directly on port 8089 using X-User-Id / X-User-Role: ADMIN headers (the service trusts these headers, which the gateway normally injects).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Razorpay checkout is not used for demo top-ups; the local POST /api/wallet/top-up test endpoint is used instead.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No dedicated dashboard or analytics service currently exists in the stack.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9. Usage Instructions</w:t>
      </w:r>
    </w:p>
    <w:p>
      <w:pPr>
        <w:spacing w:after="160" w:before="0"/>
      </w:pPr>
      <w:r>
        <w:rPr>
          <w:rFonts w:ascii="Calibri" w:hAnsi="Calibri"/>
          <w:b w:val="0"/>
          <w:sz w:val="21"/>
        </w:rPr>
        <w:t>Run the seed scripts only when (re)seeding of the local demo data is required — for example after a fresh docker compose up -d --build with an empty MySQL volume. The scripts are idempotent and safe to re-run. The Docker stack must be running first, and the scripts must never be pointed at a non-local environment.</w:t>
      </w:r>
    </w:p>
    <w:p>
      <w:pPr>
        <w:spacing w:after="40" w:before="0"/>
      </w:pPr>
      <w:r>
        <w:rPr>
          <w:rFonts w:ascii="Calibri" w:hAnsi="Calibri"/>
          <w:b/>
          <w:color w:val="1F3864"/>
          <w:sz w:val="20"/>
        </w:rPr>
        <w:t>Windows PowerShell</w:t>
      </w:r>
    </w:p>
    <w:p>
      <w:pPr>
        <w:spacing w:after="160" w:before="0"/>
        <w:shd w:val="clear" w:fill="F2F2F2"/>
      </w:pPr>
      <w:r>
        <w:rPr>
          <w:rFonts w:ascii="Consolas" w:hAnsi="Consolas"/>
          <w:b w:val="0"/>
          <w:sz w:val="19"/>
        </w:rPr>
        <w:t>powershell -ExecutionPolicy Bypass -File docker/seed/seed-docker-demo-data.ps1</w:t>
      </w:r>
    </w:p>
    <w:p>
      <w:pPr>
        <w:spacing w:after="40" w:before="0"/>
      </w:pPr>
      <w:r>
        <w:rPr>
          <w:rFonts w:ascii="Calibri" w:hAnsi="Calibri"/>
          <w:b/>
          <w:color w:val="1F3864"/>
          <w:sz w:val="20"/>
        </w:rPr>
        <w:t>bash / Git Bash / WSL</w:t>
      </w:r>
    </w:p>
    <w:p>
      <w:pPr>
        <w:spacing w:after="160" w:before="0"/>
        <w:shd w:val="clear" w:fill="F2F2F2"/>
      </w:pPr>
      <w:r>
        <w:rPr>
          <w:rFonts w:ascii="Consolas" w:hAnsi="Consolas"/>
          <w:b w:val="0"/>
          <w:sz w:val="19"/>
        </w:rPr>
        <w:t>bash docker/seed/seed-docker-demo-data.sh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10. Security and Data Disclaimer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All 30 demo users and every linked operational record are fictional and generated solely for local demonstration.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demo credentials (common password Voltaras@123) are intended only for local Docker demonstrations.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 not use these credentials in any production environment.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Existing non-demo smoke-test accounts (docker.consumer.test@gmail.com and docker.admin.test@gmail.com) are excluded from the 30-user total.</w:t>
      </w:r>
    </w:p>
    <w:sectPr w:rsidR="00FC693F" w:rsidRPr="0006063C" w:rsidSect="00034616">
      <w:pgSz w:w="15840" w:h="12240" w:orient="landscape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Calibri" w:hAnsi="Calibri"/>
        <w:color w:val="595959"/>
        <w:sz w:val="16"/>
      </w:rPr>
      <w:t>VOLTARAS  ·  Docker Demo Data Report</w:t>
    </w:r>
    <w:r>
      <w:rPr>
        <w:color w:val="595959"/>
        <w:sz w:val="16"/>
      </w:rPr>
      <w:tab/>
      <w:t xml:space="preserve">Page </w:t>
    </w:r>
    <w:fldSimple w:instr=" PAGE ">
      <w:r>
        <w:rPr>
          <w:rFonts w:ascii="Calibri" w:hAnsi="Calibri"/>
          <w:sz w:val="16"/>
          <w:color w:val="595959"/>
        </w:rPr>
        <w:t>1</w:t>
      </w:r>
    </w:fldSimple>
    <w:r>
      <w:rPr>
        <w:color w:val="595959"/>
        <w:sz w:val="16"/>
      </w:rPr>
      <w:t xml:space="preserve"> of </w:t>
    </w:r>
    <w:fldSimple w:instr=" NUMPAGES ">
      <w:r>
        <w:rPr>
          <w:rFonts w:ascii="Calibri" w:hAnsi="Calibri"/>
          <w:sz w:val="16"/>
          <w:color w:val="59595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VOLTARAS · 30 Dummy Users · Docker Demo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VOLTARAS — Docker Demo Data Report (30 Dummy Users)</dc:title>
  <dc:subject>Internal demonstration and testing data only</dc:subject>
  <dc:creator>VOLTARAS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