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Meridian Family Health Clinic</w:t>
      </w:r>
    </w:p>
    <w:p>
      <w:pPr>
        <w:spacing w:after="200"/>
      </w:pPr>
      <w:r>
        <w:t xml:space="preserve">Patient Medical Record — CONFIDENTIAL (Sample / Synthetic Data)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Patient Name</w:t>
            </w:r>
          </w:p>
        </w:tc>
        <w:tc>
          <w:tcPr>
            <w:tcW w:type="dxa" w:w="6000"/>
          </w:tcPr>
          <w:p>
            <w:r>
              <w:t xml:space="preserve">Priya Subramaniam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6000"/>
          </w:tcPr>
          <w:p>
            <w:r>
              <w:t xml:space="preserve">PT-10236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6000"/>
          </w:tcPr>
          <w:p>
            <w:r>
              <w:t xml:space="preserve">1993-07-19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Gender</w:t>
            </w:r>
          </w:p>
        </w:tc>
        <w:tc>
          <w:tcPr>
            <w:tcW w:type="dxa" w:w="6000"/>
          </w:tcPr>
          <w:p>
            <w:r>
              <w:t xml:space="preserve">Female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Social Security No.</w:t>
            </w:r>
          </w:p>
        </w:tc>
        <w:tc>
          <w:tcPr>
            <w:tcW w:type="dxa" w:w="6000"/>
          </w:tcPr>
          <w:p>
            <w:r>
              <w:t xml:space="preserve">308-55-2210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6000"/>
          </w:tcPr>
          <w:p>
            <w:r>
              <w:t xml:space="preserve">(984) 555-0163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000"/>
          </w:tcPr>
          <w:p>
            <w:r>
              <w:t xml:space="preserve">priya.sub93@fakemail.com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000"/>
          </w:tcPr>
          <w:p>
            <w:r>
              <w:t xml:space="preserve">9 Palm Grove Road, Coimbatore, TN 641001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Insurance Provider</w:t>
            </w:r>
          </w:p>
        </w:tc>
        <w:tc>
          <w:tcPr>
            <w:tcW w:type="dxa" w:w="6000"/>
          </w:tcPr>
          <w:p>
            <w:r>
              <w:t xml:space="preserve">National Family Health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Insurance ID</w:t>
            </w:r>
          </w:p>
        </w:tc>
        <w:tc>
          <w:tcPr>
            <w:tcW w:type="dxa" w:w="6000"/>
          </w:tcPr>
          <w:p>
            <w:r>
              <w:t xml:space="preserve">NFH-40128877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Medical Record No. (MRN)</w:t>
            </w:r>
          </w:p>
        </w:tc>
        <w:tc>
          <w:tcPr>
            <w:tcW w:type="dxa" w:w="6000"/>
          </w:tcPr>
          <w:p>
            <w:r>
              <w:t xml:space="preserve">MRN-556402</w:t>
            </w:r>
          </w:p>
        </w:tc>
      </w:tr>
    </w:tbl>
    <w:p/>
    <w:p>
      <w:pPr>
        <w:pStyle w:val="Heading1"/>
      </w:pPr>
      <w:r>
        <w:t xml:space="preserve">Visit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Visit Date</w:t>
            </w:r>
          </w:p>
        </w:tc>
        <w:tc>
          <w:tcPr>
            <w:tcW w:type="dxa" w:w="6000"/>
          </w:tcPr>
          <w:p>
            <w:r>
              <w:t xml:space="preserve">2026-05-03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Attending Physician</w:t>
            </w:r>
          </w:p>
        </w:tc>
        <w:tc>
          <w:tcPr>
            <w:tcW w:type="dxa" w:w="6000"/>
          </w:tcPr>
          <w:p>
            <w:r>
              <w:t xml:space="preserve">Dr. Kavya Menon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Diagnosis</w:t>
            </w:r>
          </w:p>
        </w:tc>
        <w:tc>
          <w:tcPr>
            <w:tcW w:type="dxa" w:w="6000"/>
          </w:tcPr>
          <w:p>
            <w:r>
              <w:t xml:space="preserve">Generalized Anxiety Disorder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Prescribed Medication</w:t>
            </w:r>
          </w:p>
        </w:tc>
        <w:tc>
          <w:tcPr>
            <w:tcW w:type="dxa" w:w="6000"/>
          </w:tcPr>
          <w:p>
            <w:r>
              <w:t xml:space="preserve">Sertraline 50mg QD</w:t>
            </w:r>
          </w:p>
        </w:tc>
      </w:tr>
    </w:tbl>
    <w:p/>
    <w:p>
      <w:pPr>
        <w:pStyle w:val="Heading1"/>
      </w:pPr>
      <w:r>
        <w:t xml:space="preserve">Clinical Notes</w:t>
      </w:r>
    </w:p>
    <w:p>
      <w:r>
        <w:t xml:space="preserve">Patient presents with persistent worry, restlessness, and difficulty sleeping over the past 3 months. No prior psychiatric history. GAD-7 score: 14 (moderate). Discussed CBT referral and pharmacologic options. Follow-up scheduled in 4 weeks.</w:t>
      </w:r>
    </w:p>
    <w:p/>
    <w:p>
      <w:r>
        <w:rPr>
          <w:i/>
          <w:iCs/>
          <w:sz w:val="18"/>
          <w:szCs w:val="18"/>
        </w:rPr>
        <w:t xml:space="preserve">This document contains synthetic sample data generated for testing purposes only. No real patient information is included.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2026-07-09T13:02:21.095Z</dcterms:created>
  <dcterms:modified xsi:type="dcterms:W3CDTF">2026-07-09T13:02:21.107Z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