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rPr>
          <w:b/>
          <w:color w:val="1B2A4A"/>
          <w:sz w:val="56"/>
        </w:rPr>
        <w:t>Business Requirements Document</w:t>
      </w:r>
    </w:p>
    <w:p>
      <w:pPr>
        <w:spacing w:before="120"/>
        <w:jc w:val="center"/>
      </w:pPr>
      <w:r>
        <w:rPr>
          <w:b/>
          <w:color w:val="2E5C8A"/>
          <w:sz w:val="32"/>
        </w:rPr>
        <w:t>PolicyIQ — AI-Powered Travel &amp; Expense Policy Intelligence Platform</w:t>
      </w:r>
    </w:p>
    <w:p>
      <w:pPr>
        <w:spacing w:before="80"/>
        <w:jc w:val="center"/>
      </w:pPr>
      <w:r>
        <w:rPr>
          <w:i/>
          <w:color w:val="555555"/>
          <w:sz w:val="24"/>
        </w:rPr>
        <w:t>Productizing the PolicyIQ Claude Skill into a Front-End + Back-End Application</w:t>
      </w:r>
    </w:p>
    <w:p>
      <w:pPr>
        <w:spacing w:after="1200"/>
      </w:pPr>
    </w:p>
    <w:tbl>
      <w:tblPr>
        <w:tblW w:type="auto" w:w="0"/>
        <w:jc w:val="center"/>
        <w:tblLook w:firstColumn="1" w:firstRow="1" w:lastColumn="0" w:lastRow="0" w:noHBand="0" w:noVBand="1" w:val="04A0"/>
      </w:tblPr>
      <w:tblGrid>
        <w:gridCol w:w="4824"/>
        <w:gridCol w:w="4824"/>
      </w:tblGrid>
      <w:tr>
        <w:tc>
          <w:tcPr>
            <w:tcW w:type="dxa" w:w="2880"/>
          </w:tcPr>
          <w:p>
            <w:r/>
            <w:r>
              <w:rPr>
                <w:b/>
              </w:rPr>
              <w:t>Document Type</w:t>
            </w:r>
          </w:p>
        </w:tc>
        <w:tc>
          <w:tcPr>
            <w:tcW w:type="dxa" w:w="5760"/>
          </w:tcPr>
          <w:p>
            <w:r>
              <w:t>Business Requirements Document (BRD)</w:t>
            </w:r>
          </w:p>
        </w:tc>
      </w:tr>
      <w:tr>
        <w:tc>
          <w:tcPr>
            <w:tcW w:type="dxa" w:w="2880"/>
          </w:tcPr>
          <w:p>
            <w:r/>
            <w:r>
              <w:rPr>
                <w:b/>
              </w:rPr>
              <w:t>Product Name</w:t>
            </w:r>
          </w:p>
        </w:tc>
        <w:tc>
          <w:tcPr>
            <w:tcW w:type="dxa" w:w="5760"/>
          </w:tcPr>
          <w:p>
            <w:r>
              <w:t>PolicyIQ</w:t>
            </w:r>
          </w:p>
        </w:tc>
      </w:tr>
      <w:tr>
        <w:tc>
          <w:tcPr>
            <w:tcW w:type="dxa" w:w="2880"/>
          </w:tcPr>
          <w:p>
            <w:r/>
            <w:r>
              <w:rPr>
                <w:b/>
              </w:rPr>
              <w:t>Prepared For</w:t>
            </w:r>
          </w:p>
        </w:tc>
        <w:tc>
          <w:tcPr>
            <w:tcW w:type="dxa" w:w="5760"/>
          </w:tcPr>
          <w:p>
            <w:r>
              <w:t>AI Technology Team (UI / Front-End / Back-End Engineering)</w:t>
            </w:r>
          </w:p>
        </w:tc>
      </w:tr>
      <w:tr>
        <w:tc>
          <w:tcPr>
            <w:tcW w:type="dxa" w:w="2880"/>
          </w:tcPr>
          <w:p>
            <w:r/>
            <w:r>
              <w:rPr>
                <w:b/>
              </w:rPr>
              <w:t>Prepared By</w:t>
            </w:r>
          </w:p>
        </w:tc>
        <w:tc>
          <w:tcPr>
            <w:tcW w:type="dxa" w:w="5760"/>
          </w:tcPr>
          <w:p>
            <w:r>
              <w:t>Vinay L — Business Owner / Product Sponsor</w:t>
            </w:r>
          </w:p>
        </w:tc>
      </w:tr>
      <w:tr>
        <w:tc>
          <w:tcPr>
            <w:tcW w:type="dxa" w:w="2880"/>
          </w:tcPr>
          <w:p>
            <w:r/>
            <w:r>
              <w:rPr>
                <w:b/>
              </w:rPr>
              <w:t>Version</w:t>
            </w:r>
          </w:p>
        </w:tc>
        <w:tc>
          <w:tcPr>
            <w:tcW w:type="dxa" w:w="5760"/>
          </w:tcPr>
          <w:p>
            <w:r>
              <w:t>1.0</w:t>
            </w:r>
          </w:p>
        </w:tc>
      </w:tr>
      <w:tr>
        <w:tc>
          <w:tcPr>
            <w:tcW w:type="dxa" w:w="2880"/>
          </w:tcPr>
          <w:p>
            <w:r/>
            <w:r>
              <w:rPr>
                <w:b/>
              </w:rPr>
              <w:t>Date</w:t>
            </w:r>
          </w:p>
        </w:tc>
        <w:tc>
          <w:tcPr>
            <w:tcW w:type="dxa" w:w="5760"/>
          </w:tcPr>
          <w:p>
            <w:r>
              <w:t>July 3, 2026</w:t>
            </w:r>
          </w:p>
        </w:tc>
      </w:tr>
    </w:tbl>
    <w:p>
      <w:pPr>
        <w:spacing w:after="600"/>
      </w:pPr>
    </w:p>
    <w:p>
      <w:pPr>
        <w:jc w:val="center"/>
      </w:pPr>
      <w:r>
        <w:rPr>
          <w:i/>
          <w:color w:val="555555"/>
          <w:sz w:val="18"/>
        </w:rPr>
        <w:t>Confidential — Internal Use Only. Distributed for engineering scoping and estimation.</w:t>
      </w:r>
    </w:p>
    <w:p>
      <w:r>
        <w:br w:type="page"/>
      </w:r>
    </w:p>
    <w:p>
      <w:pPr>
        <w:pStyle w:val="Heading1"/>
      </w:pPr>
      <w:r>
        <w:t>Table of Contents</w:t>
      </w:r>
    </w:p>
    <w:p>
      <w:r>
        <w:fldChar w:fldCharType="begin"/>
        <w:instrText xml:space="preserve">TOC \o "1-3" \h \z \u</w:instrText>
        <w:fldChar w:fldCharType="separate"/>
        <w:fldChar w:fldCharType="end"/>
      </w:r>
    </w:p>
    <w:p>
      <w:pPr>
        <w:spacing w:after="160"/>
        <w:ind w:left="288"/>
      </w:pPr>
      <w:r>
        <w:rPr>
          <w:b/>
          <w:i/>
          <w:color w:val="2E5C8A"/>
        </w:rPr>
        <w:t xml:space="preserve">Note: </w:t>
      </w:r>
      <w:r>
        <w:rPr>
          <w:i/>
          <w:color w:val="555555"/>
        </w:rPr>
        <w:t>Right-click this field in Word and choose "Update Field" (or press F9) to populate/refresh the table of contents after opening the document.</w:t>
      </w:r>
    </w:p>
    <w:p>
      <w:r>
        <w:br w:type="page"/>
      </w:r>
    </w:p>
    <w:p>
      <w:pPr>
        <w:pStyle w:val="Heading1"/>
      </w:pPr>
      <w:r>
        <w:t>1. Document Control</w:t>
      </w:r>
    </w:p>
    <w:p>
      <w:pPr>
        <w:pStyle w:val="Heading2"/>
      </w:pPr>
      <w:r>
        <w:t>1.1 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296"/>
            <w:shd w:val="clear" w:color="auto" w:fill="1B2A4A"/>
          </w:tcPr>
          <w:p>
            <w:r/>
            <w:r>
              <w:rPr>
                <w:b/>
                <w:color w:val="FFFFFF"/>
                <w:sz w:val="19"/>
              </w:rPr>
              <w:t>Version</w:t>
            </w:r>
          </w:p>
        </w:tc>
        <w:tc>
          <w:tcPr>
            <w:tcW w:type="dxa" w:w="1584"/>
            <w:shd w:val="clear" w:color="auto" w:fill="1B2A4A"/>
          </w:tcPr>
          <w:p>
            <w:r/>
            <w:r>
              <w:rPr>
                <w:b/>
                <w:color w:val="FFFFFF"/>
                <w:sz w:val="19"/>
              </w:rPr>
              <w:t>Date</w:t>
            </w:r>
          </w:p>
        </w:tc>
        <w:tc>
          <w:tcPr>
            <w:tcW w:type="dxa" w:w="1872"/>
            <w:shd w:val="clear" w:color="auto" w:fill="1B2A4A"/>
          </w:tcPr>
          <w:p>
            <w:r/>
            <w:r>
              <w:rPr>
                <w:b/>
                <w:color w:val="FFFFFF"/>
                <w:sz w:val="19"/>
              </w:rPr>
              <w:t>Author</w:t>
            </w:r>
          </w:p>
        </w:tc>
        <w:tc>
          <w:tcPr>
            <w:tcW w:type="dxa" w:w="4608"/>
            <w:shd w:val="clear" w:color="auto" w:fill="1B2A4A"/>
          </w:tcPr>
          <w:p>
            <w:r/>
            <w:r>
              <w:rPr>
                <w:b/>
                <w:color w:val="FFFFFF"/>
                <w:sz w:val="19"/>
              </w:rPr>
              <w:t>Description</w:t>
            </w:r>
          </w:p>
        </w:tc>
      </w:tr>
      <w:tr>
        <w:tc>
          <w:tcPr>
            <w:tcW w:type="dxa" w:w="1296"/>
          </w:tcPr>
          <w:p>
            <w:r/>
            <w:r>
              <w:rPr>
                <w:sz w:val="19"/>
              </w:rPr>
              <w:t>0.1</w:t>
            </w:r>
          </w:p>
        </w:tc>
        <w:tc>
          <w:tcPr>
            <w:tcW w:type="dxa" w:w="1584"/>
          </w:tcPr>
          <w:p>
            <w:r/>
            <w:r>
              <w:rPr>
                <w:sz w:val="19"/>
              </w:rPr>
              <w:t>2026-07-03</w:t>
            </w:r>
          </w:p>
        </w:tc>
        <w:tc>
          <w:tcPr>
            <w:tcW w:type="dxa" w:w="1872"/>
          </w:tcPr>
          <w:p>
            <w:r/>
            <w:r>
              <w:rPr>
                <w:sz w:val="19"/>
              </w:rPr>
              <w:t>Vinay L</w:t>
            </w:r>
          </w:p>
        </w:tc>
        <w:tc>
          <w:tcPr>
            <w:tcW w:type="dxa" w:w="4608"/>
          </w:tcPr>
          <w:p>
            <w:r/>
            <w:r>
              <w:rPr>
                <w:sz w:val="19"/>
              </w:rPr>
              <w:t>Initial draft derived from PolicyIQ Claude Skill specification</w:t>
            </w:r>
          </w:p>
        </w:tc>
      </w:tr>
      <w:tr>
        <w:tc>
          <w:tcPr>
            <w:tcW w:type="dxa" w:w="1296"/>
          </w:tcPr>
          <w:p>
            <w:r/>
            <w:r>
              <w:rPr>
                <w:sz w:val="19"/>
              </w:rPr>
              <w:t>1.0</w:t>
            </w:r>
          </w:p>
        </w:tc>
        <w:tc>
          <w:tcPr>
            <w:tcW w:type="dxa" w:w="1584"/>
          </w:tcPr>
          <w:p>
            <w:r/>
            <w:r>
              <w:rPr>
                <w:sz w:val="19"/>
              </w:rPr>
              <w:t>2026-07-03</w:t>
            </w:r>
          </w:p>
        </w:tc>
        <w:tc>
          <w:tcPr>
            <w:tcW w:type="dxa" w:w="1872"/>
          </w:tcPr>
          <w:p>
            <w:r/>
            <w:r>
              <w:rPr>
                <w:sz w:val="19"/>
              </w:rPr>
              <w:t>Vinay L</w:t>
            </w:r>
          </w:p>
        </w:tc>
        <w:tc>
          <w:tcPr>
            <w:tcW w:type="dxa" w:w="4608"/>
          </w:tcPr>
          <w:p>
            <w:r/>
            <w:r>
              <w:rPr>
                <w:sz w:val="19"/>
              </w:rPr>
              <w:t>Finalized for hand-off to AI Technology team for build scoping</w:t>
            </w:r>
          </w:p>
        </w:tc>
      </w:tr>
    </w:tbl>
    <w:p>
      <w:pPr>
        <w:spacing w:after="80"/>
      </w:pPr>
    </w:p>
    <w:p>
      <w:pPr>
        <w:pStyle w:val="Heading2"/>
      </w:pPr>
      <w:r>
        <w:t>1.2 Distribution</w:t>
      </w:r>
    </w:p>
    <w:p>
      <w:pPr>
        <w:pStyle w:val="ListBullet"/>
        <w:ind w:left="360"/>
      </w:pPr>
      <w:r>
        <w:t>AI Technology Team — Front-End Engineering</w:t>
      </w:r>
    </w:p>
    <w:p>
      <w:pPr>
        <w:pStyle w:val="ListBullet"/>
        <w:ind w:left="360"/>
      </w:pPr>
      <w:r>
        <w:t>AI Technology Team — Back-End / Platform Engineering</w:t>
      </w:r>
    </w:p>
    <w:p>
      <w:pPr>
        <w:pStyle w:val="ListBullet"/>
        <w:ind w:left="360"/>
      </w:pPr>
      <w:r>
        <w:t>AI Technology Team — Applied AI / LLM Integration</w:t>
      </w:r>
    </w:p>
    <w:p>
      <w:pPr>
        <w:pStyle w:val="ListBullet"/>
        <w:ind w:left="360"/>
      </w:pPr>
      <w:r>
        <w:t>QA / Test Engineering</w:t>
      </w:r>
    </w:p>
    <w:p>
      <w:pPr>
        <w:pStyle w:val="ListBullet"/>
        <w:ind w:left="360"/>
      </w:pPr>
      <w:r>
        <w:t>Product Sponsor (Business Owner)</w:t>
      </w:r>
    </w:p>
    <w:p>
      <w:pPr>
        <w:pStyle w:val="Heading2"/>
      </w:pPr>
      <w:r>
        <w:t>1.3 Purpose of This Document</w:t>
      </w:r>
    </w:p>
    <w:p>
      <w:pPr>
        <w:spacing w:after="120"/>
      </w:pPr>
      <w:r>
        <w:rPr>
          <w:b w:val="0"/>
          <w:i w:val="0"/>
        </w:rPr>
        <w:t>This BRD translates the existing "PolicyIQ" Claude Skill (a working prompt-and-reference-file specification already validated as an AI consulting workflow) into a complete set of business and functional requirements for a standalone, production-grade application with its own UI, front end, and back end. It is written so that the AI Technology team can move directly into technical design and sprint planning without needing a scoping meeting. Every functional behavior in the source skill has been mapped to a UI screen, a backend service, a data contract, or all three. Where the source skill was ambiguous or silent, this document states the assumption made and the rationale, rather than leaving it open.</w:t>
      </w:r>
    </w:p>
    <w:p>
      <w:pPr>
        <w:spacing w:after="160"/>
        <w:ind w:left="288"/>
      </w:pPr>
      <w:r>
        <w:rPr>
          <w:b/>
          <w:i/>
          <w:color w:val="2E5C8A"/>
        </w:rPr>
        <w:t xml:space="preserve">Note: </w:t>
      </w:r>
      <w:r>
        <w:rPr>
          <w:i/>
          <w:color w:val="555555"/>
        </w:rPr>
        <w:t>The source artifact — the PolicyIQ Skill instructions (SKILL.md-equivalent) — is treated as the single source of truth for business logic in this BRD. Any conflict between a summarized requirement below and the full skill text should be resolved in favor of the original skill wording; the appendix reproduces the operative workflow phases verbatim for that reason.</w:t>
      </w:r>
    </w:p>
    <w:p>
      <w:r>
        <w:br w:type="page"/>
      </w:r>
    </w:p>
    <w:p>
      <w:pPr>
        <w:pStyle w:val="Heading1"/>
      </w:pPr>
      <w:r>
        <w:t>2. Executive Summary</w:t>
      </w:r>
    </w:p>
    <w:p>
      <w:pPr>
        <w:spacing w:after="120"/>
      </w:pPr>
      <w:r>
        <w:rPr>
          <w:b w:val="0"/>
          <w:i w:val="0"/>
        </w:rPr>
        <w:t>PolicyIQ is currently an AI consulting workflow implemented as a Claude Skill: a structured prompt, a 14-dimension policy framework, a 100-point scoring rubric, regional regulatory reference files, and benchmark data files, all orchestrated through a fixed six-phase process. Today it runs only inside a Claude-based chat/agent surface (e.g., Claude.ai or Claude Code) where a human operator manually supplies files and answers intake questions in free text.</w:t>
      </w:r>
    </w:p>
    <w:p>
      <w:pPr>
        <w:spacing w:after="120"/>
      </w:pPr>
      <w:r>
        <w:rPr>
          <w:b w:val="0"/>
          <w:i w:val="0"/>
        </w:rPr>
        <w:t>The business objective of this initiative is to turn that skill into a self-service, multi-tenant web application — "PolicyIQ" — that any employee (HR, Finance, Travel &amp; Expense, Internal Audit, or People Operations) can use without knowing that an AI skill or prompt engineering is involved. The application must present a guided, form-driven experience for the six PolicyIQ capabilities (Build, Deep-Dive, Benchmark, Gap Analysis, Compare, Version Audit), run the same rigorous multi-phase analysis in the background, and return audit-ready deliverables (Word, PowerPoint, Excel, or PDF) that a CFO or Internal Audit committee could present without further editing.</w:t>
      </w:r>
    </w:p>
    <w:p>
      <w:pPr>
        <w:spacing w:after="120"/>
      </w:pPr>
      <w:r>
        <w:rPr>
          <w:b w:val="0"/>
          <w:i w:val="0"/>
        </w:rPr>
        <w:t>This document specifies what to build: the screens, the data model, the API contracts, the integration with the underlying Claude model and its tools (web search, code execution, file generation), the non-functional requirements (security, compliance, performance), and the acceptance criteria for every mode. It is intended to be sufficient, on its own, for the AI Technology team to produce technical designs, break the work into epics/stories, and begin implementation.</w:t>
      </w:r>
    </w:p>
    <w:p>
      <w:pPr>
        <w:pStyle w:val="Heading2"/>
      </w:pPr>
      <w:r>
        <w:t>2.1 What "Done" Looks Like</w:t>
      </w:r>
    </w:p>
    <w:p>
      <w:pPr>
        <w:pStyle w:val="ListBullet"/>
        <w:ind w:left="360"/>
      </w:pPr>
      <w:r>
        <w:t>A logged-in user can complete an engagement end-to-end — from selecting a mode through downloading a finished Word/PPT/Excel/PDF deliverable — entirely through the web UI, with zero need to interact with a raw chat interface or know anything about "skills," "prompts," or "Claude."</w:t>
      </w:r>
    </w:p>
    <w:p>
      <w:pPr>
        <w:pStyle w:val="ListBullet"/>
        <w:ind w:left="360"/>
      </w:pPr>
      <w:r>
        <w:t>Every numeric claim in a generated deliverable (a rate, a threshold, a percentage) is tagged with its provenance (live-verified, reference file, or user-supplied) exactly as the source skill requires, and that tag is visible in the UI before the user ever downloads a file.</w:t>
      </w:r>
    </w:p>
    <w:p>
      <w:pPr>
        <w:pStyle w:val="ListBullet"/>
        <w:ind w:left="360"/>
      </w:pPr>
      <w:r>
        <w:t>The system never silently fabricates a score for a policy dimension it cannot evaluate — it marks it DATA MISSING and asks the user for the missing input.</w:t>
      </w:r>
    </w:p>
    <w:p>
      <w:pPr>
        <w:pStyle w:val="ListBullet"/>
        <w:ind w:left="360"/>
      </w:pPr>
      <w:r>
        <w:t>All six modes (Build, Deep-Dive, Benchmark, Gap Analysis, Compare, Version Audit) are fully functional, tested, and produce output in all four formats (Word, PPT, Excel, PDF) with the tab/section structure specified in Section 9.8.</w:t>
      </w:r>
    </w:p>
    <w:p>
      <w:r>
        <w:br w:type="page"/>
      </w:r>
    </w:p>
    <w:p>
      <w:pPr>
        <w:pStyle w:val="Heading1"/>
      </w:pPr>
      <w:r>
        <w:t>3. Business Context &amp; Problem Statement</w:t>
      </w:r>
    </w:p>
    <w:p>
      <w:pPr>
        <w:pStyle w:val="Heading3"/>
      </w:pPr>
      <w:r>
        <w:t>3.1 Problem Statement</w:t>
      </w:r>
    </w:p>
    <w:p>
      <w:pPr>
        <w:spacing w:after="120"/>
      </w:pPr>
      <w:r>
        <w:rPr>
          <w:b w:val="0"/>
          <w:i w:val="0"/>
        </w:rPr>
        <w:t>Travel &amp; Expense (T&amp;E) policy review is currently a manual, specialist-driven exercise typically outsourced to Big 4 or boutique HR/finance consultancies at $300–$600/hour. Internal teams lack a repeatable, defensible way to: (a) build a new T&amp;E policy from scratch that is regionally and regulatorily sound; (b) benchmark an existing policy against peer and best-practice data; (c) identify clause-by-clause regulatory gaps (IRS, HMRC, EU VAT, India GST, China Fapiao, Brazil NF-e, Mexico CFDI); (d) compare multiple policies or versions side-by-side; or (e) prove that prior audit findings were actually remediated. The PolicyIQ skill already encodes this expertise as a repeatable AI workflow. The gap is productization: today it requires a human to operate a chat interface, manually feed it files, and manually trigger scripts. There is no self-service UI, no persistence of past engagements, no user/tenant management, and no enterprise-grade delivery pipeline.</w:t>
      </w:r>
    </w:p>
    <w:p>
      <w:pPr>
        <w:pStyle w:val="Heading3"/>
      </w:pPr>
      <w:r>
        <w:t>3.2 Business Drivers</w:t>
      </w:r>
    </w:p>
    <w:p>
      <w:pPr>
        <w:pStyle w:val="ListBullet"/>
        <w:ind w:left="360"/>
      </w:pPr>
      <w:r>
        <w:t>Cost avoidance — reduce reliance on external consultants for routine policy benchmarking and gap analysis.</w:t>
      </w:r>
    </w:p>
    <w:p>
      <w:pPr>
        <w:pStyle w:val="ListBullet"/>
        <w:ind w:left="360"/>
      </w:pPr>
      <w:r>
        <w:t>Consistency — every engagement uses the same 14-dimension framework and 100-point rubric, removing analyst-to-analyst variance.</w:t>
      </w:r>
    </w:p>
    <w:p>
      <w:pPr>
        <w:pStyle w:val="ListBullet"/>
        <w:ind w:left="360"/>
      </w:pPr>
      <w:r>
        <w:t>Audit readiness — outputs must be defensible to IRS, HMRC, and internal/external auditors, with citations traceable to source and freshness.</w:t>
      </w:r>
    </w:p>
    <w:p>
      <w:pPr>
        <w:pStyle w:val="ListBullet"/>
        <w:ind w:left="360"/>
      </w:pPr>
      <w:r>
        <w:t>Speed — what took a consultant 2–4 weeks should complete in a single guided session (subject to live data-fetch latency).</w:t>
      </w:r>
    </w:p>
    <w:p>
      <w:pPr>
        <w:pStyle w:val="ListBullet"/>
        <w:ind w:left="360"/>
      </w:pPr>
      <w:r>
        <w:t>Scale — many business units, subsidiaries, or regional HR teams should be able to self-serve, not depend on a single centralized analyst.</w:t>
      </w:r>
    </w:p>
    <w:p>
      <w:pPr>
        <w:pStyle w:val="Heading3"/>
      </w:pPr>
      <w:r>
        <w:t>3.3 Current State vs. Future State</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B2A4A"/>
          </w:tcPr>
          <w:p>
            <w:r/>
            <w:r>
              <w:rPr>
                <w:b/>
                <w:color w:val="FFFFFF"/>
                <w:sz w:val="19"/>
              </w:rPr>
              <w:t>Dimension</w:t>
            </w:r>
          </w:p>
        </w:tc>
        <w:tc>
          <w:tcPr>
            <w:tcW w:type="dxa" w:w="3744"/>
            <w:shd w:val="clear" w:color="auto" w:fill="1B2A4A"/>
          </w:tcPr>
          <w:p>
            <w:r/>
            <w:r>
              <w:rPr>
                <w:b/>
                <w:color w:val="FFFFFF"/>
                <w:sz w:val="19"/>
              </w:rPr>
              <w:t>Current State (Skill in Chat Surface)</w:t>
            </w:r>
          </w:p>
        </w:tc>
        <w:tc>
          <w:tcPr>
            <w:tcW w:type="dxa" w:w="3744"/>
            <w:shd w:val="clear" w:color="auto" w:fill="1B2A4A"/>
          </w:tcPr>
          <w:p>
            <w:r/>
            <w:r>
              <w:rPr>
                <w:b/>
                <w:color w:val="FFFFFF"/>
                <w:sz w:val="19"/>
              </w:rPr>
              <w:t>Future State (PolicyIQ Application)</w:t>
            </w:r>
          </w:p>
        </w:tc>
      </w:tr>
      <w:tr>
        <w:tc>
          <w:tcPr>
            <w:tcW w:type="dxa" w:w="1872"/>
          </w:tcPr>
          <w:p>
            <w:r/>
            <w:r>
              <w:rPr>
                <w:sz w:val="19"/>
              </w:rPr>
              <w:t>Access</w:t>
            </w:r>
          </w:p>
        </w:tc>
        <w:tc>
          <w:tcPr>
            <w:tcW w:type="dxa" w:w="3744"/>
          </w:tcPr>
          <w:p>
            <w:r/>
            <w:r>
              <w:rPr>
                <w:sz w:val="19"/>
              </w:rPr>
              <w:t>Requires direct access to a Claude-based chat/agent tool</w:t>
            </w:r>
          </w:p>
        </w:tc>
        <w:tc>
          <w:tcPr>
            <w:tcW w:type="dxa" w:w="3744"/>
          </w:tcPr>
          <w:p>
            <w:r/>
            <w:r>
              <w:rPr>
                <w:sz w:val="19"/>
              </w:rPr>
              <w:t>Self-service web application, role-based access, SSO</w:t>
            </w:r>
          </w:p>
        </w:tc>
      </w:tr>
      <w:tr>
        <w:tc>
          <w:tcPr>
            <w:tcW w:type="dxa" w:w="1872"/>
          </w:tcPr>
          <w:p>
            <w:r/>
            <w:r>
              <w:rPr>
                <w:sz w:val="19"/>
              </w:rPr>
              <w:t>Intake</w:t>
            </w:r>
          </w:p>
        </w:tc>
        <w:tc>
          <w:tcPr>
            <w:tcW w:type="dxa" w:w="3744"/>
          </w:tcPr>
          <w:p>
            <w:r/>
            <w:r>
              <w:rPr>
                <w:sz w:val="19"/>
              </w:rPr>
              <w:t>Free-text answers to intake questions in chat</w:t>
            </w:r>
          </w:p>
        </w:tc>
        <w:tc>
          <w:tcPr>
            <w:tcW w:type="dxa" w:w="3744"/>
          </w:tcPr>
          <w:p>
            <w:r/>
            <w:r>
              <w:rPr>
                <w:sz w:val="19"/>
              </w:rPr>
              <w:t>Structured multi-step intake wizard with validation</w:t>
            </w:r>
          </w:p>
        </w:tc>
      </w:tr>
      <w:tr>
        <w:tc>
          <w:tcPr>
            <w:tcW w:type="dxa" w:w="1872"/>
          </w:tcPr>
          <w:p>
            <w:r/>
            <w:r>
              <w:rPr>
                <w:sz w:val="19"/>
              </w:rPr>
              <w:t>File handling</w:t>
            </w:r>
          </w:p>
        </w:tc>
        <w:tc>
          <w:tcPr>
            <w:tcW w:type="dxa" w:w="3744"/>
          </w:tcPr>
          <w:p>
            <w:r/>
            <w:r>
              <w:rPr>
                <w:sz w:val="19"/>
              </w:rPr>
              <w:t>Manual upload into chat, no persistence</w:t>
            </w:r>
          </w:p>
        </w:tc>
        <w:tc>
          <w:tcPr>
            <w:tcW w:type="dxa" w:w="3744"/>
          </w:tcPr>
          <w:p>
            <w:r/>
            <w:r>
              <w:rPr>
                <w:sz w:val="19"/>
              </w:rPr>
              <w:t>Managed upload, virus scan, persistent engagement history</w:t>
            </w:r>
          </w:p>
        </w:tc>
      </w:tr>
      <w:tr>
        <w:tc>
          <w:tcPr>
            <w:tcW w:type="dxa" w:w="1872"/>
          </w:tcPr>
          <w:p>
            <w:r/>
            <w:r>
              <w:rPr>
                <w:sz w:val="19"/>
              </w:rPr>
              <w:t>Execution</w:t>
            </w:r>
          </w:p>
        </w:tc>
        <w:tc>
          <w:tcPr>
            <w:tcW w:type="dxa" w:w="3744"/>
          </w:tcPr>
          <w:p>
            <w:r/>
            <w:r>
              <w:rPr>
                <w:sz w:val="19"/>
              </w:rPr>
              <w:t>Manual trigger of phases by a chat operator</w:t>
            </w:r>
          </w:p>
        </w:tc>
        <w:tc>
          <w:tcPr>
            <w:tcW w:type="dxa" w:w="3744"/>
          </w:tcPr>
          <w:p>
            <w:r/>
            <w:r>
              <w:rPr>
                <w:sz w:val="19"/>
              </w:rPr>
              <w:t>Automated phase orchestration with visible progress</w:t>
            </w:r>
          </w:p>
        </w:tc>
      </w:tr>
      <w:tr>
        <w:tc>
          <w:tcPr>
            <w:tcW w:type="dxa" w:w="1872"/>
          </w:tcPr>
          <w:p>
            <w:r/>
            <w:r>
              <w:rPr>
                <w:sz w:val="19"/>
              </w:rPr>
              <w:t>Output</w:t>
            </w:r>
          </w:p>
        </w:tc>
        <w:tc>
          <w:tcPr>
            <w:tcW w:type="dxa" w:w="3744"/>
          </w:tcPr>
          <w:p>
            <w:r/>
            <w:r>
              <w:rPr>
                <w:sz w:val="19"/>
              </w:rPr>
              <w:t>Files dropped into a temp sandbox path</w:t>
            </w:r>
          </w:p>
        </w:tc>
        <w:tc>
          <w:tcPr>
            <w:tcW w:type="dxa" w:w="3744"/>
          </w:tcPr>
          <w:p>
            <w:r/>
            <w:r>
              <w:rPr>
                <w:sz w:val="19"/>
              </w:rPr>
              <w:t>Durable, permissioned, downloadable deliverables with version history</w:t>
            </w:r>
          </w:p>
        </w:tc>
      </w:tr>
      <w:tr>
        <w:tc>
          <w:tcPr>
            <w:tcW w:type="dxa" w:w="1872"/>
          </w:tcPr>
          <w:p>
            <w:r/>
            <w:r>
              <w:rPr>
                <w:sz w:val="19"/>
              </w:rPr>
              <w:t>Auditability</w:t>
            </w:r>
          </w:p>
        </w:tc>
        <w:tc>
          <w:tcPr>
            <w:tcW w:type="dxa" w:w="3744"/>
          </w:tcPr>
          <w:p>
            <w:r/>
            <w:r>
              <w:rPr>
                <w:sz w:val="19"/>
              </w:rPr>
              <w:t>No systematic log of citations or data freshness</w:t>
            </w:r>
          </w:p>
        </w:tc>
        <w:tc>
          <w:tcPr>
            <w:tcW w:type="dxa" w:w="3744"/>
          </w:tcPr>
          <w:p>
            <w:r/>
            <w:r>
              <w:rPr>
                <w:sz w:val="19"/>
              </w:rPr>
              <w:t>Every citation and freshness tag stored and queryable</w:t>
            </w:r>
          </w:p>
        </w:tc>
      </w:tr>
      <w:tr>
        <w:tc>
          <w:tcPr>
            <w:tcW w:type="dxa" w:w="1872"/>
          </w:tcPr>
          <w:p>
            <w:r/>
            <w:r>
              <w:rPr>
                <w:sz w:val="19"/>
              </w:rPr>
              <w:t>Multi-user</w:t>
            </w:r>
          </w:p>
        </w:tc>
        <w:tc>
          <w:tcPr>
            <w:tcW w:type="dxa" w:w="3744"/>
          </w:tcPr>
          <w:p>
            <w:r/>
            <w:r>
              <w:rPr>
                <w:sz w:val="19"/>
              </w:rPr>
              <w:t>Single operator at a time</w:t>
            </w:r>
          </w:p>
        </w:tc>
        <w:tc>
          <w:tcPr>
            <w:tcW w:type="dxa" w:w="3744"/>
          </w:tcPr>
          <w:p>
            <w:r/>
            <w:r>
              <w:rPr>
                <w:sz w:val="19"/>
              </w:rPr>
              <w:t>Multi-tenant, concurrent engagements, team collaboration</w:t>
            </w:r>
          </w:p>
        </w:tc>
      </w:tr>
    </w:tbl>
    <w:p>
      <w:pPr>
        <w:spacing w:after="80"/>
      </w:pPr>
    </w:p>
    <w:p>
      <w:r>
        <w:br w:type="page"/>
      </w:r>
    </w:p>
    <w:p>
      <w:pPr>
        <w:pStyle w:val="Heading1"/>
      </w:pPr>
      <w:r>
        <w:t>4. Goals &amp; Success Metrics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1B2A4A"/>
          </w:tcPr>
          <w:p>
            <w:r/>
            <w:r>
              <w:rPr>
                <w:b/>
                <w:color w:val="FFFFFF"/>
                <w:sz w:val="19"/>
              </w:rPr>
              <w:t>Goal</w:t>
            </w:r>
          </w:p>
        </w:tc>
        <w:tc>
          <w:tcPr>
            <w:tcW w:type="dxa" w:w="3744"/>
            <w:shd w:val="clear" w:color="auto" w:fill="1B2A4A"/>
          </w:tcPr>
          <w:p>
            <w:r/>
            <w:r>
              <w:rPr>
                <w:b/>
                <w:color w:val="FFFFFF"/>
                <w:sz w:val="19"/>
              </w:rPr>
              <w:t>Metric</w:t>
            </w:r>
          </w:p>
        </w:tc>
        <w:tc>
          <w:tcPr>
            <w:tcW w:type="dxa" w:w="3312"/>
            <w:shd w:val="clear" w:color="auto" w:fill="1B2A4A"/>
          </w:tcPr>
          <w:p>
            <w:r/>
            <w:r>
              <w:rPr>
                <w:b/>
                <w:color w:val="FFFFFF"/>
                <w:sz w:val="19"/>
              </w:rPr>
              <w:t>Target</w:t>
            </w:r>
          </w:p>
        </w:tc>
      </w:tr>
      <w:tr>
        <w:tc>
          <w:tcPr>
            <w:tcW w:type="dxa" w:w="2304"/>
          </w:tcPr>
          <w:p>
            <w:r/>
            <w:r>
              <w:rPr>
                <w:sz w:val="19"/>
              </w:rPr>
              <w:t>Reduce time-to-insight</w:t>
            </w:r>
          </w:p>
        </w:tc>
        <w:tc>
          <w:tcPr>
            <w:tcW w:type="dxa" w:w="3744"/>
          </w:tcPr>
          <w:p>
            <w:r/>
            <w:r>
              <w:rPr>
                <w:sz w:val="19"/>
              </w:rPr>
              <w:t>Wall-clock time from engagement start to first deliverable</w:t>
            </w:r>
          </w:p>
        </w:tc>
        <w:tc>
          <w:tcPr>
            <w:tcW w:type="dxa" w:w="3312"/>
          </w:tcPr>
          <w:p>
            <w:r/>
            <w:r>
              <w:rPr>
                <w:sz w:val="19"/>
              </w:rPr>
              <w:t>&lt; 30 minutes for Deep-Dive/Benchmark/Gap on a single-policy, single-region engagement</w:t>
            </w:r>
          </w:p>
        </w:tc>
      </w:tr>
      <w:tr>
        <w:tc>
          <w:tcPr>
            <w:tcW w:type="dxa" w:w="2304"/>
          </w:tcPr>
          <w:p>
            <w:r/>
            <w:r>
              <w:rPr>
                <w:sz w:val="19"/>
              </w:rPr>
              <w:t>Eliminate silent gaps</w:t>
            </w:r>
          </w:p>
        </w:tc>
        <w:tc>
          <w:tcPr>
            <w:tcW w:type="dxa" w:w="3744"/>
          </w:tcPr>
          <w:p>
            <w:r/>
            <w:r>
              <w:rPr>
                <w:sz w:val="19"/>
              </w:rPr>
              <w:t>% of applicable dimensions with a score or explicit DATA MISSING flag</w:t>
            </w:r>
          </w:p>
        </w:tc>
        <w:tc>
          <w:tcPr>
            <w:tcW w:type="dxa" w:w="3312"/>
          </w:tcPr>
          <w:p>
            <w:r/>
            <w:r>
              <w:rPr>
                <w:sz w:val="19"/>
              </w:rPr>
              <w:t>100% — never a blank or fabricated score</w:t>
            </w:r>
          </w:p>
        </w:tc>
      </w:tr>
      <w:tr>
        <w:tc>
          <w:tcPr>
            <w:tcW w:type="dxa" w:w="2304"/>
          </w:tcPr>
          <w:p>
            <w:r/>
            <w:r>
              <w:rPr>
                <w:sz w:val="19"/>
              </w:rPr>
              <w:t>Data freshness transparency</w:t>
            </w:r>
          </w:p>
        </w:tc>
        <w:tc>
          <w:tcPr>
            <w:tcW w:type="dxa" w:w="3744"/>
          </w:tcPr>
          <w:p>
            <w:r/>
            <w:r>
              <w:rPr>
                <w:sz w:val="19"/>
              </w:rPr>
              <w:t>% of quantitative claims in final output carrying a ✅/⚠️/❌ tag</w:t>
            </w:r>
          </w:p>
        </w:tc>
        <w:tc>
          <w:tcPr>
            <w:tcW w:type="dxa" w:w="3312"/>
          </w:tcPr>
          <w:p>
            <w:r/>
            <w:r>
              <w:rPr>
                <w:sz w:val="19"/>
              </w:rPr>
              <w:t>100%</w:t>
            </w:r>
          </w:p>
        </w:tc>
      </w:tr>
      <w:tr>
        <w:tc>
          <w:tcPr>
            <w:tcW w:type="dxa" w:w="2304"/>
          </w:tcPr>
          <w:p>
            <w:r/>
            <w:r>
              <w:rPr>
                <w:sz w:val="19"/>
              </w:rPr>
              <w:t>Self-service adoption</w:t>
            </w:r>
          </w:p>
        </w:tc>
        <w:tc>
          <w:tcPr>
            <w:tcW w:type="dxa" w:w="3744"/>
          </w:tcPr>
          <w:p>
            <w:r/>
            <w:r>
              <w:rPr>
                <w:sz w:val="19"/>
              </w:rPr>
              <w:t>% of engagements completed without support-team intervention</w:t>
            </w:r>
          </w:p>
        </w:tc>
        <w:tc>
          <w:tcPr>
            <w:tcW w:type="dxa" w:w="3312"/>
          </w:tcPr>
          <w:p>
            <w:r/>
            <w:r>
              <w:rPr>
                <w:sz w:val="19"/>
              </w:rPr>
              <w:t>&gt; 90% after first full quarter live</w:t>
            </w:r>
          </w:p>
        </w:tc>
      </w:tr>
      <w:tr>
        <w:tc>
          <w:tcPr>
            <w:tcW w:type="dxa" w:w="2304"/>
          </w:tcPr>
          <w:p>
            <w:r/>
            <w:r>
              <w:rPr>
                <w:sz w:val="19"/>
              </w:rPr>
              <w:t>Output quality (no rework)</w:t>
            </w:r>
          </w:p>
        </w:tc>
        <w:tc>
          <w:tcPr>
            <w:tcW w:type="dxa" w:w="3744"/>
          </w:tcPr>
          <w:p>
            <w:r/>
            <w:r>
              <w:rPr>
                <w:sz w:val="19"/>
              </w:rPr>
              <w:t>% of generated deliverables downloaded without regeneration</w:t>
            </w:r>
          </w:p>
        </w:tc>
        <w:tc>
          <w:tcPr>
            <w:tcW w:type="dxa" w:w="3312"/>
          </w:tcPr>
          <w:p>
            <w:r/>
            <w:r>
              <w:rPr>
                <w:sz w:val="19"/>
              </w:rPr>
              <w:t>&gt; 85%</w:t>
            </w:r>
          </w:p>
        </w:tc>
      </w:tr>
      <w:tr>
        <w:tc>
          <w:tcPr>
            <w:tcW w:type="dxa" w:w="2304"/>
          </w:tcPr>
          <w:p>
            <w:r/>
            <w:r>
              <w:rPr>
                <w:sz w:val="19"/>
              </w:rPr>
              <w:t>Regulatory citation precision</w:t>
            </w:r>
          </w:p>
        </w:tc>
        <w:tc>
          <w:tcPr>
            <w:tcW w:type="dxa" w:w="3744"/>
          </w:tcPr>
          <w:p>
            <w:r/>
            <w:r>
              <w:rPr>
                <w:sz w:val="19"/>
              </w:rPr>
              <w:t>% of Risk findings citing a specific statute/section number (not "per IRS rules")</w:t>
            </w:r>
          </w:p>
        </w:tc>
        <w:tc>
          <w:tcPr>
            <w:tcW w:type="dxa" w:w="3312"/>
          </w:tcPr>
          <w:p>
            <w:r/>
            <w:r>
              <w:rPr>
                <w:sz w:val="19"/>
              </w:rPr>
              <w:t>100%</w:t>
            </w:r>
          </w:p>
        </w:tc>
      </w:tr>
      <w:tr>
        <w:tc>
          <w:tcPr>
            <w:tcW w:type="dxa" w:w="2304"/>
          </w:tcPr>
          <w:p>
            <w:r/>
            <w:r>
              <w:rPr>
                <w:sz w:val="19"/>
              </w:rPr>
              <w:t>Coverage</w:t>
            </w:r>
          </w:p>
        </w:tc>
        <w:tc>
          <w:tcPr>
            <w:tcW w:type="dxa" w:w="3744"/>
          </w:tcPr>
          <w:p>
            <w:r/>
            <w:r>
              <w:rPr>
                <w:sz w:val="19"/>
              </w:rPr>
              <w:t>Modes fully supported in production</w:t>
            </w:r>
          </w:p>
        </w:tc>
        <w:tc>
          <w:tcPr>
            <w:tcW w:type="dxa" w:w="3312"/>
          </w:tcPr>
          <w:p>
            <w:r/>
            <w:r>
              <w:rPr>
                <w:sz w:val="19"/>
              </w:rPr>
              <w:t>6 of 6 (Build, Deep-Dive, Benchmark, Gap Analysis, Compare, Version Audit)</w:t>
            </w:r>
          </w:p>
        </w:tc>
      </w:tr>
      <w:tr>
        <w:tc>
          <w:tcPr>
            <w:tcW w:type="dxa" w:w="2304"/>
          </w:tcPr>
          <w:p>
            <w:r/>
            <w:r>
              <w:rPr>
                <w:sz w:val="19"/>
              </w:rPr>
              <w:t>Output formats</w:t>
            </w:r>
          </w:p>
        </w:tc>
        <w:tc>
          <w:tcPr>
            <w:tcW w:type="dxa" w:w="3744"/>
          </w:tcPr>
          <w:p>
            <w:r/>
            <w:r>
              <w:rPr>
                <w:sz w:val="19"/>
              </w:rPr>
              <w:t>Formats fully supported</w:t>
            </w:r>
          </w:p>
        </w:tc>
        <w:tc>
          <w:tcPr>
            <w:tcW w:type="dxa" w:w="3312"/>
          </w:tcPr>
          <w:p>
            <w:r/>
            <w:r>
              <w:rPr>
                <w:sz w:val="19"/>
              </w:rPr>
              <w:t>4 of 4 (Word, PPT, Excel, PDF)</w:t>
            </w:r>
          </w:p>
        </w:tc>
      </w:tr>
    </w:tbl>
    <w:p>
      <w:pPr>
        <w:spacing w:after="80"/>
      </w:pPr>
    </w:p>
    <w:p>
      <w:r>
        <w:br w:type="page"/>
      </w:r>
    </w:p>
    <w:p>
      <w:pPr>
        <w:pStyle w:val="Heading1"/>
      </w:pPr>
      <w:r>
        <w:t>5. Scope</w:t>
      </w:r>
    </w:p>
    <w:p>
      <w:pPr>
        <w:pStyle w:val="Heading2"/>
      </w:pPr>
      <w:r>
        <w:t>5.1 In Scope</w:t>
      </w:r>
    </w:p>
    <w:p>
      <w:pPr>
        <w:pStyle w:val="ListBullet"/>
        <w:ind w:left="360"/>
      </w:pPr>
      <w:r>
        <w:t>Web application (responsive desktop-first, tablet-usable) covering all six PolicyIQ modes.</w:t>
      </w:r>
    </w:p>
    <w:p>
      <w:pPr>
        <w:pStyle w:val="ListBullet"/>
        <w:ind w:left="360"/>
      </w:pPr>
      <w:r>
        <w:t>Guided intake wizard replacing the free-text Phase 0 questions with structured, validated forms.</w:t>
      </w:r>
    </w:p>
    <w:p>
      <w:pPr>
        <w:pStyle w:val="ListBullet"/>
        <w:ind w:left="360"/>
      </w:pPr>
      <w:r>
        <w:t>File upload and automatic multi-file role classification (Phase 0A triage).</w:t>
      </w:r>
    </w:p>
    <w:p>
      <w:pPr>
        <w:pStyle w:val="ListBullet"/>
        <w:ind w:left="360"/>
      </w:pPr>
      <w:r>
        <w:t>Backend orchestration of the five-phase PolicyIQ workflow (Phase 1A through Phase 5) via the underlying Claude model and its tool ecosystem.</w:t>
      </w:r>
    </w:p>
    <w:p>
      <w:pPr>
        <w:pStyle w:val="ListBullet"/>
        <w:ind w:left="360"/>
      </w:pPr>
      <w:r>
        <w:t>Live regulatory/benchmark data fetch (Phase 1A) with source citation and freshness tagging.</w:t>
      </w:r>
    </w:p>
    <w:p>
      <w:pPr>
        <w:pStyle w:val="ListBullet"/>
        <w:ind w:left="360"/>
      </w:pPr>
      <w:r>
        <w:t>A managed reference library (Phase 1B files: policy framework, benchmark corpora, four regional regulatory corpora, scoring rubric, output templates) with an admin-maintained update workflow.</w:t>
      </w:r>
    </w:p>
    <w:p>
      <w:pPr>
        <w:pStyle w:val="ListBullet"/>
        <w:ind w:left="360"/>
      </w:pPr>
      <w:r>
        <w:t>Document ingestion for PDF, DOCX, and image (OCR) policy files, and pasted text.</w:t>
      </w:r>
    </w:p>
    <w:p>
      <w:pPr>
        <w:pStyle w:val="ListBullet"/>
        <w:ind w:left="360"/>
      </w:pPr>
      <w:r>
        <w:t>Scoring engine implementing the 100-point rubric across the 14 policy dimensions.</w:t>
      </w:r>
    </w:p>
    <w:p>
      <w:pPr>
        <w:pStyle w:val="ListBullet"/>
        <w:ind w:left="360"/>
      </w:pPr>
      <w:r>
        <w:t>Generation of four deliverable formats: Word (.docx), PowerPoint (.pptx), Excel (.xlsx) via the specified 12-tab structure, and PDF.</w:t>
      </w:r>
    </w:p>
    <w:p>
      <w:pPr>
        <w:pStyle w:val="ListBullet"/>
        <w:ind w:left="360"/>
      </w:pPr>
      <w:r>
        <w:t>Engagement history, persistence, and re-download of past deliverables.</w:t>
      </w:r>
    </w:p>
    <w:p>
      <w:pPr>
        <w:pStyle w:val="ListBullet"/>
        <w:ind w:left="360"/>
      </w:pPr>
      <w:r>
        <w:t>Role-based access control, authentication (SSO), and audit logging.</w:t>
      </w:r>
    </w:p>
    <w:p>
      <w:pPr>
        <w:pStyle w:val="ListBullet"/>
        <w:ind w:left="360"/>
      </w:pPr>
      <w:r>
        <w:t>Admin console for managing reference files, benchmark tiers, and regulatory corpora without a code deployment.</w:t>
      </w:r>
    </w:p>
    <w:p>
      <w:pPr>
        <w:pStyle w:val="Heading2"/>
      </w:pPr>
      <w:r>
        <w:t>5.2 Out of Scope (Phase 1 Release)</w:t>
      </w:r>
    </w:p>
    <w:p>
      <w:pPr>
        <w:pStyle w:val="ListBullet"/>
        <w:ind w:left="360"/>
      </w:pPr>
      <w:r>
        <w:t>Real-time collaborative multi-user editing of a single engagement (initially, one owner per engagement; sharing/download by others is in scope, simultaneous co-editing is not).</w:t>
      </w:r>
    </w:p>
    <w:p>
      <w:pPr>
        <w:pStyle w:val="ListBullet"/>
        <w:ind w:left="360"/>
      </w:pPr>
      <w:r>
        <w:t>Automated expense-report/transaction-level auditing (PolicyIQ evaluates policy documents, not individual expense transactions or corporate card feeds).</w:t>
      </w:r>
    </w:p>
    <w:p>
      <w:pPr>
        <w:pStyle w:val="ListBullet"/>
        <w:ind w:left="360"/>
      </w:pPr>
      <w:r>
        <w:t>Direct write-back or enforcement into third-party T&amp;E platforms (Concur, Expensify, Navan, etc.) — this release is analysis and document generation only.</w:t>
      </w:r>
    </w:p>
    <w:p>
      <w:pPr>
        <w:pStyle w:val="ListBullet"/>
        <w:ind w:left="360"/>
      </w:pPr>
      <w:r>
        <w:t>Native mobile apps (iOS/Android). Responsive web is in scope; native apps are not.</w:t>
      </w:r>
    </w:p>
    <w:p>
      <w:pPr>
        <w:pStyle w:val="ListBullet"/>
        <w:ind w:left="360"/>
      </w:pPr>
      <w:r>
        <w:t>Support for jurisdictions beyond those explicitly named in the skill's reference corpora (US, UK/EMEA, India/China/Japan/Singapore/Australia/Korea under APAC, Brazil/Mexico under LATAM) until additional regulatory reference files are authored and approved by Legal.</w:t>
      </w:r>
    </w:p>
    <w:p>
      <w:pPr>
        <w:pStyle w:val="ListBullet"/>
        <w:ind w:left="360"/>
      </w:pPr>
      <w:r>
        <w:t>Fully autonomous, unattended engagements with no human review of the final deliverable before external distribution — a human must review/approve before an output leaves the system to an external audience (e.g., outside counsel, regulators).</w:t>
      </w:r>
    </w:p>
    <w:p>
      <w:pPr>
        <w:spacing w:after="160"/>
        <w:ind w:left="288"/>
      </w:pPr>
      <w:r>
        <w:rPr>
          <w:b/>
          <w:i/>
          <w:color w:val="2E5C8A"/>
        </w:rPr>
        <w:t xml:space="preserve">Note: </w:t>
      </w:r>
      <w:r>
        <w:rPr>
          <w:i/>
          <w:color w:val="555555"/>
        </w:rPr>
        <w:t>Anything not explicitly listed under 5.1 should be treated as out of scope for the first release. Raise candidate additions as a change request against this BRD rather than assuming inclusion.</w:t>
      </w:r>
    </w:p>
    <w:p>
      <w:r>
        <w:br w:type="page"/>
      </w:r>
    </w:p>
    <w:p>
      <w:pPr>
        <w:pStyle w:val="Heading1"/>
      </w:pPr>
      <w:r>
        <w:t>6. Stakeholders &amp; User Personas</w:t>
      </w:r>
    </w:p>
    <w:p>
      <w:pPr>
        <w:pStyle w:val="Heading2"/>
      </w:pPr>
      <w:r>
        <w:t>6.1 Stakeholders</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B2A4A"/>
          </w:tcPr>
          <w:p>
            <w:r/>
            <w:r>
              <w:rPr>
                <w:b/>
                <w:color w:val="FFFFFF"/>
                <w:sz w:val="19"/>
              </w:rPr>
              <w:t>Role</w:t>
            </w:r>
          </w:p>
        </w:tc>
        <w:tc>
          <w:tcPr>
            <w:tcW w:type="dxa" w:w="6192"/>
            <w:shd w:val="clear" w:color="auto" w:fill="1B2A4A"/>
          </w:tcPr>
          <w:p>
            <w:r/>
            <w:r>
              <w:rPr>
                <w:b/>
                <w:color w:val="FFFFFF"/>
                <w:sz w:val="19"/>
              </w:rPr>
              <w:t>Interest</w:t>
            </w:r>
          </w:p>
        </w:tc>
      </w:tr>
      <w:tr>
        <w:tc>
          <w:tcPr>
            <w:tcW w:type="dxa" w:w="3168"/>
          </w:tcPr>
          <w:p>
            <w:r/>
            <w:r>
              <w:rPr>
                <w:sz w:val="19"/>
              </w:rPr>
              <w:t>Business Sponsor (Product Owner)</w:t>
            </w:r>
          </w:p>
        </w:tc>
        <w:tc>
          <w:tcPr>
            <w:tcW w:type="dxa" w:w="6192"/>
          </w:tcPr>
          <w:p>
            <w:r/>
            <w:r>
              <w:rPr>
                <w:sz w:val="19"/>
              </w:rPr>
              <w:t>Owns business requirements, prioritization, and UAT sign-off</w:t>
            </w:r>
          </w:p>
        </w:tc>
      </w:tr>
      <w:tr>
        <w:tc>
          <w:tcPr>
            <w:tcW w:type="dxa" w:w="3168"/>
          </w:tcPr>
          <w:p>
            <w:r/>
            <w:r>
              <w:rPr>
                <w:sz w:val="19"/>
              </w:rPr>
              <w:t>AI Technology Team — Front End</w:t>
            </w:r>
          </w:p>
        </w:tc>
        <w:tc>
          <w:tcPr>
            <w:tcW w:type="dxa" w:w="6192"/>
          </w:tcPr>
          <w:p>
            <w:r/>
            <w:r>
              <w:rPr>
                <w:sz w:val="19"/>
              </w:rPr>
              <w:t>Builds intake wizard, dashboards, review/approval UI, deliverable viewer</w:t>
            </w:r>
          </w:p>
        </w:tc>
      </w:tr>
      <w:tr>
        <w:tc>
          <w:tcPr>
            <w:tcW w:type="dxa" w:w="3168"/>
          </w:tcPr>
          <w:p>
            <w:r/>
            <w:r>
              <w:rPr>
                <w:sz w:val="19"/>
              </w:rPr>
              <w:t>AI Technology Team — Back End</w:t>
            </w:r>
          </w:p>
        </w:tc>
        <w:tc>
          <w:tcPr>
            <w:tcW w:type="dxa" w:w="6192"/>
          </w:tcPr>
          <w:p>
            <w:r/>
            <w:r>
              <w:rPr>
                <w:sz w:val="19"/>
              </w:rPr>
              <w:t>Builds orchestration services, data model, file pipeline, admin console</w:t>
            </w:r>
          </w:p>
        </w:tc>
      </w:tr>
      <w:tr>
        <w:tc>
          <w:tcPr>
            <w:tcW w:type="dxa" w:w="3168"/>
          </w:tcPr>
          <w:p>
            <w:r/>
            <w:r>
              <w:rPr>
                <w:sz w:val="19"/>
              </w:rPr>
              <w:t>AI Technology Team — Applied AI/LLM</w:t>
            </w:r>
          </w:p>
        </w:tc>
        <w:tc>
          <w:tcPr>
            <w:tcW w:type="dxa" w:w="6192"/>
          </w:tcPr>
          <w:p>
            <w:r/>
            <w:r>
              <w:rPr>
                <w:sz w:val="19"/>
              </w:rPr>
              <w:t>Owns Claude API integration, tool wiring, prompt/skill packaging, model evaluation</w:t>
            </w:r>
          </w:p>
        </w:tc>
      </w:tr>
      <w:tr>
        <w:tc>
          <w:tcPr>
            <w:tcW w:type="dxa" w:w="3168"/>
          </w:tcPr>
          <w:p>
            <w:r/>
            <w:r>
              <w:rPr>
                <w:sz w:val="19"/>
              </w:rPr>
              <w:t>Internal Audit / Compliance</w:t>
            </w:r>
          </w:p>
        </w:tc>
        <w:tc>
          <w:tcPr>
            <w:tcW w:type="dxa" w:w="6192"/>
          </w:tcPr>
          <w:p>
            <w:r/>
            <w:r>
              <w:rPr>
                <w:sz w:val="19"/>
              </w:rPr>
              <w:t>Consumer of Gap Analysis and Version Audit outputs; approver of regulatory reference content</w:t>
            </w:r>
          </w:p>
        </w:tc>
      </w:tr>
      <w:tr>
        <w:tc>
          <w:tcPr>
            <w:tcW w:type="dxa" w:w="3168"/>
          </w:tcPr>
          <w:p>
            <w:r/>
            <w:r>
              <w:rPr>
                <w:sz w:val="19"/>
              </w:rPr>
              <w:t>Legal</w:t>
            </w:r>
          </w:p>
        </w:tc>
        <w:tc>
          <w:tcPr>
            <w:tcW w:type="dxa" w:w="6192"/>
          </w:tcPr>
          <w:p>
            <w:r/>
            <w:r>
              <w:rPr>
                <w:sz w:val="19"/>
              </w:rPr>
              <w:t>Approves regulatory reference corpora and any jurisdiction additions</w:t>
            </w:r>
          </w:p>
        </w:tc>
      </w:tr>
      <w:tr>
        <w:tc>
          <w:tcPr>
            <w:tcW w:type="dxa" w:w="3168"/>
          </w:tcPr>
          <w:p>
            <w:r/>
            <w:r>
              <w:rPr>
                <w:sz w:val="19"/>
              </w:rPr>
              <w:t>HR / Total Rewards / T&amp;E Policy Owners</w:t>
            </w:r>
          </w:p>
        </w:tc>
        <w:tc>
          <w:tcPr>
            <w:tcW w:type="dxa" w:w="6192"/>
          </w:tcPr>
          <w:p>
            <w:r/>
            <w:r>
              <w:rPr>
                <w:sz w:val="19"/>
              </w:rPr>
              <w:t>Primary end users for Build and Benchmark modes</w:t>
            </w:r>
          </w:p>
        </w:tc>
      </w:tr>
      <w:tr>
        <w:tc>
          <w:tcPr>
            <w:tcW w:type="dxa" w:w="3168"/>
          </w:tcPr>
          <w:p>
            <w:r/>
            <w:r>
              <w:rPr>
                <w:sz w:val="19"/>
              </w:rPr>
              <w:t>Finance / Controllership</w:t>
            </w:r>
          </w:p>
        </w:tc>
        <w:tc>
          <w:tcPr>
            <w:tcW w:type="dxa" w:w="6192"/>
          </w:tcPr>
          <w:p>
            <w:r/>
            <w:r>
              <w:rPr>
                <w:sz w:val="19"/>
              </w:rPr>
              <w:t>Consumers of regulatory exposure estimates and cost-of-gap figures</w:t>
            </w:r>
          </w:p>
        </w:tc>
      </w:tr>
      <w:tr>
        <w:tc>
          <w:tcPr>
            <w:tcW w:type="dxa" w:w="3168"/>
          </w:tcPr>
          <w:p>
            <w:r/>
            <w:r>
              <w:rPr>
                <w:sz w:val="19"/>
              </w:rPr>
              <w:t>IT Security</w:t>
            </w:r>
          </w:p>
        </w:tc>
        <w:tc>
          <w:tcPr>
            <w:tcW w:type="dxa" w:w="6192"/>
          </w:tcPr>
          <w:p>
            <w:r/>
            <w:r>
              <w:rPr>
                <w:sz w:val="19"/>
              </w:rPr>
              <w:t>Approves data handling, storage, and third-party model/API usage for uploaded policy documents</w:t>
            </w:r>
          </w:p>
        </w:tc>
      </w:tr>
    </w:tbl>
    <w:p>
      <w:pPr>
        <w:spacing w:after="80"/>
      </w:pPr>
    </w:p>
    <w:p>
      <w:pPr>
        <w:pStyle w:val="Heading2"/>
      </w:pPr>
      <w:r>
        <w:t>6.2 User Personas</w:t>
      </w:r>
    </w:p>
    <w:p>
      <w:pPr>
        <w:pStyle w:val="Heading3"/>
      </w:pPr>
      <w:r>
        <w:t>Persona 1 — "Priya," HR Policy Manager (Primary user, Build &amp; Benchmark modes)</w:t>
      </w:r>
    </w:p>
    <w:p>
      <w:pPr>
        <w:spacing w:after="120"/>
      </w:pPr>
      <w:r>
        <w:rPr>
          <w:b w:val="0"/>
          <w:i w:val="0"/>
        </w:rPr>
        <w:t>Owns the T&amp;E policy for a 3,000-employee mid-market company. Not technical. Needs to produce a board-ready policy or benchmark report without engaging a consultant. Wants a wizard, not a blank text box.</w:t>
      </w:r>
    </w:p>
    <w:p>
      <w:pPr>
        <w:pStyle w:val="Heading3"/>
      </w:pPr>
      <w:r>
        <w:t>Persona 2 — "Daniel," Internal Audit Lead (Primary user, Gap Analysis &amp; Version Audit modes)</w:t>
      </w:r>
    </w:p>
    <w:p>
      <w:pPr>
        <w:spacing w:after="120"/>
      </w:pPr>
      <w:r>
        <w:rPr>
          <w:b w:val="0"/>
          <w:i w:val="0"/>
        </w:rPr>
        <w:t>Runs quarterly compliance reviews. Needs clause-level regulatory citations with section numbers, and proof that prior findings were remediated. Will export to PDF/Word for the audit committee.</w:t>
      </w:r>
    </w:p>
    <w:p>
      <w:pPr>
        <w:pStyle w:val="Heading3"/>
      </w:pPr>
      <w:r>
        <w:t>Persona 3 — "Mei," Regional Finance Director, APAC (Primary user, Compare &amp; regional Gap Analysis)</w:t>
      </w:r>
    </w:p>
    <w:p>
      <w:pPr>
        <w:spacing w:after="120"/>
      </w:pPr>
      <w:r>
        <w:rPr>
          <w:b w:val="0"/>
          <w:i w:val="0"/>
        </w:rPr>
        <w:t>Compares policies across three subsidiaries (Singapore, India, Japan) ahead of a harmonization project. Needs region-aware output and side-by-side comparison tables.</w:t>
      </w:r>
    </w:p>
    <w:p>
      <w:pPr>
        <w:pStyle w:val="Heading3"/>
      </w:pPr>
      <w:r>
        <w:t>Persona 4 — "Admin/Ops" — Platform Administrator (Secondary user)</w:t>
      </w:r>
    </w:p>
    <w:p>
      <w:pPr>
        <w:spacing w:after="120"/>
      </w:pPr>
      <w:r>
        <w:rPr>
          <w:b w:val="0"/>
          <w:i w:val="0"/>
        </w:rPr>
        <w:t>Maintains the reference library (regulatory corpora, benchmark data), manages user roles, and monitors data-freshness health across the platform.</w:t>
      </w:r>
    </w:p>
    <w:p>
      <w:r>
        <w:br w:type="page"/>
      </w:r>
    </w:p>
    <w:p>
      <w:pPr>
        <w:pStyle w:val="Heading1"/>
      </w:pPr>
      <w:r>
        <w:t>7. Product Overview — The Six Capabilities</w:t>
      </w:r>
    </w:p>
    <w:p>
      <w:pPr>
        <w:spacing w:after="120"/>
      </w:pPr>
      <w:r>
        <w:rPr>
          <w:b w:val="0"/>
          <w:i w:val="0"/>
        </w:rPr>
        <w:t>PolicyIQ exposes one underlying analytical engine through six user-selectable "modes." The mode selected in the intake wizard determines which phases run, which questions are asked, and which output sections are generated. All six share the same 14-dimension framework, scoring rubric, and reference library.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432"/>
            <w:shd w:val="clear" w:color="auto" w:fill="1B2A4A"/>
          </w:tcPr>
          <w:p>
            <w:r/>
            <w:r>
              <w:rPr>
                <w:b/>
                <w:color w:val="FFFFFF"/>
                <w:sz w:val="19"/>
              </w:rPr>
              <w:t>#</w:t>
            </w:r>
          </w:p>
        </w:tc>
        <w:tc>
          <w:tcPr>
            <w:tcW w:type="dxa" w:w="1440"/>
            <w:shd w:val="clear" w:color="auto" w:fill="1B2A4A"/>
          </w:tcPr>
          <w:p>
            <w:r/>
            <w:r>
              <w:rPr>
                <w:b/>
                <w:color w:val="FFFFFF"/>
                <w:sz w:val="19"/>
              </w:rPr>
              <w:t>Mode</w:t>
            </w:r>
          </w:p>
        </w:tc>
        <w:tc>
          <w:tcPr>
            <w:tcW w:type="dxa" w:w="2736"/>
            <w:shd w:val="clear" w:color="auto" w:fill="1B2A4A"/>
          </w:tcPr>
          <w:p>
            <w:r/>
            <w:r>
              <w:rPr>
                <w:b/>
                <w:color w:val="FFFFFF"/>
                <w:sz w:val="19"/>
              </w:rPr>
              <w:t>Purpose</w:t>
            </w:r>
          </w:p>
        </w:tc>
        <w:tc>
          <w:tcPr>
            <w:tcW w:type="dxa" w:w="2880"/>
            <w:shd w:val="clear" w:color="auto" w:fill="1B2A4A"/>
          </w:tcPr>
          <w:p>
            <w:r/>
            <w:r>
              <w:rPr>
                <w:b/>
                <w:color w:val="FFFFFF"/>
                <w:sz w:val="19"/>
              </w:rPr>
              <w:t>Primary Input(s)</w:t>
            </w:r>
          </w:p>
        </w:tc>
        <w:tc>
          <w:tcPr>
            <w:tcW w:type="dxa" w:w="2448"/>
            <w:shd w:val="clear" w:color="auto" w:fill="1B2A4A"/>
          </w:tcPr>
          <w:p>
            <w:r/>
            <w:r>
              <w:rPr>
                <w:b/>
                <w:color w:val="FFFFFF"/>
                <w:sz w:val="19"/>
              </w:rPr>
              <w:t>Key Output Section(s)</w:t>
            </w:r>
          </w:p>
        </w:tc>
      </w:tr>
      <w:tr>
        <w:tc>
          <w:tcPr>
            <w:tcW w:type="dxa" w:w="432"/>
          </w:tcPr>
          <w:p>
            <w:r/>
            <w:r>
              <w:rPr>
                <w:sz w:val="19"/>
              </w:rPr>
              <w:t>1</w:t>
            </w:r>
          </w:p>
        </w:tc>
        <w:tc>
          <w:tcPr>
            <w:tcW w:type="dxa" w:w="1440"/>
          </w:tcPr>
          <w:p>
            <w:r/>
            <w:r>
              <w:rPr>
                <w:sz w:val="19"/>
              </w:rPr>
              <w:t>Build</w:t>
            </w:r>
          </w:p>
        </w:tc>
        <w:tc>
          <w:tcPr>
            <w:tcW w:type="dxa" w:w="2736"/>
          </w:tcPr>
          <w:p>
            <w:r/>
            <w:r>
              <w:rPr>
                <w:sz w:val="19"/>
              </w:rPr>
              <w:t>Design a new T&amp;E policy from scratch</w:t>
            </w:r>
          </w:p>
        </w:tc>
        <w:tc>
          <w:tcPr>
            <w:tcW w:type="dxa" w:w="2880"/>
          </w:tcPr>
          <w:p>
            <w:r/>
            <w:r>
              <w:rPr>
                <w:sz w:val="19"/>
              </w:rPr>
              <w:t>Company profile (size, industry, region, risk appetite, employee bands)</w:t>
            </w:r>
          </w:p>
        </w:tc>
        <w:tc>
          <w:tcPr>
            <w:tcW w:type="dxa" w:w="2448"/>
          </w:tcPr>
          <w:p>
            <w:r/>
            <w:r>
              <w:rPr>
                <w:sz w:val="19"/>
              </w:rPr>
              <w:t>Full ready-to-issue policy document</w:t>
            </w:r>
          </w:p>
        </w:tc>
      </w:tr>
      <w:tr>
        <w:tc>
          <w:tcPr>
            <w:tcW w:type="dxa" w:w="432"/>
          </w:tcPr>
          <w:p>
            <w:r/>
            <w:r>
              <w:rPr>
                <w:sz w:val="19"/>
              </w:rPr>
              <w:t>2</w:t>
            </w:r>
          </w:p>
        </w:tc>
        <w:tc>
          <w:tcPr>
            <w:tcW w:type="dxa" w:w="1440"/>
          </w:tcPr>
          <w:p>
            <w:r/>
            <w:r>
              <w:rPr>
                <w:sz w:val="19"/>
              </w:rPr>
              <w:t>Deep-Dive</w:t>
            </w:r>
          </w:p>
        </w:tc>
        <w:tc>
          <w:tcPr>
            <w:tcW w:type="dxa" w:w="2736"/>
          </w:tcPr>
          <w:p>
            <w:r/>
            <w:r>
              <w:rPr>
                <w:sz w:val="19"/>
              </w:rPr>
              <w:t>Forensic review of one existing policy</w:t>
            </w:r>
          </w:p>
        </w:tc>
        <w:tc>
          <w:tcPr>
            <w:tcW w:type="dxa" w:w="2880"/>
          </w:tcPr>
          <w:p>
            <w:r/>
            <w:r>
              <w:rPr>
                <w:sz w:val="19"/>
              </w:rPr>
              <w:t>One policy file/paste</w:t>
            </w:r>
          </w:p>
        </w:tc>
        <w:tc>
          <w:tcPr>
            <w:tcW w:type="dxa" w:w="2448"/>
          </w:tcPr>
          <w:p>
            <w:r/>
            <w:r>
              <w:rPr>
                <w:sz w:val="19"/>
              </w:rPr>
              <w:t>Consulting report: dimension findings, risks, recommendations</w:t>
            </w:r>
          </w:p>
        </w:tc>
      </w:tr>
      <w:tr>
        <w:tc>
          <w:tcPr>
            <w:tcW w:type="dxa" w:w="432"/>
          </w:tcPr>
          <w:p>
            <w:r/>
            <w:r>
              <w:rPr>
                <w:sz w:val="19"/>
              </w:rPr>
              <w:t>3</w:t>
            </w:r>
          </w:p>
        </w:tc>
        <w:tc>
          <w:tcPr>
            <w:tcW w:type="dxa" w:w="1440"/>
          </w:tcPr>
          <w:p>
            <w:r/>
            <w:r>
              <w:rPr>
                <w:sz w:val="19"/>
              </w:rPr>
              <w:t>Benchmark</w:t>
            </w:r>
          </w:p>
        </w:tc>
        <w:tc>
          <w:tcPr>
            <w:tcW w:type="dxa" w:w="2736"/>
          </w:tcPr>
          <w:p>
            <w:r/>
            <w:r>
              <w:rPr>
                <w:sz w:val="19"/>
              </w:rPr>
              <w:t>Score a policy against best-practice corpus</w:t>
            </w:r>
          </w:p>
        </w:tc>
        <w:tc>
          <w:tcPr>
            <w:tcW w:type="dxa" w:w="2880"/>
          </w:tcPr>
          <w:p>
            <w:r/>
            <w:r>
              <w:rPr>
                <w:sz w:val="19"/>
              </w:rPr>
              <w:t>One policy file + company profile</w:t>
            </w:r>
          </w:p>
        </w:tc>
        <w:tc>
          <w:tcPr>
            <w:tcW w:type="dxa" w:w="2448"/>
          </w:tcPr>
          <w:p>
            <w:r/>
            <w:r>
              <w:rPr>
                <w:sz w:val="19"/>
              </w:rPr>
              <w:t>Scorecard vs. matched benchmark tier</w:t>
            </w:r>
          </w:p>
        </w:tc>
      </w:tr>
      <w:tr>
        <w:tc>
          <w:tcPr>
            <w:tcW w:type="dxa" w:w="432"/>
          </w:tcPr>
          <w:p>
            <w:r/>
            <w:r>
              <w:rPr>
                <w:sz w:val="19"/>
              </w:rPr>
              <w:t>4</w:t>
            </w:r>
          </w:p>
        </w:tc>
        <w:tc>
          <w:tcPr>
            <w:tcW w:type="dxa" w:w="1440"/>
          </w:tcPr>
          <w:p>
            <w:r/>
            <w:r>
              <w:rPr>
                <w:sz w:val="19"/>
              </w:rPr>
              <w:t>Gap Analysis</w:t>
            </w:r>
          </w:p>
        </w:tc>
        <w:tc>
          <w:tcPr>
            <w:tcW w:type="dxa" w:w="2736"/>
          </w:tcPr>
          <w:p>
            <w:r/>
            <w:r>
              <w:rPr>
                <w:sz w:val="19"/>
              </w:rPr>
              <w:t>Clause-by-clause regulatory gap check</w:t>
            </w:r>
          </w:p>
        </w:tc>
        <w:tc>
          <w:tcPr>
            <w:tcW w:type="dxa" w:w="2880"/>
          </w:tcPr>
          <w:p>
            <w:r/>
            <w:r>
              <w:rPr>
                <w:sz w:val="19"/>
              </w:rPr>
              <w:t>One policy file + region(s) in scope</w:t>
            </w:r>
          </w:p>
        </w:tc>
        <w:tc>
          <w:tcPr>
            <w:tcW w:type="dxa" w:w="2448"/>
          </w:tcPr>
          <w:p>
            <w:r/>
            <w:r>
              <w:rPr>
                <w:sz w:val="19"/>
              </w:rPr>
              <w:t>Regulatory gap register, citations by section number</w:t>
            </w:r>
          </w:p>
        </w:tc>
      </w:tr>
      <w:tr>
        <w:tc>
          <w:tcPr>
            <w:tcW w:type="dxa" w:w="432"/>
          </w:tcPr>
          <w:p>
            <w:r/>
            <w:r>
              <w:rPr>
                <w:sz w:val="19"/>
              </w:rPr>
              <w:t>5</w:t>
            </w:r>
          </w:p>
        </w:tc>
        <w:tc>
          <w:tcPr>
            <w:tcW w:type="dxa" w:w="1440"/>
          </w:tcPr>
          <w:p>
            <w:r/>
            <w:r>
              <w:rPr>
                <w:sz w:val="19"/>
              </w:rPr>
              <w:t>Compare</w:t>
            </w:r>
          </w:p>
        </w:tc>
        <w:tc>
          <w:tcPr>
            <w:tcW w:type="dxa" w:w="2736"/>
          </w:tcPr>
          <w:p>
            <w:r/>
            <w:r>
              <w:rPr>
                <w:sz w:val="19"/>
              </w:rPr>
              <w:t>Side-by-side comparison of 2+ policies</w:t>
            </w:r>
          </w:p>
        </w:tc>
        <w:tc>
          <w:tcPr>
            <w:tcW w:type="dxa" w:w="2880"/>
          </w:tcPr>
          <w:p>
            <w:r/>
            <w:r>
              <w:rPr>
                <w:sz w:val="19"/>
              </w:rPr>
              <w:t>Two or more policy files (peers or internal)</w:t>
            </w:r>
          </w:p>
        </w:tc>
        <w:tc>
          <w:tcPr>
            <w:tcW w:type="dxa" w:w="2448"/>
          </w:tcPr>
          <w:p>
            <w:r/>
            <w:r>
              <w:rPr>
                <w:sz w:val="19"/>
              </w:rPr>
              <w:t>Comparison matrix across all 14 dimensions</w:t>
            </w:r>
          </w:p>
        </w:tc>
      </w:tr>
      <w:tr>
        <w:tc>
          <w:tcPr>
            <w:tcW w:type="dxa" w:w="432"/>
          </w:tcPr>
          <w:p>
            <w:r/>
            <w:r>
              <w:rPr>
                <w:sz w:val="19"/>
              </w:rPr>
              <w:t>6</w:t>
            </w:r>
          </w:p>
        </w:tc>
        <w:tc>
          <w:tcPr>
            <w:tcW w:type="dxa" w:w="1440"/>
          </w:tcPr>
          <w:p>
            <w:r/>
            <w:r>
              <w:rPr>
                <w:sz w:val="19"/>
              </w:rPr>
              <w:t>Version Audit</w:t>
            </w:r>
          </w:p>
        </w:tc>
        <w:tc>
          <w:tcPr>
            <w:tcW w:type="dxa" w:w="2736"/>
          </w:tcPr>
          <w:p>
            <w:r/>
            <w:r>
              <w:rPr>
                <w:sz w:val="19"/>
              </w:rPr>
              <w:t>Track changes between two versions of one policy</w:t>
            </w:r>
          </w:p>
        </w:tc>
        <w:tc>
          <w:tcPr>
            <w:tcW w:type="dxa" w:w="2880"/>
          </w:tcPr>
          <w:p>
            <w:r/>
            <w:r>
              <w:rPr>
                <w:sz w:val="19"/>
              </w:rPr>
              <w:t>v1 file + v2 file (+ optional prior audit report)</w:t>
            </w:r>
          </w:p>
        </w:tc>
        <w:tc>
          <w:tcPr>
            <w:tcW w:type="dxa" w:w="2448"/>
          </w:tcPr>
          <w:p>
            <w:r/>
            <w:r>
              <w:rPr>
                <w:sz w:val="19"/>
              </w:rPr>
              <w:t>Three-column diff, regression flags, score delta</w:t>
            </w:r>
          </w:p>
        </w:tc>
      </w:tr>
    </w:tbl>
    <w:p>
      <w:pPr>
        <w:spacing w:after="80"/>
      </w:pPr>
    </w:p>
    <w:p>
      <w:pPr>
        <w:spacing w:after="160"/>
        <w:ind w:left="288"/>
      </w:pPr>
      <w:r>
        <w:rPr>
          <w:b/>
          <w:i/>
          <w:color w:val="2E5C8A"/>
        </w:rPr>
        <w:t xml:space="preserve">Note: </w:t>
      </w:r>
      <w:r>
        <w:rPr>
          <w:i/>
          <w:color w:val="555555"/>
        </w:rPr>
        <w:t>A single engagement is always exactly one mode. If a user needs two modes (e.g., Benchmark then Gap Analysis on the same policy), the UI must let them clone an existing engagement into a new mode without re-uploading files — see Section 11.7.</w:t>
      </w:r>
    </w:p>
    <w:p>
      <w:r>
        <w:br w:type="page"/>
      </w:r>
    </w:p>
    <w:p>
      <w:pPr>
        <w:pStyle w:val="Heading1"/>
      </w:pPr>
      <w:r>
        <w:t>8. Recommended System Architecture</w:t>
      </w:r>
    </w:p>
    <w:p>
      <w:pPr>
        <w:spacing w:after="120"/>
      </w:pPr>
      <w:r>
        <w:rPr>
          <w:b w:val="0"/>
          <w:i w:val="0"/>
        </w:rPr>
        <w:t>This section exists specifically to remove the single largest source of ambiguity for an engineering team picking this up: how does a "Claude Skill" become a product feature? The recommendation below is prescriptive so that estimation and design can start immediately; it is not the only viable architecture, but it is the one this BRD assumes throughout, and all API/data contracts in Sections 10–11 are written against it.</w:t>
      </w:r>
    </w:p>
    <w:p>
      <w:pPr>
        <w:pStyle w:val="Heading2"/>
      </w:pPr>
      <w:r>
        <w:t>8.1 What "the Skill" Actually Is</w:t>
      </w:r>
    </w:p>
    <w:p>
      <w:pPr>
        <w:spacing w:after="120"/>
      </w:pPr>
      <w:r>
        <w:rPr>
          <w:b w:val="0"/>
          <w:i w:val="0"/>
        </w:rPr>
        <w:t>The attached PolicyIQ specification is a Claude Skill package: a SKILL.md-style instruction file plus a references/ directory (policy_framework.md, benchmarks_corporate.md, benchmarks_advisory.md, regulatory_us.md, regulatory_emea.md, regulatory_apac.md, regulatory_latam.md, scoring_rubric.md, output_templates.md), a scripts/ directory (build_excel_scorecard.py), and an assets/ directory (scores_template.json). It is designed to run inside an agentic loop that has access to: a code-execution sandbox, a file system at /mnt/user-data/outputs, a web_search tool, and a structured user-input tool (ask_user_input_v0). This is the same mechanism used by Anthropic's own bundled Word/PowerPoint/Excel/PDF-authoring skills, which the PolicyIQ skill explicitly invokes for Phase 5 output generation.</w:t>
      </w:r>
    </w:p>
    <w:p>
      <w:pPr>
        <w:pStyle w:val="Heading2"/>
      </w:pPr>
      <w:r>
        <w:t>8.2 Recommended Approach: Wrap, Don't Reimplement</w:t>
      </w:r>
    </w:p>
    <w:p>
      <w:pPr>
        <w:spacing w:after="120"/>
      </w:pPr>
      <w:r>
        <w:rPr>
          <w:b w:val="0"/>
          <w:i w:val="0"/>
        </w:rPr>
        <w:t>Do not port the business logic (14-dimension framework, scoring rubric, regulatory text) into hand-written application code. That logic already exists, in a maintained, versioned form, inside the skill's reference files, and keeping it there means Legal/Compliance can update a regulatory corpus without an engineering release. Instead, build a thin, well-instrumented orchestration layer that:</w:t>
      </w:r>
    </w:p>
    <w:p>
      <w:pPr>
        <w:pStyle w:val="ListBullet"/>
        <w:ind w:left="360"/>
      </w:pPr>
      <w:r>
        <w:t>Hosts the PolicyIQ skill package (SKILL.md + references/ + scripts/ + assets/) as a versioned bundle uploaded to the Claude API's Skills/Files mechanism.</w:t>
      </w:r>
    </w:p>
    <w:p>
      <w:pPr>
        <w:pStyle w:val="ListBullet"/>
        <w:ind w:left="360"/>
      </w:pPr>
      <w:r>
        <w:t>Drives every engagement through the Claude Messages API with the code-execution tool enabled (so the model can run scripts/build_excel_scorecard.py and read/write files) and the web-search tool enabled (for Phase 1A live data fetch).</w:t>
      </w:r>
    </w:p>
    <w:p>
      <w:pPr>
        <w:pStyle w:val="ListBullet"/>
        <w:ind w:left="360"/>
      </w:pPr>
      <w:r>
        <w:t>Implements the ask_user_input_v0 contract as a custom tool: when the model calls it, the backend pauses the agent turn, renders the requested question set as a structured form in the frontend, waits for the user's answers, and returns them as the tool result. This is the mechanism that powers the entire intake wizard (Section 11).</w:t>
      </w:r>
    </w:p>
    <w:p>
      <w:pPr>
        <w:pStyle w:val="ListBullet"/>
        <w:ind w:left="360"/>
      </w:pPr>
      <w:r>
        <w:t>Implements a present_files-equivalent custom tool ("deliver_output"): when the model calls it at the end of Phase 5, the backend intercepts the referenced file(s) from the sandbox's /mnt/user-data/outputs path via the Files API, persists them to the application's own object storage with a durable engagement-scoped key, and marks the engagement as "Ready for Review" in the UI.</w:t>
      </w:r>
    </w:p>
    <w:p>
      <w:pPr>
        <w:pStyle w:val="ListBullet"/>
        <w:ind w:left="360"/>
      </w:pPr>
      <w:r>
        <w:t>Streams intermediate phase status (Phase 0 complete, Phase 1A fetching, Phase 3 scoring, etc.) back to the frontend so the progress UI (Section 11.5) can show real state rather than a generic spinner.</w:t>
      </w:r>
    </w:p>
    <w:p>
      <w:pPr>
        <w:pStyle w:val="Heading2"/>
      </w:pPr>
      <w:r>
        <w:t>8.3 High-Level Component Diagram (Textual)</w:t>
      </w:r>
    </w:p>
    <w:tbl>
      <w:tblPr>
        <w:tblStyle w:val="TableGrid"/>
        <w:tblW w:type="auto" w:w="0"/>
        <w:jc w:val="center"/>
        <w:tblLook w:firstColumn="1" w:firstRow="1" w:lastColumn="0" w:lastRow="0" w:noHBand="0" w:noVBand="1" w:val="04A0"/>
      </w:tblPr>
      <w:tblGrid>
        <w:gridCol w:w="3216"/>
        <w:gridCol w:w="3216"/>
        <w:gridCol w:w="3216"/>
      </w:tblGrid>
      <w:tr>
        <w:tc>
          <w:tcPr>
            <w:tcW w:type="dxa" w:w="1152"/>
            <w:shd w:val="clear" w:color="auto" w:fill="1B2A4A"/>
          </w:tcPr>
          <w:p>
            <w:r/>
            <w:r>
              <w:rPr>
                <w:b/>
                <w:color w:val="FFFFFF"/>
                <w:sz w:val="19"/>
              </w:rPr>
              <w:t>Layer</w:t>
            </w:r>
          </w:p>
        </w:tc>
        <w:tc>
          <w:tcPr>
            <w:tcW w:type="dxa" w:w="2448"/>
            <w:shd w:val="clear" w:color="auto" w:fill="1B2A4A"/>
          </w:tcPr>
          <w:p>
            <w:r/>
            <w:r>
              <w:rPr>
                <w:b/>
                <w:color w:val="FFFFFF"/>
                <w:sz w:val="19"/>
              </w:rPr>
              <w:t>Component</w:t>
            </w:r>
          </w:p>
        </w:tc>
        <w:tc>
          <w:tcPr>
            <w:tcW w:type="dxa" w:w="5904"/>
            <w:shd w:val="clear" w:color="auto" w:fill="1B2A4A"/>
          </w:tcPr>
          <w:p>
            <w:r/>
            <w:r>
              <w:rPr>
                <w:b/>
                <w:color w:val="FFFFFF"/>
                <w:sz w:val="19"/>
              </w:rPr>
              <w:t>Responsibility</w:t>
            </w:r>
          </w:p>
        </w:tc>
      </w:tr>
      <w:tr>
        <w:tc>
          <w:tcPr>
            <w:tcW w:type="dxa" w:w="1152"/>
          </w:tcPr>
          <w:p>
            <w:r/>
            <w:r>
              <w:rPr>
                <w:sz w:val="19"/>
              </w:rPr>
              <w:t>Frontend</w:t>
            </w:r>
          </w:p>
        </w:tc>
        <w:tc>
          <w:tcPr>
            <w:tcW w:type="dxa" w:w="2448"/>
          </w:tcPr>
          <w:p>
            <w:r/>
            <w:r>
              <w:rPr>
                <w:sz w:val="19"/>
              </w:rPr>
              <w:t>Web App (SPA)</w:t>
            </w:r>
          </w:p>
        </w:tc>
        <w:tc>
          <w:tcPr>
            <w:tcW w:type="dxa" w:w="5904"/>
          </w:tcPr>
          <w:p>
            <w:r/>
            <w:r>
              <w:rPr>
                <w:sz w:val="19"/>
              </w:rPr>
              <w:t>Intake wizard, file upload, engagement dashboard, progress view, findings review, deliverable download</w:t>
            </w:r>
          </w:p>
        </w:tc>
      </w:tr>
      <w:tr>
        <w:tc>
          <w:tcPr>
            <w:tcW w:type="dxa" w:w="1152"/>
          </w:tcPr>
          <w:p>
            <w:r/>
            <w:r>
              <w:rPr>
                <w:sz w:val="19"/>
              </w:rPr>
              <w:t>Frontend</w:t>
            </w:r>
          </w:p>
        </w:tc>
        <w:tc>
          <w:tcPr>
            <w:tcW w:type="dxa" w:w="2448"/>
          </w:tcPr>
          <w:p>
            <w:r/>
            <w:r>
              <w:rPr>
                <w:sz w:val="19"/>
              </w:rPr>
              <w:t>Admin Console</w:t>
            </w:r>
          </w:p>
        </w:tc>
        <w:tc>
          <w:tcPr>
            <w:tcW w:type="dxa" w:w="5904"/>
          </w:tcPr>
          <w:p>
            <w:r/>
            <w:r>
              <w:rPr>
                <w:sz w:val="19"/>
              </w:rPr>
              <w:t>Reference library management, benchmark tier config, user/role management, freshness monitoring</w:t>
            </w:r>
          </w:p>
        </w:tc>
      </w:tr>
      <w:tr>
        <w:tc>
          <w:tcPr>
            <w:tcW w:type="dxa" w:w="1152"/>
          </w:tcPr>
          <w:p>
            <w:r/>
            <w:r>
              <w:rPr>
                <w:sz w:val="19"/>
              </w:rPr>
              <w:t>Backend</w:t>
            </w:r>
          </w:p>
        </w:tc>
        <w:tc>
          <w:tcPr>
            <w:tcW w:type="dxa" w:w="2448"/>
          </w:tcPr>
          <w:p>
            <w:r/>
            <w:r>
              <w:rPr>
                <w:sz w:val="19"/>
              </w:rPr>
              <w:t>API Gateway</w:t>
            </w:r>
          </w:p>
        </w:tc>
        <w:tc>
          <w:tcPr>
            <w:tcW w:type="dxa" w:w="5904"/>
          </w:tcPr>
          <w:p>
            <w:r/>
            <w:r>
              <w:rPr>
                <w:sz w:val="19"/>
              </w:rPr>
              <w:t>AuthN/AuthZ, rate limiting, request routing</w:t>
            </w:r>
          </w:p>
        </w:tc>
      </w:tr>
      <w:tr>
        <w:tc>
          <w:tcPr>
            <w:tcW w:type="dxa" w:w="1152"/>
          </w:tcPr>
          <w:p>
            <w:r/>
            <w:r>
              <w:rPr>
                <w:sz w:val="19"/>
              </w:rPr>
              <w:t>Backend</w:t>
            </w:r>
          </w:p>
        </w:tc>
        <w:tc>
          <w:tcPr>
            <w:tcW w:type="dxa" w:w="2448"/>
          </w:tcPr>
          <w:p>
            <w:r/>
            <w:r>
              <w:rPr>
                <w:sz w:val="19"/>
              </w:rPr>
              <w:t>Engagement Service</w:t>
            </w:r>
          </w:p>
        </w:tc>
        <w:tc>
          <w:tcPr>
            <w:tcW w:type="dxa" w:w="5904"/>
          </w:tcPr>
          <w:p>
            <w:r/>
            <w:r>
              <w:rPr>
                <w:sz w:val="19"/>
              </w:rPr>
              <w:t>Owns engagement lifecycle/state machine (Section 10.2), persistence of intake answers and file metadata</w:t>
            </w:r>
          </w:p>
        </w:tc>
      </w:tr>
      <w:tr>
        <w:tc>
          <w:tcPr>
            <w:tcW w:type="dxa" w:w="1152"/>
          </w:tcPr>
          <w:p>
            <w:r/>
            <w:r>
              <w:rPr>
                <w:sz w:val="19"/>
              </w:rPr>
              <w:t>Backend</w:t>
            </w:r>
          </w:p>
        </w:tc>
        <w:tc>
          <w:tcPr>
            <w:tcW w:type="dxa" w:w="2448"/>
          </w:tcPr>
          <w:p>
            <w:r/>
            <w:r>
              <w:rPr>
                <w:sz w:val="19"/>
              </w:rPr>
              <w:t>Orchestration Service</w:t>
            </w:r>
          </w:p>
        </w:tc>
        <w:tc>
          <w:tcPr>
            <w:tcW w:type="dxa" w:w="5904"/>
          </w:tcPr>
          <w:p>
            <w:r/>
            <w:r>
              <w:rPr>
                <w:sz w:val="19"/>
              </w:rPr>
              <w:t>Drives the Claude Messages API session per engagement; implements ask_user_input_v0 and deliver_output tool handlers; enforces phase order</w:t>
            </w:r>
          </w:p>
        </w:tc>
      </w:tr>
      <w:tr>
        <w:tc>
          <w:tcPr>
            <w:tcW w:type="dxa" w:w="1152"/>
          </w:tcPr>
          <w:p>
            <w:r/>
            <w:r>
              <w:rPr>
                <w:sz w:val="19"/>
              </w:rPr>
              <w:t>Backend</w:t>
            </w:r>
          </w:p>
        </w:tc>
        <w:tc>
          <w:tcPr>
            <w:tcW w:type="dxa" w:w="2448"/>
          </w:tcPr>
          <w:p>
            <w:r/>
            <w:r>
              <w:rPr>
                <w:sz w:val="19"/>
              </w:rPr>
              <w:t>Ingestion Service</w:t>
            </w:r>
          </w:p>
        </w:tc>
        <w:tc>
          <w:tcPr>
            <w:tcW w:type="dxa" w:w="5904"/>
          </w:tcPr>
          <w:p>
            <w:r/>
            <w:r>
              <w:rPr>
                <w:sz w:val="19"/>
              </w:rPr>
              <w:t>Virus scan, file-type detection, hands PDFs/DOCX/images to the model's native ingestion tools, extracts and stores multi-file triage roles</w:t>
            </w:r>
          </w:p>
        </w:tc>
      </w:tr>
      <w:tr>
        <w:tc>
          <w:tcPr>
            <w:tcW w:type="dxa" w:w="1152"/>
          </w:tcPr>
          <w:p>
            <w:r/>
            <w:r>
              <w:rPr>
                <w:sz w:val="19"/>
              </w:rPr>
              <w:t>Backend</w:t>
            </w:r>
          </w:p>
        </w:tc>
        <w:tc>
          <w:tcPr>
            <w:tcW w:type="dxa" w:w="2448"/>
          </w:tcPr>
          <w:p>
            <w:r/>
            <w:r>
              <w:rPr>
                <w:sz w:val="19"/>
              </w:rPr>
              <w:t>Reference Library Service</w:t>
            </w:r>
          </w:p>
        </w:tc>
        <w:tc>
          <w:tcPr>
            <w:tcW w:type="dxa" w:w="5904"/>
          </w:tcPr>
          <w:p>
            <w:r/>
            <w:r>
              <w:rPr>
                <w:sz w:val="19"/>
              </w:rPr>
              <w:t>CRUD for the nine reference files and the Excel-scorecard script; versioning; publishes the active bundle consumed by Orchestration Service</w:t>
            </w:r>
          </w:p>
        </w:tc>
      </w:tr>
      <w:tr>
        <w:tc>
          <w:tcPr>
            <w:tcW w:type="dxa" w:w="1152"/>
          </w:tcPr>
          <w:p>
            <w:r/>
            <w:r>
              <w:rPr>
                <w:sz w:val="19"/>
              </w:rPr>
              <w:t>Backend</w:t>
            </w:r>
          </w:p>
        </w:tc>
        <w:tc>
          <w:tcPr>
            <w:tcW w:type="dxa" w:w="2448"/>
          </w:tcPr>
          <w:p>
            <w:r/>
            <w:r>
              <w:rPr>
                <w:sz w:val="19"/>
              </w:rPr>
              <w:t>Output Storage Service</w:t>
            </w:r>
          </w:p>
        </w:tc>
        <w:tc>
          <w:tcPr>
            <w:tcW w:type="dxa" w:w="5904"/>
          </w:tcPr>
          <w:p>
            <w:r/>
            <w:r>
              <w:rPr>
                <w:sz w:val="19"/>
              </w:rPr>
              <w:t>Durable object storage for generated Word/PPT/Excel/PDF deliverables; signed download URLs; retention policy</w:t>
            </w:r>
          </w:p>
        </w:tc>
      </w:tr>
      <w:tr>
        <w:tc>
          <w:tcPr>
            <w:tcW w:type="dxa" w:w="1152"/>
          </w:tcPr>
          <w:p>
            <w:r/>
            <w:r>
              <w:rPr>
                <w:sz w:val="19"/>
              </w:rPr>
              <w:t>External</w:t>
            </w:r>
          </w:p>
        </w:tc>
        <w:tc>
          <w:tcPr>
            <w:tcW w:type="dxa" w:w="2448"/>
          </w:tcPr>
          <w:p>
            <w:r/>
            <w:r>
              <w:rPr>
                <w:sz w:val="19"/>
              </w:rPr>
              <w:t>Claude API (Anthropic)</w:t>
            </w:r>
          </w:p>
        </w:tc>
        <w:tc>
          <w:tcPr>
            <w:tcW w:type="dxa" w:w="5904"/>
          </w:tcPr>
          <w:p>
            <w:r/>
            <w:r>
              <w:rPr>
                <w:sz w:val="19"/>
              </w:rPr>
              <w:t>Model reasoning, code execution sandbox, web search tool, native docx/pptx/xlsx/pdf authoring skills</w:t>
            </w:r>
          </w:p>
        </w:tc>
      </w:tr>
      <w:tr>
        <w:tc>
          <w:tcPr>
            <w:tcW w:type="dxa" w:w="1152"/>
          </w:tcPr>
          <w:p>
            <w:r/>
            <w:r>
              <w:rPr>
                <w:sz w:val="19"/>
              </w:rPr>
              <w:t>External</w:t>
            </w:r>
          </w:p>
        </w:tc>
        <w:tc>
          <w:tcPr>
            <w:tcW w:type="dxa" w:w="2448"/>
          </w:tcPr>
          <w:p>
            <w:r/>
            <w:r>
              <w:rPr>
                <w:sz w:val="19"/>
              </w:rPr>
              <w:t>Web Search Provider</w:t>
            </w:r>
          </w:p>
        </w:tc>
        <w:tc>
          <w:tcPr>
            <w:tcW w:type="dxa" w:w="5904"/>
          </w:tcPr>
          <w:p>
            <w:r/>
            <w:r>
              <w:rPr>
                <w:sz w:val="19"/>
              </w:rPr>
              <w:t>Backing search index for Phase 1A live data fetch (via Claude's server-side web search tool, or a bound custom search tool if a specific enterprise search vendor is mandated)</w:t>
            </w:r>
          </w:p>
        </w:tc>
      </w:tr>
      <w:tr>
        <w:tc>
          <w:tcPr>
            <w:tcW w:type="dxa" w:w="1152"/>
          </w:tcPr>
          <w:p>
            <w:r/>
            <w:r>
              <w:rPr>
                <w:sz w:val="19"/>
              </w:rPr>
              <w:t>Data</w:t>
            </w:r>
          </w:p>
        </w:tc>
        <w:tc>
          <w:tcPr>
            <w:tcW w:type="dxa" w:w="2448"/>
          </w:tcPr>
          <w:p>
            <w:r/>
            <w:r>
              <w:rPr>
                <w:sz w:val="19"/>
              </w:rPr>
              <w:t>Primary Database</w:t>
            </w:r>
          </w:p>
        </w:tc>
        <w:tc>
          <w:tcPr>
            <w:tcW w:type="dxa" w:w="5904"/>
          </w:tcPr>
          <w:p>
            <w:r/>
            <w:r>
              <w:rPr>
                <w:sz w:val="19"/>
              </w:rPr>
              <w:t>Engagements, users, tenants, intake answers, dimension scores, citations, audit log</w:t>
            </w:r>
          </w:p>
        </w:tc>
      </w:tr>
      <w:tr>
        <w:tc>
          <w:tcPr>
            <w:tcW w:type="dxa" w:w="1152"/>
          </w:tcPr>
          <w:p>
            <w:r/>
            <w:r>
              <w:rPr>
                <w:sz w:val="19"/>
              </w:rPr>
              <w:t>Data</w:t>
            </w:r>
          </w:p>
        </w:tc>
        <w:tc>
          <w:tcPr>
            <w:tcW w:type="dxa" w:w="2448"/>
          </w:tcPr>
          <w:p>
            <w:r/>
            <w:r>
              <w:rPr>
                <w:sz w:val="19"/>
              </w:rPr>
              <w:t>Object Storage</w:t>
            </w:r>
          </w:p>
        </w:tc>
        <w:tc>
          <w:tcPr>
            <w:tcW w:type="dxa" w:w="5904"/>
          </w:tcPr>
          <w:p>
            <w:r/>
            <w:r>
              <w:rPr>
                <w:sz w:val="19"/>
              </w:rPr>
              <w:t>Uploaded source policy files, generated deliverables, reference library file bundle</w:t>
            </w:r>
          </w:p>
        </w:tc>
      </w:tr>
    </w:tbl>
    <w:p>
      <w:pPr>
        <w:spacing w:after="80"/>
      </w:pPr>
    </w:p>
    <w:p>
      <w:pPr>
        <w:pStyle w:val="Heading2"/>
      </w:pPr>
      <w:r>
        <w:t>8.4 Why This Approach (Rejected Alternatives)</w:t>
      </w:r>
    </w:p>
    <w:p>
      <w:pPr>
        <w:pStyle w:val="ListBullet"/>
        <w:ind w:left="360"/>
      </w:pPr>
      <w:r>
        <w:t>Rejected: Reimplementing the 14-dimension scoring logic, regulatory citations, and benchmark corpora as hand-written backend business rules. This duplicates content that must be kept current (tax rates and per-diem rates change annually); the skill's reference-file model already solves that as a content-update problem rather than a code-release problem.</w:t>
      </w:r>
    </w:p>
    <w:p>
      <w:pPr>
        <w:pStyle w:val="ListBullet"/>
        <w:ind w:left="360"/>
      </w:pPr>
      <w:r>
        <w:t>Rejected: Calling a generic LLM API with the skill text pasted into a single system prompt and no tool access. This breaks Phase 1A (no live data fetch), Phase 5 (no native document authoring), and the intake wizard (no structured pause/resume for questions).</w:t>
      </w:r>
    </w:p>
    <w:p>
      <w:pPr>
        <w:pStyle w:val="ListBullet"/>
        <w:ind w:left="360"/>
      </w:pPr>
      <w:r>
        <w:t>Accepted: Host the skill as a Claude Skill bundle behind an orchestration service that implements the two custom tool contracts (ask_user_input_v0, deliver_output) and enables the code-execution and web-search tools. This preserves the maintainability of the reference-file model while giving the product team full control over the UI/UX layer.</w:t>
      </w:r>
    </w:p>
    <w:p>
      <w:r>
        <w:br w:type="page"/>
      </w:r>
    </w:p>
    <w:p>
      <w:pPr>
        <w:pStyle w:val="Heading1"/>
      </w:pPr>
      <w:r>
        <w:t>9. Functional Requirements by Phase</w:t>
      </w:r>
    </w:p>
    <w:p>
      <w:pPr>
        <w:spacing w:after="120"/>
      </w:pPr>
      <w:r>
        <w:rPr>
          <w:b w:val="0"/>
          <w:i w:val="0"/>
        </w:rPr>
        <w:t>The source skill defines a strict five-phase workflow (Phase 0 through Phase 5) that must never be reordered or skipped. Each subsection below states the business rule from the skill, the required UI behavior, and the required backend behavior, so front end and back end can be scoped independently against the same source of truth.</w:t>
      </w:r>
    </w:p>
    <w:p>
      <w:pPr>
        <w:pStyle w:val="Heading2"/>
      </w:pPr>
      <w:r>
        <w:t>9.1 Phase 0 — Intake (Always First)</w:t>
      </w:r>
    </w:p>
    <w:p>
      <w:pPr>
        <w:spacing w:after="120"/>
      </w:pPr>
      <w:r>
        <w:rPr>
          <w:b w:val="0"/>
          <w:i w:val="0"/>
        </w:rPr>
        <w:t>Business rule: before any analysis begins, the system must collect, in a single consolidated interaction, every input needed to scope the engagement. The system must never assume an unstated value; if the user's initial input already answers some questions, the system confirms what it understood and asks only for the gaps.</w:t>
      </w:r>
    </w:p>
    <w:p>
      <w:pPr>
        <w:pStyle w:val="Heading3"/>
      </w:pPr>
      <w:r>
        <w:t>9.1.1 Required Intake Fields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color="auto" w:fill="1B2A4A"/>
          </w:tcPr>
          <w:p>
            <w:r/>
            <w:r>
              <w:rPr>
                <w:b/>
                <w:color w:val="FFFFFF"/>
                <w:sz w:val="19"/>
              </w:rPr>
              <w:t>Field</w:t>
            </w:r>
          </w:p>
        </w:tc>
        <w:tc>
          <w:tcPr>
            <w:tcW w:type="dxa" w:w="2160"/>
            <w:shd w:val="clear" w:color="auto" w:fill="1B2A4A"/>
          </w:tcPr>
          <w:p>
            <w:r/>
            <w:r>
              <w:rPr>
                <w:b/>
                <w:color w:val="FFFFFF"/>
                <w:sz w:val="19"/>
              </w:rPr>
              <w:t>Type</w:t>
            </w:r>
          </w:p>
        </w:tc>
        <w:tc>
          <w:tcPr>
            <w:tcW w:type="dxa" w:w="1584"/>
            <w:shd w:val="clear" w:color="auto" w:fill="1B2A4A"/>
          </w:tcPr>
          <w:p>
            <w:r/>
            <w:r>
              <w:rPr>
                <w:b/>
                <w:color w:val="FFFFFF"/>
                <w:sz w:val="19"/>
              </w:rPr>
              <w:t>Required</w:t>
            </w:r>
          </w:p>
        </w:tc>
        <w:tc>
          <w:tcPr>
            <w:tcW w:type="dxa" w:w="4320"/>
            <w:shd w:val="clear" w:color="auto" w:fill="1B2A4A"/>
          </w:tcPr>
          <w:p>
            <w:r/>
            <w:r>
              <w:rPr>
                <w:b/>
                <w:color w:val="FFFFFF"/>
                <w:sz w:val="19"/>
              </w:rPr>
              <w:t>Options / Validation</w:t>
            </w:r>
          </w:p>
        </w:tc>
      </w:tr>
      <w:tr>
        <w:tc>
          <w:tcPr>
            <w:tcW w:type="dxa" w:w="2160"/>
          </w:tcPr>
          <w:p>
            <w:r/>
            <w:r>
              <w:rPr>
                <w:sz w:val="19"/>
              </w:rPr>
              <w:t>Mode</w:t>
            </w:r>
          </w:p>
        </w:tc>
        <w:tc>
          <w:tcPr>
            <w:tcW w:type="dxa" w:w="2160"/>
          </w:tcPr>
          <w:p>
            <w:r/>
            <w:r>
              <w:rPr>
                <w:sz w:val="19"/>
              </w:rPr>
              <w:t>Single-select</w:t>
            </w:r>
          </w:p>
        </w:tc>
        <w:tc>
          <w:tcPr>
            <w:tcW w:type="dxa" w:w="1584"/>
          </w:tcPr>
          <w:p>
            <w:r/>
            <w:r>
              <w:rPr>
                <w:sz w:val="19"/>
              </w:rPr>
              <w:t>Yes</w:t>
            </w:r>
          </w:p>
        </w:tc>
        <w:tc>
          <w:tcPr>
            <w:tcW w:type="dxa" w:w="4320"/>
          </w:tcPr>
          <w:p>
            <w:r/>
            <w:r>
              <w:rPr>
                <w:sz w:val="19"/>
              </w:rPr>
              <w:t>Build new / Deep-Dive / Benchmark / Gap Analysis / Compare (peer) / Version Audit (v1 vs v2)</w:t>
            </w:r>
          </w:p>
        </w:tc>
      </w:tr>
      <w:tr>
        <w:tc>
          <w:tcPr>
            <w:tcW w:type="dxa" w:w="2160"/>
          </w:tcPr>
          <w:p>
            <w:r/>
            <w:r>
              <w:rPr>
                <w:sz w:val="19"/>
              </w:rPr>
              <w:t>File-provision method</w:t>
            </w:r>
          </w:p>
        </w:tc>
        <w:tc>
          <w:tcPr>
            <w:tcW w:type="dxa" w:w="2160"/>
          </w:tcPr>
          <w:p>
            <w:r/>
            <w:r>
              <w:rPr>
                <w:sz w:val="19"/>
              </w:rPr>
              <w:t>Single-select</w:t>
            </w:r>
          </w:p>
        </w:tc>
        <w:tc>
          <w:tcPr>
            <w:tcW w:type="dxa" w:w="1584"/>
          </w:tcPr>
          <w:p>
            <w:r/>
            <w:r>
              <w:rPr>
                <w:sz w:val="19"/>
              </w:rPr>
              <w:t>Yes</w:t>
            </w:r>
          </w:p>
        </w:tc>
        <w:tc>
          <w:tcPr>
            <w:tcW w:type="dxa" w:w="4320"/>
          </w:tcPr>
          <w:p>
            <w:r/>
            <w:r>
              <w:rPr>
                <w:sz w:val="19"/>
              </w:rPr>
              <w:t>Upload file(s) / Paste text / Provide verbal summary (free-text intake)</w:t>
            </w:r>
          </w:p>
        </w:tc>
      </w:tr>
      <w:tr>
        <w:tc>
          <w:tcPr>
            <w:tcW w:type="dxa" w:w="2160"/>
          </w:tcPr>
          <w:p>
            <w:r/>
            <w:r>
              <w:rPr>
                <w:sz w:val="19"/>
              </w:rPr>
              <w:t>Company headcount</w:t>
            </w:r>
          </w:p>
        </w:tc>
        <w:tc>
          <w:tcPr>
            <w:tcW w:type="dxa" w:w="2160"/>
          </w:tcPr>
          <w:p>
            <w:r/>
            <w:r>
              <w:rPr>
                <w:sz w:val="19"/>
              </w:rPr>
              <w:t>Numeric or banded select</w:t>
            </w:r>
          </w:p>
        </w:tc>
        <w:tc>
          <w:tcPr>
            <w:tcW w:type="dxa" w:w="1584"/>
          </w:tcPr>
          <w:p>
            <w:r/>
            <w:r>
              <w:rPr>
                <w:sz w:val="19"/>
              </w:rPr>
              <w:t>Yes</w:t>
            </w:r>
          </w:p>
        </w:tc>
        <w:tc>
          <w:tcPr>
            <w:tcW w:type="dxa" w:w="4320"/>
          </w:tcPr>
          <w:p>
            <w:r/>
            <w:r>
              <w:rPr>
                <w:sz w:val="19"/>
              </w:rPr>
              <w:t>Bands: ≤200 / 200–2,000 / 2,000–20,000 / 20,000+ — drives benchmark tier (SME / Mid-Market / Large Enterprise / Global Enterprise-FAANG-tier)</w:t>
            </w:r>
          </w:p>
        </w:tc>
      </w:tr>
      <w:tr>
        <w:tc>
          <w:tcPr>
            <w:tcW w:type="dxa" w:w="2160"/>
          </w:tcPr>
          <w:p>
            <w:r/>
            <w:r>
              <w:rPr>
                <w:sz w:val="19"/>
              </w:rPr>
              <w:t>Industry</w:t>
            </w:r>
          </w:p>
        </w:tc>
        <w:tc>
          <w:tcPr>
            <w:tcW w:type="dxa" w:w="2160"/>
          </w:tcPr>
          <w:p>
            <w:r/>
            <w:r>
              <w:rPr>
                <w:sz w:val="19"/>
              </w:rPr>
              <w:t>Single-select + "Other" free text</w:t>
            </w:r>
          </w:p>
        </w:tc>
        <w:tc>
          <w:tcPr>
            <w:tcW w:type="dxa" w:w="1584"/>
          </w:tcPr>
          <w:p>
            <w:r/>
            <w:r>
              <w:rPr>
                <w:sz w:val="19"/>
              </w:rPr>
              <w:t>Yes</w:t>
            </w:r>
          </w:p>
        </w:tc>
        <w:tc>
          <w:tcPr>
            <w:tcW w:type="dxa" w:w="4320"/>
          </w:tcPr>
          <w:p>
            <w:r/>
            <w:r>
              <w:rPr>
                <w:sz w:val="19"/>
              </w:rPr>
              <w:t>Standard industry list (Technology, Financial Services, Healthcare, Manufacturing, Retail, Professional Services, Other)</w:t>
            </w:r>
          </w:p>
        </w:tc>
      </w:tr>
      <w:tr>
        <w:tc>
          <w:tcPr>
            <w:tcW w:type="dxa" w:w="2160"/>
          </w:tcPr>
          <w:p>
            <w:r/>
            <w:r>
              <w:rPr>
                <w:sz w:val="19"/>
              </w:rPr>
              <w:t>Maturity stage</w:t>
            </w:r>
          </w:p>
        </w:tc>
        <w:tc>
          <w:tcPr>
            <w:tcW w:type="dxa" w:w="2160"/>
          </w:tcPr>
          <w:p>
            <w:r/>
            <w:r>
              <w:rPr>
                <w:sz w:val="19"/>
              </w:rPr>
              <w:t>Single-select</w:t>
            </w:r>
          </w:p>
        </w:tc>
        <w:tc>
          <w:tcPr>
            <w:tcW w:type="dxa" w:w="1584"/>
          </w:tcPr>
          <w:p>
            <w:r/>
            <w:r>
              <w:rPr>
                <w:sz w:val="19"/>
              </w:rPr>
              <w:t>Yes</w:t>
            </w:r>
          </w:p>
        </w:tc>
        <w:tc>
          <w:tcPr>
            <w:tcW w:type="dxa" w:w="4320"/>
          </w:tcPr>
          <w:p>
            <w:r/>
            <w:r>
              <w:rPr>
                <w:sz w:val="19"/>
              </w:rPr>
              <w:t>Startup / Growth / Established / Public company</w:t>
            </w:r>
          </w:p>
        </w:tc>
      </w:tr>
      <w:tr>
        <w:tc>
          <w:tcPr>
            <w:tcW w:type="dxa" w:w="2160"/>
          </w:tcPr>
          <w:p>
            <w:r/>
            <w:r>
              <w:rPr>
                <w:sz w:val="19"/>
              </w:rPr>
              <w:t>Regions in scope</w:t>
            </w:r>
          </w:p>
        </w:tc>
        <w:tc>
          <w:tcPr>
            <w:tcW w:type="dxa" w:w="2160"/>
          </w:tcPr>
          <w:p>
            <w:r/>
            <w:r>
              <w:rPr>
                <w:sz w:val="19"/>
              </w:rPr>
              <w:t>Multi-select</w:t>
            </w:r>
          </w:p>
        </w:tc>
        <w:tc>
          <w:tcPr>
            <w:tcW w:type="dxa" w:w="1584"/>
          </w:tcPr>
          <w:p>
            <w:r/>
            <w:r>
              <w:rPr>
                <w:sz w:val="19"/>
              </w:rPr>
              <w:t>Yes</w:t>
            </w:r>
          </w:p>
        </w:tc>
        <w:tc>
          <w:tcPr>
            <w:tcW w:type="dxa" w:w="4320"/>
          </w:tcPr>
          <w:p>
            <w:r/>
            <w:r>
              <w:rPr>
                <w:sz w:val="19"/>
              </w:rPr>
              <w:t>US / EMEA / APAC / LATAM / Global (Global auto-selects all four)</w:t>
            </w:r>
          </w:p>
        </w:tc>
      </w:tr>
      <w:tr>
        <w:tc>
          <w:tcPr>
            <w:tcW w:type="dxa" w:w="2160"/>
          </w:tcPr>
          <w:p>
            <w:r/>
            <w:r>
              <w:rPr>
                <w:sz w:val="19"/>
              </w:rPr>
              <w:t>Audience</w:t>
            </w:r>
          </w:p>
        </w:tc>
        <w:tc>
          <w:tcPr>
            <w:tcW w:type="dxa" w:w="2160"/>
          </w:tcPr>
          <w:p>
            <w:r/>
            <w:r>
              <w:rPr>
                <w:sz w:val="19"/>
              </w:rPr>
              <w:t>Single-select</w:t>
            </w:r>
          </w:p>
        </w:tc>
        <w:tc>
          <w:tcPr>
            <w:tcW w:type="dxa" w:w="1584"/>
          </w:tcPr>
          <w:p>
            <w:r/>
            <w:r>
              <w:rPr>
                <w:sz w:val="19"/>
              </w:rPr>
              <w:t>Yes</w:t>
            </w:r>
          </w:p>
        </w:tc>
        <w:tc>
          <w:tcPr>
            <w:tcW w:type="dxa" w:w="4320"/>
          </w:tcPr>
          <w:p>
            <w:r/>
            <w:r>
              <w:rPr>
                <w:sz w:val="19"/>
              </w:rPr>
              <w:t>CFO / Board / Internal Audit / Employees / External Counsel — drives tone and depth of generated narrative</w:t>
            </w:r>
          </w:p>
        </w:tc>
      </w:tr>
      <w:tr>
        <w:tc>
          <w:tcPr>
            <w:tcW w:type="dxa" w:w="2160"/>
          </w:tcPr>
          <w:p>
            <w:r/>
            <w:r>
              <w:rPr>
                <w:sz w:val="19"/>
              </w:rPr>
              <w:t>Output format</w:t>
            </w:r>
          </w:p>
        </w:tc>
        <w:tc>
          <w:tcPr>
            <w:tcW w:type="dxa" w:w="2160"/>
          </w:tcPr>
          <w:p>
            <w:r/>
            <w:r>
              <w:rPr>
                <w:sz w:val="19"/>
              </w:rPr>
              <w:t>Single-select (can be deferred)</w:t>
            </w:r>
          </w:p>
        </w:tc>
        <w:tc>
          <w:tcPr>
            <w:tcW w:type="dxa" w:w="1584"/>
          </w:tcPr>
          <w:p>
            <w:r/>
            <w:r>
              <w:rPr>
                <w:sz w:val="19"/>
              </w:rPr>
              <w:t>Yes, but may be asked again at Phase 5 if not answered here</w:t>
            </w:r>
          </w:p>
        </w:tc>
        <w:tc>
          <w:tcPr>
            <w:tcW w:type="dxa" w:w="4320"/>
          </w:tcPr>
          <w:p>
            <w:r/>
            <w:r>
              <w:rPr>
                <w:sz w:val="19"/>
              </w:rPr>
              <w:t>Word / PowerPoint / Excel / PDF</w:t>
            </w:r>
          </w:p>
        </w:tc>
      </w:tr>
    </w:tbl>
    <w:p>
      <w:pPr>
        <w:spacing w:after="80"/>
      </w:pPr>
    </w:p>
    <w:p>
      <w:pPr>
        <w:pStyle w:val="Heading3"/>
      </w:pPr>
      <w:r>
        <w:t>9.1.2 UI Requirement — Intake Wizard</w:t>
      </w:r>
    </w:p>
    <w:p>
      <w:pPr>
        <w:pStyle w:val="ListBullet"/>
        <w:ind w:left="360"/>
      </w:pPr>
      <w:r>
        <w:t>Present all Phase 0 fields as a single multi-step wizard (recommended: one screen per logical group — Mode, Files, Company Profile, Regions &amp; Audience, Output Format) rather than one long scrolling form, but submit them to the backend as one consolidated intake payload, matching the skill's "single consolidated message" rule.</w:t>
      </w:r>
    </w:p>
    <w:p>
      <w:pPr>
        <w:pStyle w:val="ListBullet"/>
        <w:ind w:left="360"/>
      </w:pPr>
      <w:r>
        <w:t>If the user has already provided information in an opening free-text box or an uploaded file's obvious metadata (e.g., a filename containing "v2"), the wizard must pre-fill and visibly mark those fields as "Detected — confirm or edit" rather than asking blank.</w:t>
      </w:r>
    </w:p>
    <w:p>
      <w:pPr>
        <w:pStyle w:val="ListBullet"/>
        <w:ind w:left="360"/>
      </w:pPr>
      <w:r>
        <w:t>Do not allow navigation past the wizard until every required field for the selected mode is complete (see 9.1.3 for per-mode field requirements).</w:t>
      </w:r>
    </w:p>
    <w:p>
      <w:pPr>
        <w:pStyle w:val="ListBullet"/>
        <w:ind w:left="360"/>
      </w:pPr>
      <w:r>
        <w:t>The "Regions in scope" selection must dynamically show/hide downstream regulatory questions — e.g., selecting only "US" must suppress any EMEA/APAC/LATAM-specific prompts later in the flow (this mirrors the skill's explicit scoping rule in Phase 1A).</w:t>
      </w:r>
    </w:p>
    <w:p>
      <w:pPr>
        <w:pStyle w:val="Heading3"/>
      </w:pPr>
      <w:r>
        <w:t>9.1.3 Per-Mode Field Requirements</w:t>
      </w:r>
    </w:p>
    <w:tbl>
      <w:tblPr>
        <w:tblStyle w:val="TableGrid"/>
        <w:tblW w:type="auto" w:w="0"/>
        <w:jc w:val="center"/>
        <w:tblLook w:firstColumn="1" w:firstRow="1" w:lastColumn="0" w:lastRow="0" w:noHBand="0" w:noVBand="1" w:val="04A0"/>
      </w:tblPr>
      <w:tblGrid>
        <w:gridCol w:w="4824"/>
        <w:gridCol w:w="4824"/>
      </w:tblGrid>
      <w:tr>
        <w:tc>
          <w:tcPr>
            <w:tcW w:type="dxa" w:w="1728"/>
            <w:shd w:val="clear" w:color="auto" w:fill="1B2A4A"/>
          </w:tcPr>
          <w:p>
            <w:r/>
            <w:r>
              <w:rPr>
                <w:b/>
                <w:color w:val="FFFFFF"/>
                <w:sz w:val="19"/>
              </w:rPr>
              <w:t>Mode</w:t>
            </w:r>
          </w:p>
        </w:tc>
        <w:tc>
          <w:tcPr>
            <w:tcW w:type="dxa" w:w="7200"/>
            <w:shd w:val="clear" w:color="auto" w:fill="1B2A4A"/>
          </w:tcPr>
          <w:p>
            <w:r/>
            <w:r>
              <w:rPr>
                <w:b/>
                <w:color w:val="FFFFFF"/>
                <w:sz w:val="19"/>
              </w:rPr>
              <w:t>Additional Required Inputs Beyond the Core Table</w:t>
            </w:r>
          </w:p>
        </w:tc>
      </w:tr>
      <w:tr>
        <w:tc>
          <w:tcPr>
            <w:tcW w:type="dxa" w:w="1728"/>
          </w:tcPr>
          <w:p>
            <w:r/>
            <w:r>
              <w:rPr>
                <w:sz w:val="19"/>
              </w:rPr>
              <w:t>Build</w:t>
            </w:r>
          </w:p>
        </w:tc>
        <w:tc>
          <w:tcPr>
            <w:tcW w:type="dxa" w:w="7200"/>
          </w:tcPr>
          <w:p>
            <w:r/>
            <w:r>
              <w:rPr>
                <w:sz w:val="19"/>
              </w:rPr>
              <w:t>No source file. Requires: risk appetite (Conservative / Balanced / Aggressive), employee bands for per-diem tiering (e.g., Executive / Manager / Individual Contributor)</w:t>
            </w:r>
          </w:p>
        </w:tc>
      </w:tr>
      <w:tr>
        <w:tc>
          <w:tcPr>
            <w:tcW w:type="dxa" w:w="1728"/>
          </w:tcPr>
          <w:p>
            <w:r/>
            <w:r>
              <w:rPr>
                <w:sz w:val="19"/>
              </w:rPr>
              <w:t>Deep-Dive</w:t>
            </w:r>
          </w:p>
        </w:tc>
        <w:tc>
          <w:tcPr>
            <w:tcW w:type="dxa" w:w="7200"/>
          </w:tcPr>
          <w:p>
            <w:r/>
            <w:r>
              <w:rPr>
                <w:sz w:val="19"/>
              </w:rPr>
              <w:t>Exactly one policy file (or pasted text)</w:t>
            </w:r>
          </w:p>
        </w:tc>
      </w:tr>
      <w:tr>
        <w:tc>
          <w:tcPr>
            <w:tcW w:type="dxa" w:w="1728"/>
          </w:tcPr>
          <w:p>
            <w:r/>
            <w:r>
              <w:rPr>
                <w:sz w:val="19"/>
              </w:rPr>
              <w:t>Benchmark</w:t>
            </w:r>
          </w:p>
        </w:tc>
        <w:tc>
          <w:tcPr>
            <w:tcW w:type="dxa" w:w="7200"/>
          </w:tcPr>
          <w:p>
            <w:r/>
            <w:r>
              <w:rPr>
                <w:sz w:val="19"/>
              </w:rPr>
              <w:t>Exactly one policy file; company profile fields are mandatory (drive tier match)</w:t>
            </w:r>
          </w:p>
        </w:tc>
      </w:tr>
      <w:tr>
        <w:tc>
          <w:tcPr>
            <w:tcW w:type="dxa" w:w="1728"/>
          </w:tcPr>
          <w:p>
            <w:r/>
            <w:r>
              <w:rPr>
                <w:sz w:val="19"/>
              </w:rPr>
              <w:t>Gap Analysis</w:t>
            </w:r>
          </w:p>
        </w:tc>
        <w:tc>
          <w:tcPr>
            <w:tcW w:type="dxa" w:w="7200"/>
          </w:tcPr>
          <w:p>
            <w:r/>
            <w:r>
              <w:rPr>
                <w:sz w:val="19"/>
              </w:rPr>
              <w:t>Exactly one policy file; at least one region must be selected</w:t>
            </w:r>
          </w:p>
        </w:tc>
      </w:tr>
      <w:tr>
        <w:tc>
          <w:tcPr>
            <w:tcW w:type="dxa" w:w="1728"/>
          </w:tcPr>
          <w:p>
            <w:r/>
            <w:r>
              <w:rPr>
                <w:sz w:val="19"/>
              </w:rPr>
              <w:t>Compare</w:t>
            </w:r>
          </w:p>
        </w:tc>
        <w:tc>
          <w:tcPr>
            <w:tcW w:type="dxa" w:w="7200"/>
          </w:tcPr>
          <w:p>
            <w:r/>
            <w:r>
              <w:rPr>
                <w:sz w:val="19"/>
              </w:rPr>
              <w:t>Two or more policy files, each tagged by the user as "Ours" or "Peer/Reference"</w:t>
            </w:r>
          </w:p>
        </w:tc>
      </w:tr>
      <w:tr>
        <w:tc>
          <w:tcPr>
            <w:tcW w:type="dxa" w:w="1728"/>
          </w:tcPr>
          <w:p>
            <w:r/>
            <w:r>
              <w:rPr>
                <w:sz w:val="19"/>
              </w:rPr>
              <w:t>Version Audit</w:t>
            </w:r>
          </w:p>
        </w:tc>
        <w:tc>
          <w:tcPr>
            <w:tcW w:type="dxa" w:w="7200"/>
          </w:tcPr>
          <w:p>
            <w:r/>
            <w:r>
              <w:rPr>
                <w:sz w:val="19"/>
              </w:rPr>
              <w:t>Exactly two policy files explicitly tagged v1 (baseline) and v2 (current); optional third file: prior audit/findings report</w:t>
            </w:r>
          </w:p>
        </w:tc>
      </w:tr>
    </w:tbl>
    <w:p>
      <w:pPr>
        <w:spacing w:after="80"/>
      </w:pPr>
    </w:p>
    <w:p>
      <w:pPr>
        <w:spacing w:after="160"/>
        <w:ind w:left="288"/>
      </w:pPr>
      <w:r>
        <w:rPr>
          <w:b/>
          <w:i/>
          <w:color w:val="2E5C8A"/>
        </w:rPr>
        <w:t xml:space="preserve">Note: </w:t>
      </w:r>
      <w:r>
        <w:rPr>
          <w:i/>
          <w:color w:val="555555"/>
        </w:rPr>
        <w:t>The wizard must reject submission (with an inline, field-level error — never a generic toast) if the file count for the selected mode does not match this table, e.g., a user selecting Version Audit with only one file uploaded.</w:t>
      </w:r>
    </w:p>
    <w:p>
      <w:r>
        <w:br w:type="page"/>
      </w:r>
    </w:p>
    <w:p>
      <w:pPr>
        <w:pStyle w:val="Heading2"/>
      </w:pPr>
      <w:r>
        <w:t>9.2 Phase 0A — Multi-File Triage</w:t>
      </w:r>
    </w:p>
    <w:p>
      <w:pPr>
        <w:spacing w:after="120"/>
      </w:pPr>
      <w:r>
        <w:rPr>
          <w:b w:val="0"/>
          <w:i w:val="0"/>
        </w:rPr>
        <w:t>Business rule: whenever more than one file is attached, the system must determine the role of each file before any analysis begins. If a role cannot be determined with confidence, the system must ask exactly one clarifying question per ambiguous file rather than guessing.</w:t>
      </w:r>
    </w:p>
    <w:p>
      <w:pPr>
        <w:pStyle w:val="Heading3"/>
      </w:pPr>
      <w:r>
        <w:t>9.2.1 File Roles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1B2A4A"/>
          </w:tcPr>
          <w:p>
            <w:r/>
            <w:r>
              <w:rPr>
                <w:b/>
                <w:color w:val="FFFFFF"/>
                <w:sz w:val="19"/>
              </w:rPr>
              <w:t>File Role</w:t>
            </w:r>
          </w:p>
        </w:tc>
        <w:tc>
          <w:tcPr>
            <w:tcW w:type="dxa" w:w="3168"/>
            <w:shd w:val="clear" w:color="auto" w:fill="1B2A4A"/>
          </w:tcPr>
          <w:p>
            <w:r/>
            <w:r>
              <w:rPr>
                <w:b/>
                <w:color w:val="FFFFFF"/>
                <w:sz w:val="19"/>
              </w:rPr>
              <w:t>Meaning</w:t>
            </w:r>
          </w:p>
        </w:tc>
        <w:tc>
          <w:tcPr>
            <w:tcW w:type="dxa" w:w="3600"/>
            <w:shd w:val="clear" w:color="auto" w:fill="1B2A4A"/>
          </w:tcPr>
          <w:p>
            <w:r/>
            <w:r>
              <w:rPr>
                <w:b/>
                <w:color w:val="FFFFFF"/>
                <w:sz w:val="19"/>
              </w:rPr>
              <w:t>System Treatment</w:t>
            </w:r>
          </w:p>
        </w:tc>
      </w:tr>
      <w:tr>
        <w:tc>
          <w:tcPr>
            <w:tcW w:type="dxa" w:w="2160"/>
          </w:tcPr>
          <w:p>
            <w:r/>
            <w:r>
              <w:rPr>
                <w:sz w:val="19"/>
              </w:rPr>
              <w:t>Policy under review</w:t>
            </w:r>
          </w:p>
        </w:tc>
        <w:tc>
          <w:tcPr>
            <w:tcW w:type="dxa" w:w="3168"/>
          </w:tcPr>
          <w:p>
            <w:r/>
            <w:r>
              <w:rPr>
                <w:sz w:val="19"/>
              </w:rPr>
              <w:t>The primary subject of the engagement</w:t>
            </w:r>
          </w:p>
        </w:tc>
        <w:tc>
          <w:tcPr>
            <w:tcW w:type="dxa" w:w="3600"/>
          </w:tcPr>
          <w:p>
            <w:r/>
            <w:r>
              <w:rPr>
                <w:sz w:val="19"/>
              </w:rPr>
              <w:t>Ingested fully; mapped to all 14 dimensions</w:t>
            </w:r>
          </w:p>
        </w:tc>
      </w:tr>
      <w:tr>
        <w:tc>
          <w:tcPr>
            <w:tcW w:type="dxa" w:w="2160"/>
          </w:tcPr>
          <w:p>
            <w:r/>
            <w:r>
              <w:rPr>
                <w:sz w:val="19"/>
              </w:rPr>
              <w:t>User-supplied benchmark</w:t>
            </w:r>
          </w:p>
        </w:tc>
        <w:tc>
          <w:tcPr>
            <w:tcW w:type="dxa" w:w="3168"/>
          </w:tcPr>
          <w:p>
            <w:r/>
            <w:r>
              <w:rPr>
                <w:sz w:val="19"/>
              </w:rPr>
              <w:t>A "Layer 0" override</w:t>
            </w:r>
          </w:p>
        </w:tc>
        <w:tc>
          <w:tcPr>
            <w:tcW w:type="dxa" w:w="3600"/>
          </w:tcPr>
          <w:p>
            <w:r/>
            <w:r>
              <w:rPr>
                <w:sz w:val="19"/>
              </w:rPr>
              <w:t>Takes precedence over built-in reference data for any dimension it addresses; loaded and extracted before built-in references are read</w:t>
            </w:r>
          </w:p>
        </w:tc>
      </w:tr>
      <w:tr>
        <w:tc>
          <w:tcPr>
            <w:tcW w:type="dxa" w:w="2160"/>
          </w:tcPr>
          <w:p>
            <w:r/>
            <w:r>
              <w:rPr>
                <w:sz w:val="19"/>
              </w:rPr>
              <w:t>Industry / advisory report</w:t>
            </w:r>
          </w:p>
        </w:tc>
        <w:tc>
          <w:tcPr>
            <w:tcW w:type="dxa" w:w="3168"/>
          </w:tcPr>
          <w:p>
            <w:r/>
            <w:r>
              <w:rPr>
                <w:sz w:val="19"/>
              </w:rPr>
              <w:t>Supplement to built-in advisory benchmarks (e.g., GBTA, ACTE, Deloitte)</w:t>
            </w:r>
          </w:p>
        </w:tc>
        <w:tc>
          <w:tcPr>
            <w:tcW w:type="dxa" w:w="3600"/>
          </w:tcPr>
          <w:p>
            <w:r/>
            <w:r>
              <w:rPr>
                <w:sz w:val="19"/>
              </w:rPr>
              <w:t>Merged with the built-in advisory benchmark corpus; source is noted in every citation drawing on it</w:t>
            </w:r>
          </w:p>
        </w:tc>
      </w:tr>
      <w:tr>
        <w:tc>
          <w:tcPr>
            <w:tcW w:type="dxa" w:w="2160"/>
          </w:tcPr>
          <w:p>
            <w:r/>
            <w:r>
              <w:rPr>
                <w:sz w:val="19"/>
              </w:rPr>
              <w:t>Prior audit / findings report</w:t>
            </w:r>
          </w:p>
        </w:tc>
        <w:tc>
          <w:tcPr>
            <w:tcW w:type="dxa" w:w="3168"/>
          </w:tcPr>
          <w:p>
            <w:r/>
            <w:r>
              <w:rPr>
                <w:sz w:val="19"/>
              </w:rPr>
              <w:t>Historical baseline</w:t>
            </w:r>
          </w:p>
        </w:tc>
        <w:tc>
          <w:tcPr>
            <w:tcW w:type="dxa" w:w="3600"/>
          </w:tcPr>
          <w:p>
            <w:r/>
            <w:r>
              <w:rPr>
                <w:sz w:val="19"/>
              </w:rPr>
              <w:t>Used to verify whether prior recommendations were actioned; regressions are flagged</w:t>
            </w:r>
          </w:p>
        </w:tc>
      </w:tr>
      <w:tr>
        <w:tc>
          <w:tcPr>
            <w:tcW w:type="dxa" w:w="2160"/>
          </w:tcPr>
          <w:p>
            <w:r/>
            <w:r>
              <w:rPr>
                <w:sz w:val="19"/>
              </w:rPr>
              <w:t>Second policy version (v2)</w:t>
            </w:r>
          </w:p>
        </w:tc>
        <w:tc>
          <w:tcPr>
            <w:tcW w:type="dxa" w:w="3168"/>
          </w:tcPr>
          <w:p>
            <w:r/>
            <w:r>
              <w:rPr>
                <w:sz w:val="19"/>
              </w:rPr>
              <w:t>Comparison target for Version Audit</w:t>
            </w:r>
          </w:p>
        </w:tc>
        <w:tc>
          <w:tcPr>
            <w:tcW w:type="dxa" w:w="3600"/>
          </w:tcPr>
          <w:p>
            <w:r/>
            <w:r>
              <w:rPr>
                <w:sz w:val="19"/>
              </w:rPr>
              <w:t>Loaded separately from v1; diffed clause-by-clause</w:t>
            </w:r>
          </w:p>
        </w:tc>
      </w:tr>
      <w:tr>
        <w:tc>
          <w:tcPr>
            <w:tcW w:type="dxa" w:w="2160"/>
          </w:tcPr>
          <w:p>
            <w:r/>
            <w:r>
              <w:rPr>
                <w:sz w:val="19"/>
              </w:rPr>
              <w:t>Regulatory document</w:t>
            </w:r>
          </w:p>
        </w:tc>
        <w:tc>
          <w:tcPr>
            <w:tcW w:type="dxa" w:w="3168"/>
          </w:tcPr>
          <w:p>
            <w:r/>
            <w:r>
              <w:rPr>
                <w:sz w:val="19"/>
              </w:rPr>
              <w:t>Jurisdiction-specific authority supplied by the user</w:t>
            </w:r>
          </w:p>
        </w:tc>
        <w:tc>
          <w:tcPr>
            <w:tcW w:type="dxa" w:w="3600"/>
          </w:tcPr>
          <w:p>
            <w:r/>
            <w:r>
              <w:rPr>
                <w:sz w:val="19"/>
              </w:rPr>
              <w:t>Treated as authoritative; supersedes built-in regulatory reference text where more specific</w:t>
            </w:r>
          </w:p>
        </w:tc>
      </w:tr>
    </w:tbl>
    <w:p>
      <w:pPr>
        <w:spacing w:after="80"/>
      </w:pPr>
    </w:p>
    <w:p>
      <w:pPr>
        <w:pStyle w:val="Heading3"/>
      </w:pPr>
      <w:r>
        <w:t>9.2.2 UI Requirement</w:t>
      </w:r>
    </w:p>
    <w:p>
      <w:pPr>
        <w:pStyle w:val="ListBullet"/>
        <w:ind w:left="360"/>
      </w:pPr>
      <w:r>
        <w:t>After upload, the UI must display each file with an auto-suggested role (from filename heuristics and a quick model classification pass) and let the user confirm or override it via a dropdown, before the wizard can proceed.</w:t>
      </w:r>
    </w:p>
    <w:p>
      <w:pPr>
        <w:pStyle w:val="ListBullet"/>
        <w:ind w:left="360"/>
      </w:pPr>
      <w:r>
        <w:t>If the classification confidence is low, the corresponding row must be visually flagged (e.g., amber "please confirm") and the "Continue" action must be disabled until every file has a confirmed role.</w:t>
      </w:r>
    </w:p>
    <w:p>
      <w:pPr>
        <w:pStyle w:val="ListBullet"/>
        <w:ind w:left="360"/>
      </w:pPr>
      <w:r>
        <w:t>Display the Layer-0 rule to the user in-context: a short inline tooltip stating "Files marked as benchmark or regulatory documents will take priority over our built-in reference data for the topics they cover."</w:t>
      </w:r>
    </w:p>
    <w:p>
      <w:r>
        <w:br w:type="page"/>
      </w:r>
    </w:p>
    <w:p>
      <w:pPr>
        <w:pStyle w:val="Heading2"/>
      </w:pPr>
      <w:r>
        <w:t>9.3 Phase 1A — Live Data Fetch</w:t>
      </w:r>
    </w:p>
    <w:p>
      <w:pPr>
        <w:spacing w:after="120"/>
      </w:pPr>
      <w:r>
        <w:rPr>
          <w:b w:val="0"/>
          <w:i w:val="0"/>
        </w:rPr>
        <w:t>Business rule: for every dimension involving a specific number (a rate, a threshold, a percentage), the system must attempt to fetch the current, live value before falling back to a static reference file. The reference file is a fallback, never the default. Every fetched or fallback data point must be tagged for the user: ✅ Live verified (with source URL and fetch date), ⚠️ Reference file used (with filename, flagged as possibly outdated), or ❌ Data missing (flagged as requiring client input or unavailable).</w:t>
      </w:r>
    </w:p>
    <w:p>
      <w:pPr>
        <w:pStyle w:val="Heading3"/>
      </w:pPr>
      <w:r>
        <w:t>9.3.1 Live Fetch Targets (scoped to selected regions)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1B2A4A"/>
          </w:tcPr>
          <w:p>
            <w:r/>
            <w:r>
              <w:rPr>
                <w:b/>
                <w:color w:val="FFFFFF"/>
                <w:sz w:val="19"/>
              </w:rPr>
              <w:t>Data Point</w:t>
            </w:r>
          </w:p>
        </w:tc>
        <w:tc>
          <w:tcPr>
            <w:tcW w:type="dxa" w:w="1872"/>
            <w:shd w:val="clear" w:color="auto" w:fill="1B2A4A"/>
          </w:tcPr>
          <w:p>
            <w:r/>
            <w:r>
              <w:rPr>
                <w:b/>
                <w:color w:val="FFFFFF"/>
                <w:sz w:val="19"/>
              </w:rPr>
              <w:t>Region</w:t>
            </w:r>
          </w:p>
        </w:tc>
        <w:tc>
          <w:tcPr>
            <w:tcW w:type="dxa" w:w="4176"/>
            <w:shd w:val="clear" w:color="auto" w:fill="1B2A4A"/>
          </w:tcPr>
          <w:p>
            <w:r/>
            <w:r>
              <w:rPr>
                <w:b/>
                <w:color w:val="FFFFFF"/>
                <w:sz w:val="19"/>
              </w:rPr>
              <w:t>Example Search Query Pattern</w:t>
            </w:r>
          </w:p>
        </w:tc>
      </w:tr>
      <w:tr>
        <w:tc>
          <w:tcPr>
            <w:tcW w:type="dxa" w:w="2880"/>
          </w:tcPr>
          <w:p>
            <w:r/>
            <w:r>
              <w:rPr>
                <w:sz w:val="19"/>
              </w:rPr>
              <w:t>GSA CONUS per diem rates</w:t>
            </w:r>
          </w:p>
        </w:tc>
        <w:tc>
          <w:tcPr>
            <w:tcW w:type="dxa" w:w="1872"/>
          </w:tcPr>
          <w:p>
            <w:r/>
            <w:r>
              <w:rPr>
                <w:sz w:val="19"/>
              </w:rPr>
              <w:t>US</w:t>
            </w:r>
          </w:p>
        </w:tc>
        <w:tc>
          <w:tcPr>
            <w:tcW w:type="dxa" w:w="4176"/>
          </w:tcPr>
          <w:p>
            <w:r/>
            <w:r>
              <w:rPr>
                <w:sz w:val="19"/>
              </w:rPr>
              <w:t>"GSA per diem rates [current year] site:gsa.gov"</w:t>
            </w:r>
          </w:p>
        </w:tc>
      </w:tr>
      <w:tr>
        <w:tc>
          <w:tcPr>
            <w:tcW w:type="dxa" w:w="2880"/>
          </w:tcPr>
          <w:p>
            <w:r/>
            <w:r>
              <w:rPr>
                <w:sz w:val="19"/>
              </w:rPr>
              <w:t>IRS standard mileage rate</w:t>
            </w:r>
          </w:p>
        </w:tc>
        <w:tc>
          <w:tcPr>
            <w:tcW w:type="dxa" w:w="1872"/>
          </w:tcPr>
          <w:p>
            <w:r/>
            <w:r>
              <w:rPr>
                <w:sz w:val="19"/>
              </w:rPr>
              <w:t>US</w:t>
            </w:r>
          </w:p>
        </w:tc>
        <w:tc>
          <w:tcPr>
            <w:tcW w:type="dxa" w:w="4176"/>
          </w:tcPr>
          <w:p>
            <w:r/>
            <w:r>
              <w:rPr>
                <w:sz w:val="19"/>
              </w:rPr>
              <w:t>"IRS standard mileage rate [current year] site:irs.gov"</w:t>
            </w:r>
          </w:p>
        </w:tc>
      </w:tr>
      <w:tr>
        <w:tc>
          <w:tcPr>
            <w:tcW w:type="dxa" w:w="2880"/>
          </w:tcPr>
          <w:p>
            <w:r/>
            <w:r>
              <w:rPr>
                <w:sz w:val="19"/>
              </w:rPr>
              <w:t>IRS meal deduction %</w:t>
            </w:r>
          </w:p>
        </w:tc>
        <w:tc>
          <w:tcPr>
            <w:tcW w:type="dxa" w:w="1872"/>
          </w:tcPr>
          <w:p>
            <w:r/>
            <w:r>
              <w:rPr>
                <w:sz w:val="19"/>
              </w:rPr>
              <w:t>US</w:t>
            </w:r>
          </w:p>
        </w:tc>
        <w:tc>
          <w:tcPr>
            <w:tcW w:type="dxa" w:w="4176"/>
          </w:tcPr>
          <w:p>
            <w:r/>
            <w:r>
              <w:rPr>
                <w:sz w:val="19"/>
              </w:rPr>
              <w:t>"IRS meal deduction percentage [current year] site:irs.gov"</w:t>
            </w:r>
          </w:p>
        </w:tc>
      </w:tr>
      <w:tr>
        <w:tc>
          <w:tcPr>
            <w:tcW w:type="dxa" w:w="2880"/>
          </w:tcPr>
          <w:p>
            <w:r/>
            <w:r>
              <w:rPr>
                <w:sz w:val="19"/>
              </w:rPr>
              <w:t>HMRC benchmark scale rates</w:t>
            </w:r>
          </w:p>
        </w:tc>
        <w:tc>
          <w:tcPr>
            <w:tcW w:type="dxa" w:w="1872"/>
          </w:tcPr>
          <w:p>
            <w:r/>
            <w:r>
              <w:rPr>
                <w:sz w:val="19"/>
              </w:rPr>
              <w:t>EMEA</w:t>
            </w:r>
          </w:p>
        </w:tc>
        <w:tc>
          <w:tcPr>
            <w:tcW w:type="dxa" w:w="4176"/>
          </w:tcPr>
          <w:p>
            <w:r/>
            <w:r>
              <w:rPr>
                <w:sz w:val="19"/>
              </w:rPr>
              <w:t>"HMRC benchmark scale rates [current year] site:gov.uk"</w:t>
            </w:r>
          </w:p>
        </w:tc>
      </w:tr>
      <w:tr>
        <w:tc>
          <w:tcPr>
            <w:tcW w:type="dxa" w:w="2880"/>
          </w:tcPr>
          <w:p>
            <w:r/>
            <w:r>
              <w:rPr>
                <w:sz w:val="19"/>
              </w:rPr>
              <w:t>HMRC approved mileage rates</w:t>
            </w:r>
          </w:p>
        </w:tc>
        <w:tc>
          <w:tcPr>
            <w:tcW w:type="dxa" w:w="1872"/>
          </w:tcPr>
          <w:p>
            <w:r/>
            <w:r>
              <w:rPr>
                <w:sz w:val="19"/>
              </w:rPr>
              <w:t>EMEA</w:t>
            </w:r>
          </w:p>
        </w:tc>
        <w:tc>
          <w:tcPr>
            <w:tcW w:type="dxa" w:w="4176"/>
          </w:tcPr>
          <w:p>
            <w:r/>
            <w:r>
              <w:rPr>
                <w:sz w:val="19"/>
              </w:rPr>
              <w:t>"HMRC approved mileage rates site:gov.uk"</w:t>
            </w:r>
          </w:p>
        </w:tc>
      </w:tr>
      <w:tr>
        <w:tc>
          <w:tcPr>
            <w:tcW w:type="dxa" w:w="2880"/>
          </w:tcPr>
          <w:p>
            <w:r/>
            <w:r>
              <w:rPr>
                <w:sz w:val="19"/>
              </w:rPr>
              <w:t>EU VAT rates by country</w:t>
            </w:r>
          </w:p>
        </w:tc>
        <w:tc>
          <w:tcPr>
            <w:tcW w:type="dxa" w:w="1872"/>
          </w:tcPr>
          <w:p>
            <w:r/>
            <w:r>
              <w:rPr>
                <w:sz w:val="19"/>
              </w:rPr>
              <w:t>EMEA</w:t>
            </w:r>
          </w:p>
        </w:tc>
        <w:tc>
          <w:tcPr>
            <w:tcW w:type="dxa" w:w="4176"/>
          </w:tcPr>
          <w:p>
            <w:r/>
            <w:r>
              <w:rPr>
                <w:sz w:val="19"/>
              </w:rPr>
              <w:t>"EU VAT rates [current year] site:ec.europa.eu"</w:t>
            </w:r>
          </w:p>
        </w:tc>
      </w:tr>
      <w:tr>
        <w:tc>
          <w:tcPr>
            <w:tcW w:type="dxa" w:w="2880"/>
          </w:tcPr>
          <w:p>
            <w:r/>
            <w:r>
              <w:rPr>
                <w:sz w:val="19"/>
              </w:rPr>
              <w:t>UK VAT rate</w:t>
            </w:r>
          </w:p>
        </w:tc>
        <w:tc>
          <w:tcPr>
            <w:tcW w:type="dxa" w:w="1872"/>
          </w:tcPr>
          <w:p>
            <w:r/>
            <w:r>
              <w:rPr>
                <w:sz w:val="19"/>
              </w:rPr>
              <w:t>EMEA</w:t>
            </w:r>
          </w:p>
        </w:tc>
        <w:tc>
          <w:tcPr>
            <w:tcW w:type="dxa" w:w="4176"/>
          </w:tcPr>
          <w:p>
            <w:r/>
            <w:r>
              <w:rPr>
                <w:sz w:val="19"/>
              </w:rPr>
              <w:t>"UK VAT rate [current year] site:gov.uk"</w:t>
            </w:r>
          </w:p>
        </w:tc>
      </w:tr>
      <w:tr>
        <w:tc>
          <w:tcPr>
            <w:tcW w:type="dxa" w:w="2880"/>
          </w:tcPr>
          <w:p>
            <w:r/>
            <w:r>
              <w:rPr>
                <w:sz w:val="19"/>
              </w:rPr>
              <w:t>India GST blocked ITC updates</w:t>
            </w:r>
          </w:p>
        </w:tc>
        <w:tc>
          <w:tcPr>
            <w:tcW w:type="dxa" w:w="1872"/>
          </w:tcPr>
          <w:p>
            <w:r/>
            <w:r>
              <w:rPr>
                <w:sz w:val="19"/>
              </w:rPr>
              <w:t>APAC</w:t>
            </w:r>
          </w:p>
        </w:tc>
        <w:tc>
          <w:tcPr>
            <w:tcW w:type="dxa" w:w="4176"/>
          </w:tcPr>
          <w:p>
            <w:r/>
            <w:r>
              <w:rPr>
                <w:sz w:val="19"/>
              </w:rPr>
              <w:t>"GST blocked credit Section 17(5) latest update site:cbic.gov.in"</w:t>
            </w:r>
          </w:p>
        </w:tc>
      </w:tr>
      <w:tr>
        <w:tc>
          <w:tcPr>
            <w:tcW w:type="dxa" w:w="2880"/>
          </w:tcPr>
          <w:p>
            <w:r/>
            <w:r>
              <w:rPr>
                <w:sz w:val="19"/>
              </w:rPr>
              <w:t>China Fapiao / Golden Tax updates</w:t>
            </w:r>
          </w:p>
        </w:tc>
        <w:tc>
          <w:tcPr>
            <w:tcW w:type="dxa" w:w="1872"/>
          </w:tcPr>
          <w:p>
            <w:r/>
            <w:r>
              <w:rPr>
                <w:sz w:val="19"/>
              </w:rPr>
              <w:t>APAC</w:t>
            </w:r>
          </w:p>
        </w:tc>
        <w:tc>
          <w:tcPr>
            <w:tcW w:type="dxa" w:w="4176"/>
          </w:tcPr>
          <w:p>
            <w:r/>
            <w:r>
              <w:rPr>
                <w:sz w:val="19"/>
              </w:rPr>
              <w:t>"China Fapiao requirements [current year] Golden Tax"</w:t>
            </w:r>
          </w:p>
        </w:tc>
      </w:tr>
      <w:tr>
        <w:tc>
          <w:tcPr>
            <w:tcW w:type="dxa" w:w="2880"/>
          </w:tcPr>
          <w:p>
            <w:r/>
            <w:r>
              <w:rPr>
                <w:sz w:val="19"/>
              </w:rPr>
              <w:t>Japan Qualified Invoice System</w:t>
            </w:r>
          </w:p>
        </w:tc>
        <w:tc>
          <w:tcPr>
            <w:tcW w:type="dxa" w:w="1872"/>
          </w:tcPr>
          <w:p>
            <w:r/>
            <w:r>
              <w:rPr>
                <w:sz w:val="19"/>
              </w:rPr>
              <w:t>APAC</w:t>
            </w:r>
          </w:p>
        </w:tc>
        <w:tc>
          <w:tcPr>
            <w:tcW w:type="dxa" w:w="4176"/>
          </w:tcPr>
          <w:p>
            <w:r/>
            <w:r>
              <w:rPr>
                <w:sz w:val="19"/>
              </w:rPr>
              <w:t>"Japan qualified invoice system JCT [current year]"</w:t>
            </w:r>
          </w:p>
        </w:tc>
      </w:tr>
      <w:tr>
        <w:tc>
          <w:tcPr>
            <w:tcW w:type="dxa" w:w="2880"/>
          </w:tcPr>
          <w:p>
            <w:r/>
            <w:r>
              <w:rPr>
                <w:sz w:val="19"/>
              </w:rPr>
              <w:t>Brazil NF-e version updates</w:t>
            </w:r>
          </w:p>
        </w:tc>
        <w:tc>
          <w:tcPr>
            <w:tcW w:type="dxa" w:w="1872"/>
          </w:tcPr>
          <w:p>
            <w:r/>
            <w:r>
              <w:rPr>
                <w:sz w:val="19"/>
              </w:rPr>
              <w:t>LATAM</w:t>
            </w:r>
          </w:p>
        </w:tc>
        <w:tc>
          <w:tcPr>
            <w:tcW w:type="dxa" w:w="4176"/>
          </w:tcPr>
          <w:p>
            <w:r/>
            <w:r>
              <w:rPr>
                <w:sz w:val="19"/>
              </w:rPr>
              <w:t>"Brazil NF-e SPED [current year] requirements"</w:t>
            </w:r>
          </w:p>
        </w:tc>
      </w:tr>
      <w:tr>
        <w:tc>
          <w:tcPr>
            <w:tcW w:type="dxa" w:w="2880"/>
          </w:tcPr>
          <w:p>
            <w:r/>
            <w:r>
              <w:rPr>
                <w:sz w:val="19"/>
              </w:rPr>
              <w:t>Mexico CFDI version</w:t>
            </w:r>
          </w:p>
        </w:tc>
        <w:tc>
          <w:tcPr>
            <w:tcW w:type="dxa" w:w="1872"/>
          </w:tcPr>
          <w:p>
            <w:r/>
            <w:r>
              <w:rPr>
                <w:sz w:val="19"/>
              </w:rPr>
              <w:t>LATAM</w:t>
            </w:r>
          </w:p>
        </w:tc>
        <w:tc>
          <w:tcPr>
            <w:tcW w:type="dxa" w:w="4176"/>
          </w:tcPr>
          <w:p>
            <w:r/>
            <w:r>
              <w:rPr>
                <w:sz w:val="19"/>
              </w:rPr>
              <w:t>"Mexico CFDI 4.0 requirements [current year] SAT"</w:t>
            </w:r>
          </w:p>
        </w:tc>
      </w:tr>
      <w:tr>
        <w:tc>
          <w:tcPr>
            <w:tcW w:type="dxa" w:w="2880"/>
          </w:tcPr>
          <w:p>
            <w:r/>
            <w:r>
              <w:rPr>
                <w:sz w:val="19"/>
              </w:rPr>
              <w:t>GBTA benchmark report</w:t>
            </w:r>
          </w:p>
        </w:tc>
        <w:tc>
          <w:tcPr>
            <w:tcW w:type="dxa" w:w="1872"/>
          </w:tcPr>
          <w:p>
            <w:r/>
            <w:r>
              <w:rPr>
                <w:sz w:val="19"/>
              </w:rPr>
              <w:t>Global (Benchmark/Compare/Build modes)</w:t>
            </w:r>
          </w:p>
        </w:tc>
        <w:tc>
          <w:tcPr>
            <w:tcW w:type="dxa" w:w="4176"/>
          </w:tcPr>
          <w:p>
            <w:r/>
            <w:r>
              <w:rPr>
                <w:sz w:val="19"/>
              </w:rPr>
              <w:t>"GBTA benchmark report [current year] T&amp;E"</w:t>
            </w:r>
          </w:p>
        </w:tc>
      </w:tr>
      <w:tr>
        <w:tc>
          <w:tcPr>
            <w:tcW w:type="dxa" w:w="2880"/>
          </w:tcPr>
          <w:p>
            <w:r/>
            <w:r>
              <w:rPr>
                <w:sz w:val="19"/>
              </w:rPr>
              <w:t>BTN Corporate Travel Index</w:t>
            </w:r>
          </w:p>
        </w:tc>
        <w:tc>
          <w:tcPr>
            <w:tcW w:type="dxa" w:w="1872"/>
          </w:tcPr>
          <w:p>
            <w:r/>
            <w:r>
              <w:rPr>
                <w:sz w:val="19"/>
              </w:rPr>
              <w:t>Global (Benchmark/Compare/Build modes)</w:t>
            </w:r>
          </w:p>
        </w:tc>
        <w:tc>
          <w:tcPr>
            <w:tcW w:type="dxa" w:w="4176"/>
          </w:tcPr>
          <w:p>
            <w:r/>
            <w:r>
              <w:rPr>
                <w:sz w:val="19"/>
              </w:rPr>
              <w:t>"BTN Group corporate travel index [current year]"</w:t>
            </w:r>
          </w:p>
        </w:tc>
      </w:tr>
    </w:tbl>
    <w:p>
      <w:pPr>
        <w:spacing w:after="80"/>
      </w:pPr>
    </w:p>
    <w:p>
      <w:pPr>
        <w:pStyle w:val="Heading3"/>
      </w:pPr>
      <w:r>
        <w:t>9.3.2 Backend Requirements</w:t>
      </w:r>
    </w:p>
    <w:p>
      <w:pPr>
        <w:pStyle w:val="ListBullet"/>
        <w:ind w:left="360"/>
      </w:pPr>
      <w:r>
        <w:t>Only execute fetches for data points relevant to the regions the user selected in Phase 0 (e.g., a US-only engagement must never trigger HMRC or GST fetches). This is a hard filter, not a soft preference.</w:t>
      </w:r>
    </w:p>
    <w:p>
      <w:pPr>
        <w:pStyle w:val="ListBullet"/>
        <w:ind w:left="360"/>
      </w:pPr>
      <w:r>
        <w:t>Fetches for independent data points must run concurrently, not sequentially, to bound total engagement latency.</w:t>
      </w:r>
    </w:p>
    <w:p>
      <w:pPr>
        <w:pStyle w:val="ListBullet"/>
        <w:ind w:left="360"/>
      </w:pPr>
      <w:r>
        <w:t>If a fetch returns no usable result (blocked, ambiguous, or no rate found), the system falls back to the corresponding reference file value and tags it ⚠️. It must never present a reference-file value as if it were live-verified.</w:t>
      </w:r>
    </w:p>
    <w:p>
      <w:pPr>
        <w:pStyle w:val="ListBullet"/>
        <w:ind w:left="360"/>
      </w:pPr>
      <w:r>
        <w:t>Every fetch attempt (success, fallback, or failure) must be logged with: data point, query used, result source, timestamp, and tag assigned — this log is surfaced in the UI's "Data Sources &amp; Freshness" view (Section 11.6) and stored for audit purposes.</w:t>
      </w:r>
    </w:p>
    <w:p>
      <w:pPr>
        <w:pStyle w:val="Heading3"/>
      </w:pPr>
      <w:r>
        <w:t>9.3.3 UI Requirement</w:t>
      </w:r>
    </w:p>
    <w:p>
      <w:pPr>
        <w:pStyle w:val="ListBullet"/>
        <w:ind w:left="360"/>
      </w:pPr>
      <w:r>
        <w:t>A visible, real-time "Fetching live data…" progress indicator during this phase, itemizing which data points are in flight, resolved live, or fell back to reference files.</w:t>
      </w:r>
    </w:p>
    <w:p>
      <w:pPr>
        <w:pStyle w:val="ListBullet"/>
        <w:ind w:left="360"/>
      </w:pPr>
      <w:r>
        <w:t>A persistent "Data Freshness" panel/tab in the final results view listing every data point used, its tag, source, and date — this must be reachable in one click from the results dashboard, not buried in an appendix only.</w:t>
      </w:r>
    </w:p>
    <w:p>
      <w:r>
        <w:br w:type="page"/>
      </w:r>
    </w:p>
    <w:p>
      <w:pPr>
        <w:pStyle w:val="Heading2"/>
      </w:pPr>
      <w:r>
        <w:t>9.4 Phase 1B — Reference Library</w:t>
      </w:r>
    </w:p>
    <w:p>
      <w:pPr>
        <w:spacing w:after="120"/>
      </w:pPr>
      <w:r>
        <w:rPr>
          <w:b w:val="0"/>
          <w:i w:val="0"/>
        </w:rPr>
        <w:t>Business rule: after live fetch, the system reads the relevant static reference files to fill gaps and load framework structure. Working from model memory alone is never acceptable — every framework, rubric, and regulatory claim must be traceable to a named reference file or a live source.</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B2A4A"/>
          </w:tcPr>
          <w:p>
            <w:r/>
            <w:r>
              <w:rPr>
                <w:b/>
                <w:color w:val="FFFFFF"/>
                <w:sz w:val="19"/>
              </w:rPr>
              <w:t>Reference File</w:t>
            </w:r>
          </w:p>
        </w:tc>
        <w:tc>
          <w:tcPr>
            <w:tcW w:type="dxa" w:w="2736"/>
            <w:shd w:val="clear" w:color="auto" w:fill="1B2A4A"/>
          </w:tcPr>
          <w:p>
            <w:r/>
            <w:r>
              <w:rPr>
                <w:b/>
                <w:color w:val="FFFFFF"/>
                <w:sz w:val="19"/>
              </w:rPr>
              <w:t>Loaded When</w:t>
            </w:r>
          </w:p>
        </w:tc>
        <w:tc>
          <w:tcPr>
            <w:tcW w:type="dxa" w:w="4320"/>
            <w:shd w:val="clear" w:color="auto" w:fill="1B2A4A"/>
          </w:tcPr>
          <w:p>
            <w:r/>
            <w:r>
              <w:rPr>
                <w:b/>
                <w:color w:val="FFFFFF"/>
                <w:sz w:val="19"/>
              </w:rPr>
              <w:t>Content</w:t>
            </w:r>
          </w:p>
        </w:tc>
      </w:tr>
      <w:tr>
        <w:tc>
          <w:tcPr>
            <w:tcW w:type="dxa" w:w="2448"/>
          </w:tcPr>
          <w:p>
            <w:r/>
            <w:r>
              <w:rPr>
                <w:sz w:val="19"/>
              </w:rPr>
              <w:t>policy_framework.md</w:t>
            </w:r>
          </w:p>
        </w:tc>
        <w:tc>
          <w:tcPr>
            <w:tcW w:type="dxa" w:w="2736"/>
          </w:tcPr>
          <w:p>
            <w:r/>
            <w:r>
              <w:rPr>
                <w:sz w:val="19"/>
              </w:rPr>
              <w:t>Every engagement, every mode</w:t>
            </w:r>
          </w:p>
        </w:tc>
        <w:tc>
          <w:tcPr>
            <w:tcW w:type="dxa" w:w="4320"/>
          </w:tcPr>
          <w:p>
            <w:r/>
            <w:r>
              <w:rPr>
                <w:sz w:val="19"/>
              </w:rPr>
              <w:t>The 14-dimension framework definitions (Section 12)</w:t>
            </w:r>
          </w:p>
        </w:tc>
      </w:tr>
      <w:tr>
        <w:tc>
          <w:tcPr>
            <w:tcW w:type="dxa" w:w="2448"/>
          </w:tcPr>
          <w:p>
            <w:r/>
            <w:r>
              <w:rPr>
                <w:sz w:val="19"/>
              </w:rPr>
              <w:t>benchmarks_corporate.md</w:t>
            </w:r>
          </w:p>
        </w:tc>
        <w:tc>
          <w:tcPr>
            <w:tcW w:type="dxa" w:w="2736"/>
          </w:tcPr>
          <w:p>
            <w:r/>
            <w:r>
              <w:rPr>
                <w:sz w:val="19"/>
              </w:rPr>
              <w:t>Benchmark / Compare / Build modes</w:t>
            </w:r>
          </w:p>
        </w:tc>
        <w:tc>
          <w:tcPr>
            <w:tcW w:type="dxa" w:w="4320"/>
          </w:tcPr>
          <w:p>
            <w:r/>
            <w:r>
              <w:rPr>
                <w:sz w:val="19"/>
              </w:rPr>
              <w:t>FAANG, Big 4, top SaaS, Fortune 500 benchmark data</w:t>
            </w:r>
          </w:p>
        </w:tc>
      </w:tr>
      <w:tr>
        <w:tc>
          <w:tcPr>
            <w:tcW w:type="dxa" w:w="2448"/>
          </w:tcPr>
          <w:p>
            <w:r/>
            <w:r>
              <w:rPr>
                <w:sz w:val="19"/>
              </w:rPr>
              <w:t>benchmarks_advisory.md</w:t>
            </w:r>
          </w:p>
        </w:tc>
        <w:tc>
          <w:tcPr>
            <w:tcW w:type="dxa" w:w="2736"/>
          </w:tcPr>
          <w:p>
            <w:r/>
            <w:r>
              <w:rPr>
                <w:sz w:val="19"/>
              </w:rPr>
              <w:t>Benchmark / Build modes</w:t>
            </w:r>
          </w:p>
        </w:tc>
        <w:tc>
          <w:tcPr>
            <w:tcW w:type="dxa" w:w="4320"/>
          </w:tcPr>
          <w:p>
            <w:r/>
            <w:r>
              <w:rPr>
                <w:sz w:val="19"/>
              </w:rPr>
              <w:t>GBTA, ACTE, Deloitte, AmEx, BTN advisory data</w:t>
            </w:r>
          </w:p>
        </w:tc>
      </w:tr>
      <w:tr>
        <w:tc>
          <w:tcPr>
            <w:tcW w:type="dxa" w:w="2448"/>
          </w:tcPr>
          <w:p>
            <w:r/>
            <w:r>
              <w:rPr>
                <w:sz w:val="19"/>
              </w:rPr>
              <w:t>regulatory_us.md</w:t>
            </w:r>
          </w:p>
        </w:tc>
        <w:tc>
          <w:tcPr>
            <w:tcW w:type="dxa" w:w="2736"/>
          </w:tcPr>
          <w:p>
            <w:r/>
            <w:r>
              <w:rPr>
                <w:sz w:val="19"/>
              </w:rPr>
              <w:t>US in scope</w:t>
            </w:r>
          </w:p>
        </w:tc>
        <w:tc>
          <w:tcPr>
            <w:tcW w:type="dxa" w:w="4320"/>
          </w:tcPr>
          <w:p>
            <w:r/>
            <w:r>
              <w:rPr>
                <w:sz w:val="19"/>
              </w:rPr>
              <w:t>IRS, FLSA, GSA framework</w:t>
            </w:r>
          </w:p>
        </w:tc>
      </w:tr>
      <w:tr>
        <w:tc>
          <w:tcPr>
            <w:tcW w:type="dxa" w:w="2448"/>
          </w:tcPr>
          <w:p>
            <w:r/>
            <w:r>
              <w:rPr>
                <w:sz w:val="19"/>
              </w:rPr>
              <w:t>regulatory_emea.md</w:t>
            </w:r>
          </w:p>
        </w:tc>
        <w:tc>
          <w:tcPr>
            <w:tcW w:type="dxa" w:w="2736"/>
          </w:tcPr>
          <w:p>
            <w:r/>
            <w:r>
              <w:rPr>
                <w:sz w:val="19"/>
              </w:rPr>
              <w:t>EMEA in scope</w:t>
            </w:r>
          </w:p>
        </w:tc>
        <w:tc>
          <w:tcPr>
            <w:tcW w:type="dxa" w:w="4320"/>
          </w:tcPr>
          <w:p>
            <w:r/>
            <w:r>
              <w:rPr>
                <w:sz w:val="19"/>
              </w:rPr>
              <w:t>HMRC, EU VAT, GDPR, country notes</w:t>
            </w:r>
          </w:p>
        </w:tc>
      </w:tr>
      <w:tr>
        <w:tc>
          <w:tcPr>
            <w:tcW w:type="dxa" w:w="2448"/>
          </w:tcPr>
          <w:p>
            <w:r/>
            <w:r>
              <w:rPr>
                <w:sz w:val="19"/>
              </w:rPr>
              <w:t>regulatory_apac.md</w:t>
            </w:r>
          </w:p>
        </w:tc>
        <w:tc>
          <w:tcPr>
            <w:tcW w:type="dxa" w:w="2736"/>
          </w:tcPr>
          <w:p>
            <w:r/>
            <w:r>
              <w:rPr>
                <w:sz w:val="19"/>
              </w:rPr>
              <w:t>APAC in scope</w:t>
            </w:r>
          </w:p>
        </w:tc>
        <w:tc>
          <w:tcPr>
            <w:tcW w:type="dxa" w:w="4320"/>
          </w:tcPr>
          <w:p>
            <w:r/>
            <w:r>
              <w:rPr>
                <w:sz w:val="19"/>
              </w:rPr>
              <w:t>India GST, China Fapiao, Japan, Singapore, Australia, Korea</w:t>
            </w:r>
          </w:p>
        </w:tc>
      </w:tr>
      <w:tr>
        <w:tc>
          <w:tcPr>
            <w:tcW w:type="dxa" w:w="2448"/>
          </w:tcPr>
          <w:p>
            <w:r/>
            <w:r>
              <w:rPr>
                <w:sz w:val="19"/>
              </w:rPr>
              <w:t>regulatory_latam.md</w:t>
            </w:r>
          </w:p>
        </w:tc>
        <w:tc>
          <w:tcPr>
            <w:tcW w:type="dxa" w:w="2736"/>
          </w:tcPr>
          <w:p>
            <w:r/>
            <w:r>
              <w:rPr>
                <w:sz w:val="19"/>
              </w:rPr>
              <w:t>LATAM in scope</w:t>
            </w:r>
          </w:p>
        </w:tc>
        <w:tc>
          <w:tcPr>
            <w:tcW w:type="dxa" w:w="4320"/>
          </w:tcPr>
          <w:p>
            <w:r/>
            <w:r>
              <w:rPr>
                <w:sz w:val="19"/>
              </w:rPr>
              <w:t>Brazil NF-e, Mexico CFDI 4.0, LATAM countries</w:t>
            </w:r>
          </w:p>
        </w:tc>
      </w:tr>
      <w:tr>
        <w:tc>
          <w:tcPr>
            <w:tcW w:type="dxa" w:w="2448"/>
          </w:tcPr>
          <w:p>
            <w:r/>
            <w:r>
              <w:rPr>
                <w:sz w:val="19"/>
              </w:rPr>
              <w:t>scoring_rubric.md</w:t>
            </w:r>
          </w:p>
        </w:tc>
        <w:tc>
          <w:tcPr>
            <w:tcW w:type="dxa" w:w="2736"/>
          </w:tcPr>
          <w:p>
            <w:r/>
            <w:r>
              <w:rPr>
                <w:sz w:val="19"/>
              </w:rPr>
              <w:t>Benchmark / Gap Analysis / Compare modes</w:t>
            </w:r>
          </w:p>
        </w:tc>
        <w:tc>
          <w:tcPr>
            <w:tcW w:type="dxa" w:w="4320"/>
          </w:tcPr>
          <w:p>
            <w:r/>
            <w:r>
              <w:rPr>
                <w:sz w:val="19"/>
              </w:rPr>
              <w:t>The 100-point scoring rubric (Section 13)</w:t>
            </w:r>
          </w:p>
        </w:tc>
      </w:tr>
      <w:tr>
        <w:tc>
          <w:tcPr>
            <w:tcW w:type="dxa" w:w="2448"/>
          </w:tcPr>
          <w:p>
            <w:r/>
            <w:r>
              <w:rPr>
                <w:sz w:val="19"/>
              </w:rPr>
              <w:t>output_templates.md</w:t>
            </w:r>
          </w:p>
        </w:tc>
        <w:tc>
          <w:tcPr>
            <w:tcW w:type="dxa" w:w="2736"/>
          </w:tcPr>
          <w:p>
            <w:r/>
            <w:r>
              <w:rPr>
                <w:sz w:val="19"/>
              </w:rPr>
              <w:t>Phase 5, all modes</w:t>
            </w:r>
          </w:p>
        </w:tc>
        <w:tc>
          <w:tcPr>
            <w:tcW w:type="dxa" w:w="4320"/>
          </w:tcPr>
          <w:p>
            <w:r/>
            <w:r>
              <w:rPr>
                <w:sz w:val="19"/>
              </w:rPr>
              <w:t>Deliverable specs for Word / PPT / Excel / PDF</w:t>
            </w:r>
          </w:p>
        </w:tc>
      </w:tr>
    </w:tbl>
    <w:p>
      <w:pPr>
        <w:spacing w:after="80"/>
      </w:pPr>
    </w:p>
    <w:p>
      <w:pPr>
        <w:pStyle w:val="Heading3"/>
      </w:pPr>
      <w:r>
        <w:t>9.4.1 Backend Requirement — Reference Library Service</w:t>
      </w:r>
    </w:p>
    <w:p>
      <w:pPr>
        <w:pStyle w:val="ListBullet"/>
        <w:ind w:left="360"/>
      </w:pPr>
      <w:r>
        <w:t>The nine reference files (plus the Excel-scorecard script and its JSON template) must be stored as versioned, admin-editable content, not hard-coded into the orchestration service.</w:t>
      </w:r>
    </w:p>
    <w:p>
      <w:pPr>
        <w:pStyle w:val="ListBullet"/>
        <w:ind w:left="360"/>
      </w:pPr>
      <w:r>
        <w:t>The Orchestration Service always loads the currently-published version of each file at the start of a phase that requires it; regions/modes out of scope for the engagement must not be loaded (cost and latency control).</w:t>
      </w:r>
    </w:p>
    <w:p>
      <w:pPr>
        <w:pStyle w:val="ListBullet"/>
        <w:ind w:left="360"/>
      </w:pPr>
      <w:r>
        <w:t>Every generated finding must record which reference file version (or live source) it drew from, to support the "state which benchmark source was used for each dimension finding" rule in Phase 3.</w:t>
      </w:r>
    </w:p>
    <w:p>
      <w:pPr>
        <w:pStyle w:val="Heading3"/>
      </w:pPr>
      <w:r>
        <w:t>9.4.2 Admin UI Requirement</w:t>
      </w:r>
    </w:p>
    <w:p>
      <w:pPr>
        <w:pStyle w:val="ListBullet"/>
        <w:ind w:left="360"/>
      </w:pPr>
      <w:r>
        <w:t>An authenticated admin console screen listing all nine reference files with: current version, last updated by/when, and a "Preview" and "Replace" action.</w:t>
      </w:r>
    </w:p>
    <w:p>
      <w:pPr>
        <w:pStyle w:val="ListBullet"/>
        <w:ind w:left="360"/>
      </w:pPr>
      <w:r>
        <w:t>Replacing a reference file requires a diff preview and a confirmation step before publishing, plus an immutable version history (who/when/what changed) for audit purposes.</w:t>
      </w:r>
    </w:p>
    <w:p>
      <w:r>
        <w:br w:type="page"/>
      </w:r>
    </w:p>
    <w:p>
      <w:pPr>
        <w:pStyle w:val="Heading2"/>
      </w:pPr>
      <w:r>
        <w:t>9.5 Phase 2 — Source Ingestion</w:t>
      </w:r>
    </w:p>
    <w:p>
      <w:pPr>
        <w:spacing w:after="120"/>
      </w:pPr>
      <w:r>
        <w:rPr>
          <w:b w:val="0"/>
          <w:i w:val="0"/>
        </w:rPr>
        <w:t>Business rule: uploaded files are read with the appropriate ingestion path by type (PDF → PDF text/structure extraction; Word documents → DOCX parsing; images → OCR; pasted text → read inline). Once ingested, the system produces a clause-by-clause map of the policy against the 14-dimension framework, explicitly classifying each dimension as: present and well-defined; present but vague; missing entirely; or containing conflicting/contradictory clauses.</w:t>
      </w:r>
    </w:p>
    <w:p>
      <w:pPr>
        <w:pStyle w:val="Heading3"/>
      </w:pPr>
      <w:r>
        <w:t>9.5.1 Data Quality Rule (Critical — Non-Negotiable)</w:t>
      </w:r>
    </w:p>
    <w:p>
      <w:pPr>
        <w:spacing w:after="120"/>
      </w:pPr>
      <w:r>
        <w:rPr>
          <w:b w:val="0"/>
          <w:i w:val="0"/>
        </w:rPr>
        <w:t>Where a dimension cannot be assessed because the policy contains no relevant text and no external data was supplied, the system must mark it [DATA MISSING — requires client input before scoring]. The system must never estimate, infer, or silently omit a score for a dimension it cannot support with evidence.</w:t>
      </w:r>
    </w:p>
    <w:p>
      <w:pPr>
        <w:pStyle w:val="Heading3"/>
      </w:pPr>
      <w:r>
        <w:t>9.5.2 Version Audit Special Case</w:t>
      </w:r>
    </w:p>
    <w:p>
      <w:pPr>
        <w:spacing w:after="120"/>
      </w:pPr>
      <w:r>
        <w:rPr>
          <w:b w:val="0"/>
          <w:i w:val="0"/>
        </w:rPr>
        <w:t>When the mode is Version Audit, Phase 2 additionally produces a three-column diff table per dimension: v1 text summary → v2 text summary → change classification (Improved / Regressed / Unchanged / New / Removed). Each version is scored independently before the two overall scores are compared.</w:t>
      </w:r>
    </w:p>
    <w:p>
      <w:pPr>
        <w:pStyle w:val="Heading3"/>
      </w:pPr>
      <w:r>
        <w:t>9.5.3 Backend Requirement</w:t>
      </w:r>
    </w:p>
    <w:p>
      <w:pPr>
        <w:pStyle w:val="ListBullet"/>
        <w:ind w:left="360"/>
      </w:pPr>
      <w:r>
        <w:t>Ingestion must support, at minimum: .pdf (including scanned/image-only PDFs via OCR), .docx, .doc, common image formats (.png, .jpg) via OCR, and pasted plain text/rich text from the UI.</w:t>
      </w:r>
    </w:p>
    <w:p>
      <w:pPr>
        <w:pStyle w:val="ListBullet"/>
        <w:ind w:left="360"/>
      </w:pPr>
      <w:r>
        <w:t>All ingestion runs through virus/malware scanning before being handed to any ingestion or model tool.</w:t>
      </w:r>
    </w:p>
    <w:p>
      <w:pPr>
        <w:pStyle w:val="ListBullet"/>
        <w:ind w:left="360"/>
      </w:pPr>
      <w:r>
        <w:t>Ingestion failures (corrupt file, unsupported format, unreadable scan) must produce a specific, actionable UI error (Section 18), not a generic "processing failed" message.</w:t>
      </w:r>
    </w:p>
    <w:p>
      <w:pPr>
        <w:pStyle w:val="Heading3"/>
      </w:pPr>
      <w:r>
        <w:t>9.5.4 UI Requirement</w:t>
      </w:r>
    </w:p>
    <w:p>
      <w:pPr>
        <w:pStyle w:val="ListBullet"/>
        <w:ind w:left="360"/>
      </w:pPr>
      <w:r>
        <w:t>A "Dimension Coverage" view showing all 14 dimensions with a status chip (Well-defined / Vague / Missing / Conflicting / Data Missing) as soon as Phase 2 completes — this gives the user an early signal before waiting for full Phase 3–4 synthesis.</w:t>
      </w:r>
    </w:p>
    <w:p>
      <w:pPr>
        <w:pStyle w:val="ListBullet"/>
        <w:ind w:left="360"/>
      </w:pPr>
      <w:r>
        <w:t>For Version Audit mode, a side-by-side v1/v2 diff viewer with change-classification color coding (e.g., green=Improved, red=Regressed, grey=Unchanged, blue=New, strikethrough=Removed).</w:t>
      </w:r>
    </w:p>
    <w:p>
      <w:r>
        <w:br w:type="page"/>
      </w:r>
    </w:p>
    <w:p>
      <w:pPr>
        <w:pStyle w:val="Heading2"/>
      </w:pPr>
      <w:r>
        <w:t>9.6 Phase 3 — Analysis</w:t>
      </w:r>
    </w:p>
    <w:p>
      <w:pPr>
        <w:spacing w:after="120"/>
      </w:pPr>
      <w:r>
        <w:rPr>
          <w:b w:val="0"/>
          <w:i w:val="0"/>
        </w:rPr>
        <w:t>Business rule: for each of the 14 dimensions, the system applies the scoring rubric and produces five structured fields:</w:t>
      </w:r>
    </w:p>
    <w:p>
      <w:pPr>
        <w:pStyle w:val="ListBullet"/>
        <w:ind w:left="360"/>
      </w:pPr>
      <w:r>
        <w:t>Current state — what the policy says, with a verbatim clause reference kept under 15 words when quoting directly (copyright discipline — see Section 15).</w:t>
      </w:r>
    </w:p>
    <w:p>
      <w:pPr>
        <w:pStyle w:val="ListBullet"/>
        <w:ind w:left="360"/>
      </w:pPr>
      <w:r>
        <w:t>Benchmark — what best-in-class practice says, with the source explicitly stated as one of: Layer 0 user-supplied, live-fetched (✅), built-in reference file (⚠️), or regulatory minimum.</w:t>
      </w:r>
    </w:p>
    <w:p>
      <w:pPr>
        <w:pStyle w:val="ListBullet"/>
        <w:ind w:left="360"/>
      </w:pPr>
      <w:r>
        <w:t>Gap — specific and quantified, e.g., "per diem at $55 vs. GSA CONUS $79 [✅ live, gsa.gov, 2026] = 30% under-market." Dimensions that cannot be quantified are flagged [DATA MISSING].</w:t>
      </w:r>
    </w:p>
    <w:p>
      <w:pPr>
        <w:pStyle w:val="ListBullet"/>
        <w:ind w:left="360"/>
      </w:pPr>
      <w:r>
        <w:t>Risk — rated Critical / High / Medium / Low, with the rationale citing the regulation by section number.</w:t>
      </w:r>
    </w:p>
    <w:p>
      <w:pPr>
        <w:pStyle w:val="ListBullet"/>
        <w:ind w:left="360"/>
      </w:pPr>
      <w:r>
        <w:t>Recommendation — specific and actionable, including a drafted policy clause where useful (not a platitude such as "ensure compliance").</w:t>
      </w:r>
    </w:p>
    <w:p>
      <w:pPr>
        <w:spacing w:after="120"/>
      </w:pPr>
      <w:r>
        <w:rPr>
          <w:b w:val="0"/>
          <w:i w:val="0"/>
        </w:rPr>
        <w:t>The benchmark tier (SME / Mid-Market / Large Enterprise / Global Enterprise) selected from the Phase 0 company profile governs which comparison data is used — e.g., a 150-person startup must never be benchmarked against FAANG-tier per diems.</w:t>
      </w:r>
    </w:p>
    <w:p>
      <w:pPr>
        <w:pStyle w:val="Heading3"/>
      </w:pPr>
      <w:r>
        <w:t>9.6.1 Backend Requirement — Scoring Engine</w:t>
      </w:r>
    </w:p>
    <w:p>
      <w:pPr>
        <w:pStyle w:val="ListBullet"/>
        <w:ind w:left="360"/>
      </w:pPr>
      <w:r>
        <w:t>The scoring engine is a deterministic post-processing step over the model's structured Phase 3 output: it must validate that all five fields are present per dimension (or that DATA MISSING is explicitly recorded), reject and re-request incomplete model output rather than allowing a blank field to reach the user.</w:t>
      </w:r>
    </w:p>
    <w:p>
      <w:pPr>
        <w:pStyle w:val="ListBullet"/>
        <w:ind w:left="360"/>
      </w:pPr>
      <w:r>
        <w:t>Risk ratings and recommendations must be persisted as structured, queryable records (not just prose in a document) so that Version Audit mode can later compare risk ratings across engagements.</w:t>
      </w:r>
    </w:p>
    <w:p>
      <w:pPr>
        <w:pStyle w:val="ListBullet"/>
        <w:ind w:left="360"/>
      </w:pPr>
      <w:r>
        <w:t>Every "Risk" and "Benchmark" field must carry a machine-readable citation object (see Section 10.3 data model) so the frontend can render inline citation tooltips and the admin console can audit citation accuracy over time.</w:t>
      </w:r>
    </w:p>
    <w:p>
      <w:pPr>
        <w:pStyle w:val="Heading3"/>
      </w:pPr>
      <w:r>
        <w:t>9.6.2 UI Requirement — Findings Table</w:t>
      </w:r>
    </w:p>
    <w:p>
      <w:pPr>
        <w:pStyle w:val="ListBullet"/>
        <w:ind w:left="360"/>
      </w:pPr>
      <w:r>
        <w:t>A per-dimension findings table (the 14 dimensions as rows) with the five structured fields as expandable columns/detail panes, filterable by Risk level and sortable by risk × effort.</w:t>
      </w:r>
    </w:p>
    <w:p>
      <w:pPr>
        <w:pStyle w:val="ListBullet"/>
        <w:ind w:left="360"/>
      </w:pPr>
      <w:r>
        <w:t>Inline citation chips (e.g., "IRC §62(c)" or "✅ gsa.gov, June 2026") that expand to show the full source on hover/click.</w:t>
      </w:r>
    </w:p>
    <w:p>
      <w:pPr>
        <w:pStyle w:val="ListBullet"/>
        <w:ind w:left="360"/>
      </w:pPr>
      <w:r>
        <w:t>A dimension row in DATA MISSING state must render as an actionable card: "We need more information about [dimension] — [Provide details]" linking back into a supplementary intake form, not a dead end.</w:t>
      </w:r>
    </w:p>
    <w:p>
      <w:r>
        <w:br w:type="page"/>
      </w:r>
    </w:p>
    <w:p>
      <w:pPr>
        <w:pStyle w:val="Heading2"/>
      </w:pPr>
      <w:r>
        <w:t>9.7 Phase 4 — Synthesis</w:t>
      </w:r>
    </w:p>
    <w:p>
      <w:pPr>
        <w:spacing w:after="120"/>
      </w:pPr>
      <w:r>
        <w:rPr>
          <w:b w:val="0"/>
          <w:i w:val="0"/>
        </w:rPr>
        <w:t>Business rule: the system rolls the 14 dimension-level analyses into an executive package:</w:t>
      </w:r>
    </w:p>
    <w:p>
      <w:pPr>
        <w:pStyle w:val="ListBullet"/>
        <w:ind w:left="360"/>
      </w:pPr>
      <w:r>
        <w:t>Executive summary — 3 to 5 bullet headline findings.</w:t>
      </w:r>
    </w:p>
    <w:p>
      <w:pPr>
        <w:pStyle w:val="ListBullet"/>
        <w:ind w:left="360"/>
      </w:pPr>
      <w:r>
        <w:t>Overall score — out of 100, per the rubric; any DATA MISSING dimension causes the score to be flagged as provisional, with the provisional reason stated.</w:t>
      </w:r>
    </w:p>
    <w:p>
      <w:pPr>
        <w:pStyle w:val="ListBullet"/>
        <w:ind w:left="360"/>
      </w:pPr>
      <w:r>
        <w:t>Data freshness summary — a count of ✅ live-verified vs. ⚠️ reference-file data points used, with any stale reference file explicitly flagged.</w:t>
      </w:r>
    </w:p>
    <w:p>
      <w:pPr>
        <w:pStyle w:val="ListBullet"/>
        <w:ind w:left="360"/>
      </w:pPr>
      <w:r>
        <w:t>Top 5 priorities — ordered by risk × effort.</w:t>
      </w:r>
    </w:p>
    <w:p>
      <w:pPr>
        <w:pStyle w:val="ListBullet"/>
        <w:ind w:left="360"/>
      </w:pPr>
      <w:r>
        <w:t>Quick wins — actionable within 30 days.</w:t>
      </w:r>
    </w:p>
    <w:p>
      <w:pPr>
        <w:pStyle w:val="ListBullet"/>
        <w:ind w:left="360"/>
      </w:pPr>
      <w:r>
        <w:t>Strategic recommendations — a 90-day roadmap.</w:t>
      </w:r>
    </w:p>
    <w:p>
      <w:pPr>
        <w:pStyle w:val="ListBullet"/>
        <w:ind w:left="360"/>
      </w:pPr>
      <w:r>
        <w:t>Regulatory exposure — a dollar/INR/EUR estimate, where the underlying data supports quantification.</w:t>
      </w:r>
    </w:p>
    <w:p>
      <w:pPr>
        <w:spacing w:after="120"/>
      </w:pPr>
      <w:r>
        <w:rPr>
          <w:b w:val="0"/>
          <w:i w:val="0"/>
        </w:rPr>
        <w:t>For Version Audit mode, Phase 4 additionally produces: net score change (v1 → v2, with delta), prior-findings-actioned status (addressed / partially addressed / ignored), and a regressions list (dimensions scoring lower in v2), flagged as priority items.</w:t>
      </w:r>
    </w:p>
    <w:p>
      <w:pPr>
        <w:pStyle w:val="Heading3"/>
      </w:pPr>
      <w:r>
        <w:t>9.7.1 Backend Requirement</w:t>
      </w:r>
    </w:p>
    <w:p>
      <w:pPr>
        <w:pStyle w:val="ListBullet"/>
        <w:ind w:left="360"/>
      </w:pPr>
      <w:r>
        <w:t>The "provisional score" flag must be a first-class, queryable field on the engagement record — a provisional score must never be presented identically to a final, fully-scored engagement in any dashboard or export.</w:t>
      </w:r>
    </w:p>
    <w:p>
      <w:pPr>
        <w:pStyle w:val="ListBullet"/>
        <w:ind w:left="360"/>
      </w:pPr>
      <w:r>
        <w:t>Regulatory exposure estimates must record their calculation basis (which gaps, what rates, what assumptions) so the number is explainable, not just displayed.</w:t>
      </w:r>
    </w:p>
    <w:p>
      <w:pPr>
        <w:pStyle w:val="Heading3"/>
      </w:pPr>
      <w:r>
        <w:t>9.7.2 UI Requirement — Executive Dashboard</w:t>
      </w:r>
    </w:p>
    <w:p>
      <w:pPr>
        <w:pStyle w:val="ListBullet"/>
        <w:ind w:left="360"/>
      </w:pPr>
      <w:r>
        <w:t>A single "Executive Summary" screen presented before the user is offered the full deliverable, showing: overall score (with provisional badge if applicable), the 3–5 headline bullets, the data-freshness counter, and the Top 5 priorities — this is the screen a user reviews before deciding to generate/download the full document.</w:t>
      </w:r>
    </w:p>
    <w:p>
      <w:pPr>
        <w:pStyle w:val="ListBullet"/>
        <w:ind w:left="360"/>
      </w:pPr>
      <w:r>
        <w:t>A visual risk-heat treatment (e.g., a 14-dimension grid colored by risk level) as the at-a-glance summary artifact.</w:t>
      </w:r>
    </w:p>
    <w:p>
      <w:pPr>
        <w:pStyle w:val="ListBullet"/>
        <w:ind w:left="360"/>
      </w:pPr>
      <w:r>
        <w:t>For Version Audit, a prominent score-delta indicator (e.g., "62 → 78, +16") and a regressions callout box.</w:t>
      </w:r>
    </w:p>
    <w:p>
      <w:r>
        <w:br w:type="page"/>
      </w:r>
    </w:p>
    <w:p>
      <w:pPr>
        <w:pStyle w:val="Heading2"/>
      </w:pPr>
      <w:r>
        <w:t>9.8 Phase 5 — Output Generation</w:t>
      </w:r>
    </w:p>
    <w:p>
      <w:pPr>
        <w:spacing w:after="120"/>
      </w:pPr>
      <w:r>
        <w:rPr>
          <w:b w:val="0"/>
          <w:i w:val="0"/>
        </w:rPr>
        <w:t>Business rule: the output format is confirmed with the user before generation (unless already fixed in Phase 0). The system then reads output_templates.md and produces the deliverable exactly per its format-specific specification, always through the model's native document-authoring tools (never hand-rolled document generation in application code), and always delivers the final file(s) through the deliver_output tool contract (Section 8.2) so the backend can persist them to durable storage.</w:t>
      </w:r>
    </w:p>
    <w:p>
      <w:pPr>
        <w:pStyle w:val="Heading3"/>
      </w:pPr>
      <w:r>
        <w:t>9.8.1 Word (.docx)</w:t>
      </w:r>
    </w:p>
    <w:p>
      <w:pPr>
        <w:pStyle w:val="ListBullet"/>
        <w:ind w:left="360"/>
      </w:pPr>
      <w:r>
        <w:t>Build mode → a full, ready-to-issue policy document (not a report about a policy).</w:t>
      </w:r>
    </w:p>
    <w:p>
      <w:pPr>
        <w:pStyle w:val="ListBullet"/>
        <w:ind w:left="360"/>
      </w:pPr>
      <w:r>
        <w:t>All analysis modes (Deep-Dive, Benchmark, Gap Analysis, Compare, Version Audit) → a consulting report with: cover page, executive summary, dimension-by-dimension findings, a data-freshness appendix, and supporting appendices.</w:t>
      </w:r>
    </w:p>
    <w:p>
      <w:pPr>
        <w:pStyle w:val="Heading3"/>
      </w:pPr>
      <w:r>
        <w:t>9.8.2 PowerPoint (.pptx)</w:t>
      </w:r>
    </w:p>
    <w:p>
      <w:pPr>
        <w:pStyle w:val="ListBullet"/>
        <w:ind w:left="360"/>
      </w:pPr>
      <w:r>
        <w:t>A 15–20 slide CFO/board-ready deck.</w:t>
      </w:r>
    </w:p>
    <w:p>
      <w:pPr>
        <w:pStyle w:val="ListBullet"/>
        <w:ind w:left="360"/>
      </w:pPr>
      <w:r>
        <w:t>Must include a dedicated "Data Sources &amp; Freshness" slide displaying the ✅/⚠️ tags used throughout the deck.</w:t>
      </w:r>
    </w:p>
    <w:p>
      <w:pPr>
        <w:pStyle w:val="Heading3"/>
      </w:pPr>
      <w:r>
        <w:t>9.8.3 Excel (.xlsx)</w:t>
      </w:r>
    </w:p>
    <w:p>
      <w:pPr>
        <w:spacing w:after="120"/>
      </w:pPr>
      <w:r>
        <w:rPr>
          <w:b w:val="0"/>
          <w:i w:val="0"/>
        </w:rPr>
        <w:t>Generated via the skill's scripts/build_excel_scorecard.py, driven by a structured scores.json payload (matching assets/scores_template.json). The script produces 7 tabs programmatically: Cover, Scorecard, Dimension Detail, Gap Tracker, Regulatory Checklist, Roadmap, Data Sources. Five additional tabs are added via the model's native spreadsheet-authoring tool: Executive Summary, Benchmark Matrix, Per Diem &amp; Lodging Schedule, Approval Matrix, and No-List — for 12 tabs total. Version Audit mode adds two more: Version Delta and Score Comparison, for 14 tabs total.</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1B2A4A"/>
          </w:tcPr>
          <w:p>
            <w:r/>
            <w:r>
              <w:rPr>
                <w:b/>
                <w:color w:val="FFFFFF"/>
                <w:sz w:val="19"/>
              </w:rPr>
              <w:t>Tab</w:t>
            </w:r>
          </w:p>
        </w:tc>
        <w:tc>
          <w:tcPr>
            <w:tcW w:type="dxa" w:w="2160"/>
            <w:shd w:val="clear" w:color="auto" w:fill="1B2A4A"/>
          </w:tcPr>
          <w:p>
            <w:r/>
            <w:r>
              <w:rPr>
                <w:b/>
                <w:color w:val="FFFFFF"/>
                <w:sz w:val="19"/>
              </w:rPr>
              <w:t>Source</w:t>
            </w:r>
          </w:p>
        </w:tc>
        <w:tc>
          <w:tcPr>
            <w:tcW w:type="dxa" w:w="4464"/>
            <w:shd w:val="clear" w:color="auto" w:fill="1B2A4A"/>
          </w:tcPr>
          <w:p>
            <w:r/>
            <w:r>
              <w:rPr>
                <w:b/>
                <w:color w:val="FFFFFF"/>
                <w:sz w:val="19"/>
              </w:rPr>
              <w:t>Modes</w:t>
            </w:r>
          </w:p>
        </w:tc>
      </w:tr>
      <w:tr>
        <w:tc>
          <w:tcPr>
            <w:tcW w:type="dxa" w:w="2880"/>
          </w:tcPr>
          <w:p>
            <w:r/>
            <w:r>
              <w:rPr>
                <w:sz w:val="19"/>
              </w:rPr>
              <w:t>Cover</w:t>
            </w:r>
          </w:p>
        </w:tc>
        <w:tc>
          <w:tcPr>
            <w:tcW w:type="dxa" w:w="2160"/>
          </w:tcPr>
          <w:p>
            <w:r/>
            <w:r>
              <w:rPr>
                <w:sz w:val="19"/>
              </w:rPr>
              <w:t>Script-generated</w:t>
            </w:r>
          </w:p>
        </w:tc>
        <w:tc>
          <w:tcPr>
            <w:tcW w:type="dxa" w:w="4464"/>
          </w:tcPr>
          <w:p>
            <w:r/>
            <w:r>
              <w:rPr>
                <w:sz w:val="19"/>
              </w:rPr>
              <w:t>All</w:t>
            </w:r>
          </w:p>
        </w:tc>
      </w:tr>
      <w:tr>
        <w:tc>
          <w:tcPr>
            <w:tcW w:type="dxa" w:w="2880"/>
          </w:tcPr>
          <w:p>
            <w:r/>
            <w:r>
              <w:rPr>
                <w:sz w:val="19"/>
              </w:rPr>
              <w:t>Scorecard</w:t>
            </w:r>
          </w:p>
        </w:tc>
        <w:tc>
          <w:tcPr>
            <w:tcW w:type="dxa" w:w="2160"/>
          </w:tcPr>
          <w:p>
            <w:r/>
            <w:r>
              <w:rPr>
                <w:sz w:val="19"/>
              </w:rPr>
              <w:t>Script-generated</w:t>
            </w:r>
          </w:p>
        </w:tc>
        <w:tc>
          <w:tcPr>
            <w:tcW w:type="dxa" w:w="4464"/>
          </w:tcPr>
          <w:p>
            <w:r/>
            <w:r>
              <w:rPr>
                <w:sz w:val="19"/>
              </w:rPr>
              <w:t>All</w:t>
            </w:r>
          </w:p>
        </w:tc>
      </w:tr>
      <w:tr>
        <w:tc>
          <w:tcPr>
            <w:tcW w:type="dxa" w:w="2880"/>
          </w:tcPr>
          <w:p>
            <w:r/>
            <w:r>
              <w:rPr>
                <w:sz w:val="19"/>
              </w:rPr>
              <w:t>Dimension Detail</w:t>
            </w:r>
          </w:p>
        </w:tc>
        <w:tc>
          <w:tcPr>
            <w:tcW w:type="dxa" w:w="2160"/>
          </w:tcPr>
          <w:p>
            <w:r/>
            <w:r>
              <w:rPr>
                <w:sz w:val="19"/>
              </w:rPr>
              <w:t>Script-generated</w:t>
            </w:r>
          </w:p>
        </w:tc>
        <w:tc>
          <w:tcPr>
            <w:tcW w:type="dxa" w:w="4464"/>
          </w:tcPr>
          <w:p>
            <w:r/>
            <w:r>
              <w:rPr>
                <w:sz w:val="19"/>
              </w:rPr>
              <w:t>All</w:t>
            </w:r>
          </w:p>
        </w:tc>
      </w:tr>
      <w:tr>
        <w:tc>
          <w:tcPr>
            <w:tcW w:type="dxa" w:w="2880"/>
          </w:tcPr>
          <w:p>
            <w:r/>
            <w:r>
              <w:rPr>
                <w:sz w:val="19"/>
              </w:rPr>
              <w:t>Gap Tracker</w:t>
            </w:r>
          </w:p>
        </w:tc>
        <w:tc>
          <w:tcPr>
            <w:tcW w:type="dxa" w:w="2160"/>
          </w:tcPr>
          <w:p>
            <w:r/>
            <w:r>
              <w:rPr>
                <w:sz w:val="19"/>
              </w:rPr>
              <w:t>Script-generated</w:t>
            </w:r>
          </w:p>
        </w:tc>
        <w:tc>
          <w:tcPr>
            <w:tcW w:type="dxa" w:w="4464"/>
          </w:tcPr>
          <w:p>
            <w:r/>
            <w:r>
              <w:rPr>
                <w:sz w:val="19"/>
              </w:rPr>
              <w:t>All</w:t>
            </w:r>
          </w:p>
        </w:tc>
      </w:tr>
      <w:tr>
        <w:tc>
          <w:tcPr>
            <w:tcW w:type="dxa" w:w="2880"/>
          </w:tcPr>
          <w:p>
            <w:r/>
            <w:r>
              <w:rPr>
                <w:sz w:val="19"/>
              </w:rPr>
              <w:t>Regulatory Checklist</w:t>
            </w:r>
          </w:p>
        </w:tc>
        <w:tc>
          <w:tcPr>
            <w:tcW w:type="dxa" w:w="2160"/>
          </w:tcPr>
          <w:p>
            <w:r/>
            <w:r>
              <w:rPr>
                <w:sz w:val="19"/>
              </w:rPr>
              <w:t>Script-generated</w:t>
            </w:r>
          </w:p>
        </w:tc>
        <w:tc>
          <w:tcPr>
            <w:tcW w:type="dxa" w:w="4464"/>
          </w:tcPr>
          <w:p>
            <w:r/>
            <w:r>
              <w:rPr>
                <w:sz w:val="19"/>
              </w:rPr>
              <w:t>All</w:t>
            </w:r>
          </w:p>
        </w:tc>
      </w:tr>
      <w:tr>
        <w:tc>
          <w:tcPr>
            <w:tcW w:type="dxa" w:w="2880"/>
          </w:tcPr>
          <w:p>
            <w:r/>
            <w:r>
              <w:rPr>
                <w:sz w:val="19"/>
              </w:rPr>
              <w:t>Roadmap</w:t>
            </w:r>
          </w:p>
        </w:tc>
        <w:tc>
          <w:tcPr>
            <w:tcW w:type="dxa" w:w="2160"/>
          </w:tcPr>
          <w:p>
            <w:r/>
            <w:r>
              <w:rPr>
                <w:sz w:val="19"/>
              </w:rPr>
              <w:t>Script-generated</w:t>
            </w:r>
          </w:p>
        </w:tc>
        <w:tc>
          <w:tcPr>
            <w:tcW w:type="dxa" w:w="4464"/>
          </w:tcPr>
          <w:p>
            <w:r/>
            <w:r>
              <w:rPr>
                <w:sz w:val="19"/>
              </w:rPr>
              <w:t>All</w:t>
            </w:r>
          </w:p>
        </w:tc>
      </w:tr>
      <w:tr>
        <w:tc>
          <w:tcPr>
            <w:tcW w:type="dxa" w:w="2880"/>
          </w:tcPr>
          <w:p>
            <w:r/>
            <w:r>
              <w:rPr>
                <w:sz w:val="19"/>
              </w:rPr>
              <w:t>Data Sources</w:t>
            </w:r>
          </w:p>
        </w:tc>
        <w:tc>
          <w:tcPr>
            <w:tcW w:type="dxa" w:w="2160"/>
          </w:tcPr>
          <w:p>
            <w:r/>
            <w:r>
              <w:rPr>
                <w:sz w:val="19"/>
              </w:rPr>
              <w:t>Script-generated</w:t>
            </w:r>
          </w:p>
        </w:tc>
        <w:tc>
          <w:tcPr>
            <w:tcW w:type="dxa" w:w="4464"/>
          </w:tcPr>
          <w:p>
            <w:r/>
            <w:r>
              <w:rPr>
                <w:sz w:val="19"/>
              </w:rPr>
              <w:t>All</w:t>
            </w:r>
          </w:p>
        </w:tc>
      </w:tr>
      <w:tr>
        <w:tc>
          <w:tcPr>
            <w:tcW w:type="dxa" w:w="2880"/>
          </w:tcPr>
          <w:p>
            <w:r/>
            <w:r>
              <w:rPr>
                <w:sz w:val="19"/>
              </w:rPr>
              <w:t>Executive Summary</w:t>
            </w:r>
          </w:p>
        </w:tc>
        <w:tc>
          <w:tcPr>
            <w:tcW w:type="dxa" w:w="2160"/>
          </w:tcPr>
          <w:p>
            <w:r/>
            <w:r>
              <w:rPr>
                <w:sz w:val="19"/>
              </w:rPr>
              <w:t>Model-authored</w:t>
            </w:r>
          </w:p>
        </w:tc>
        <w:tc>
          <w:tcPr>
            <w:tcW w:type="dxa" w:w="4464"/>
          </w:tcPr>
          <w:p>
            <w:r/>
            <w:r>
              <w:rPr>
                <w:sz w:val="19"/>
              </w:rPr>
              <w:t>All</w:t>
            </w:r>
          </w:p>
        </w:tc>
      </w:tr>
      <w:tr>
        <w:tc>
          <w:tcPr>
            <w:tcW w:type="dxa" w:w="2880"/>
          </w:tcPr>
          <w:p>
            <w:r/>
            <w:r>
              <w:rPr>
                <w:sz w:val="19"/>
              </w:rPr>
              <w:t>Benchmark Matrix</w:t>
            </w:r>
          </w:p>
        </w:tc>
        <w:tc>
          <w:tcPr>
            <w:tcW w:type="dxa" w:w="2160"/>
          </w:tcPr>
          <w:p>
            <w:r/>
            <w:r>
              <w:rPr>
                <w:sz w:val="19"/>
              </w:rPr>
              <w:t>Model-authored</w:t>
            </w:r>
          </w:p>
        </w:tc>
        <w:tc>
          <w:tcPr>
            <w:tcW w:type="dxa" w:w="4464"/>
          </w:tcPr>
          <w:p>
            <w:r/>
            <w:r>
              <w:rPr>
                <w:sz w:val="19"/>
              </w:rPr>
              <w:t>All</w:t>
            </w:r>
          </w:p>
        </w:tc>
      </w:tr>
      <w:tr>
        <w:tc>
          <w:tcPr>
            <w:tcW w:type="dxa" w:w="2880"/>
          </w:tcPr>
          <w:p>
            <w:r/>
            <w:r>
              <w:rPr>
                <w:sz w:val="19"/>
              </w:rPr>
              <w:t>Per Diem &amp; Lodging Schedule</w:t>
            </w:r>
          </w:p>
        </w:tc>
        <w:tc>
          <w:tcPr>
            <w:tcW w:type="dxa" w:w="2160"/>
          </w:tcPr>
          <w:p>
            <w:r/>
            <w:r>
              <w:rPr>
                <w:sz w:val="19"/>
              </w:rPr>
              <w:t>Model-authored</w:t>
            </w:r>
          </w:p>
        </w:tc>
        <w:tc>
          <w:tcPr>
            <w:tcW w:type="dxa" w:w="4464"/>
          </w:tcPr>
          <w:p>
            <w:r/>
            <w:r>
              <w:rPr>
                <w:sz w:val="19"/>
              </w:rPr>
              <w:t>All</w:t>
            </w:r>
          </w:p>
        </w:tc>
      </w:tr>
      <w:tr>
        <w:tc>
          <w:tcPr>
            <w:tcW w:type="dxa" w:w="2880"/>
          </w:tcPr>
          <w:p>
            <w:r/>
            <w:r>
              <w:rPr>
                <w:sz w:val="19"/>
              </w:rPr>
              <w:t>Approval Matrix</w:t>
            </w:r>
          </w:p>
        </w:tc>
        <w:tc>
          <w:tcPr>
            <w:tcW w:type="dxa" w:w="2160"/>
          </w:tcPr>
          <w:p>
            <w:r/>
            <w:r>
              <w:rPr>
                <w:sz w:val="19"/>
              </w:rPr>
              <w:t>Model-authored</w:t>
            </w:r>
          </w:p>
        </w:tc>
        <w:tc>
          <w:tcPr>
            <w:tcW w:type="dxa" w:w="4464"/>
          </w:tcPr>
          <w:p>
            <w:r/>
            <w:r>
              <w:rPr>
                <w:sz w:val="19"/>
              </w:rPr>
              <w:t>All</w:t>
            </w:r>
          </w:p>
        </w:tc>
      </w:tr>
      <w:tr>
        <w:tc>
          <w:tcPr>
            <w:tcW w:type="dxa" w:w="2880"/>
          </w:tcPr>
          <w:p>
            <w:r/>
            <w:r>
              <w:rPr>
                <w:sz w:val="19"/>
              </w:rPr>
              <w:t>No-List</w:t>
            </w:r>
          </w:p>
        </w:tc>
        <w:tc>
          <w:tcPr>
            <w:tcW w:type="dxa" w:w="2160"/>
          </w:tcPr>
          <w:p>
            <w:r/>
            <w:r>
              <w:rPr>
                <w:sz w:val="19"/>
              </w:rPr>
              <w:t>Model-authored</w:t>
            </w:r>
          </w:p>
        </w:tc>
        <w:tc>
          <w:tcPr>
            <w:tcW w:type="dxa" w:w="4464"/>
          </w:tcPr>
          <w:p>
            <w:r/>
            <w:r>
              <w:rPr>
                <w:sz w:val="19"/>
              </w:rPr>
              <w:t>All</w:t>
            </w:r>
          </w:p>
        </w:tc>
      </w:tr>
      <w:tr>
        <w:tc>
          <w:tcPr>
            <w:tcW w:type="dxa" w:w="2880"/>
          </w:tcPr>
          <w:p>
            <w:r/>
            <w:r>
              <w:rPr>
                <w:sz w:val="19"/>
              </w:rPr>
              <w:t>Version Delta</w:t>
            </w:r>
          </w:p>
        </w:tc>
        <w:tc>
          <w:tcPr>
            <w:tcW w:type="dxa" w:w="2160"/>
          </w:tcPr>
          <w:p>
            <w:r/>
            <w:r>
              <w:rPr>
                <w:sz w:val="19"/>
              </w:rPr>
              <w:t>Model-authored</w:t>
            </w:r>
          </w:p>
        </w:tc>
        <w:tc>
          <w:tcPr>
            <w:tcW w:type="dxa" w:w="4464"/>
          </w:tcPr>
          <w:p>
            <w:r/>
            <w:r>
              <w:rPr>
                <w:sz w:val="19"/>
              </w:rPr>
              <w:t>Version Audit only</w:t>
            </w:r>
          </w:p>
        </w:tc>
      </w:tr>
      <w:tr>
        <w:tc>
          <w:tcPr>
            <w:tcW w:type="dxa" w:w="2880"/>
          </w:tcPr>
          <w:p>
            <w:r/>
            <w:r>
              <w:rPr>
                <w:sz w:val="19"/>
              </w:rPr>
              <w:t>Score Comparison</w:t>
            </w:r>
          </w:p>
        </w:tc>
        <w:tc>
          <w:tcPr>
            <w:tcW w:type="dxa" w:w="2160"/>
          </w:tcPr>
          <w:p>
            <w:r/>
            <w:r>
              <w:rPr>
                <w:sz w:val="19"/>
              </w:rPr>
              <w:t>Model-authored</w:t>
            </w:r>
          </w:p>
        </w:tc>
        <w:tc>
          <w:tcPr>
            <w:tcW w:type="dxa" w:w="4464"/>
          </w:tcPr>
          <w:p>
            <w:r/>
            <w:r>
              <w:rPr>
                <w:sz w:val="19"/>
              </w:rPr>
              <w:t>Version Audit only</w:t>
            </w:r>
          </w:p>
        </w:tc>
      </w:tr>
    </w:tbl>
    <w:p>
      <w:pPr>
        <w:spacing w:after="80"/>
      </w:pPr>
    </w:p>
    <w:p>
      <w:pPr>
        <w:pStyle w:val="Heading3"/>
      </w:pPr>
      <w:r>
        <w:t>9.8.4 PDF (.pdf)</w:t>
      </w:r>
    </w:p>
    <w:p>
      <w:pPr>
        <w:pStyle w:val="ListBullet"/>
        <w:ind w:left="360"/>
      </w:pPr>
      <w:r>
        <w:t>Generated by producing the Word deliverable first and converting it to PDF — the PDF is never authored independently, to avoid content drift between formats.</w:t>
      </w:r>
    </w:p>
    <w:p>
      <w:pPr>
        <w:pStyle w:val="Heading3"/>
      </w:pPr>
      <w:r>
        <w:t>9.8.5 Backend Requirement — Output Pipeline</w:t>
      </w:r>
    </w:p>
    <w:p>
      <w:pPr>
        <w:pStyle w:val="ListBullet"/>
        <w:ind w:left="360"/>
      </w:pPr>
      <w:r>
        <w:t>The Orchestration Service must confirm the requested format with the user (a UI prompt) before invoking generation if the format was not already fixed in Phase 0.</w:t>
      </w:r>
    </w:p>
    <w:p>
      <w:pPr>
        <w:pStyle w:val="ListBullet"/>
        <w:ind w:left="360"/>
      </w:pPr>
      <w:r>
        <w:t>The scores.json payload driving the Excel scorecard must be assembled by the backend from the structured Phase 3/4 data (Section 10.3), not re-derived by the model from prose, to guarantee the spreadsheet and the narrative report never disagree on a number.</w:t>
      </w:r>
    </w:p>
    <w:p>
      <w:pPr>
        <w:pStyle w:val="ListBullet"/>
        <w:ind w:left="360"/>
      </w:pPr>
      <w:r>
        <w:t>All generated files must be retrieved from the model's sandbox output path and copied into the application's own durable Output Storage Service immediately upon the deliver_output tool call — sandbox storage is ephemeral and must never be the system of record.</w:t>
      </w:r>
    </w:p>
    <w:p>
      <w:pPr>
        <w:pStyle w:val="ListBullet"/>
        <w:ind w:left="360"/>
      </w:pPr>
      <w:r>
        <w:t>Every deliverable is versioned per engagement (an engagement can be regenerated in a different format without re-running Phases 1–4, by reusing the persisted structured findings).</w:t>
      </w:r>
    </w:p>
    <w:p>
      <w:pPr>
        <w:pStyle w:val="Heading3"/>
      </w:pPr>
      <w:r>
        <w:t>9.8.6 UI Requirement — Deliverable Screen</w:t>
      </w:r>
    </w:p>
    <w:p>
      <w:pPr>
        <w:pStyle w:val="ListBullet"/>
        <w:ind w:left="360"/>
      </w:pPr>
      <w:r>
        <w:t>A "Generate Deliverable" action, gated behind the Executive Summary review screen (Section 9.7.2), with a format selector defaulting to whatever was chosen at intake.</w:t>
      </w:r>
    </w:p>
    <w:p>
      <w:pPr>
        <w:pStyle w:val="ListBullet"/>
        <w:ind w:left="360"/>
      </w:pPr>
      <w:r>
        <w:t>A download center listing every generated file for the engagement (with format, generated date, and generating user), supporting re-download at any time within the retention window (Section 15.6).</w:t>
      </w:r>
    </w:p>
    <w:p>
      <w:pPr>
        <w:pStyle w:val="ListBullet"/>
        <w:ind w:left="360"/>
      </w:pPr>
      <w:r>
        <w:t>A one-click "Generate in another format" action that reuses existing analysis rather than re-running the full pipeline.</w:t>
      </w:r>
    </w:p>
    <w:p>
      <w:r>
        <w:br w:type="page"/>
      </w:r>
    </w:p>
    <w:p>
      <w:pPr>
        <w:pStyle w:val="Heading1"/>
      </w:pPr>
      <w:r>
        <w:t>10. Data Model</w:t>
      </w:r>
    </w:p>
    <w:p>
      <w:pPr>
        <w:spacing w:after="120"/>
      </w:pPr>
      <w:r>
        <w:rPr>
          <w:b w:val="0"/>
          <w:i w:val="0"/>
        </w:rPr>
        <w:t>This section defines the core entities the backend must persist. Field lists are illustrative of required attributes, not exhaustive column-level DDL — the engineering team should finalize types/constraints during technical design, but no required entity or relationship listed here should be dropped without a change request.</w:t>
      </w:r>
    </w:p>
    <w:p>
      <w:pPr>
        <w:pStyle w:val="Heading2"/>
      </w:pPr>
      <w:r>
        <w:t>10.1 Entity Overview</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1B2A4A"/>
          </w:tcPr>
          <w:p>
            <w:r/>
            <w:r>
              <w:rPr>
                <w:b/>
                <w:color w:val="FFFFFF"/>
                <w:sz w:val="19"/>
              </w:rPr>
              <w:t>Entity</w:t>
            </w:r>
          </w:p>
        </w:tc>
        <w:tc>
          <w:tcPr>
            <w:tcW w:type="dxa" w:w="7056"/>
            <w:shd w:val="clear" w:color="auto" w:fill="1B2A4A"/>
          </w:tcPr>
          <w:p>
            <w:r/>
            <w:r>
              <w:rPr>
                <w:b/>
                <w:color w:val="FFFFFF"/>
                <w:sz w:val="19"/>
              </w:rPr>
              <w:t>Purpose</w:t>
            </w:r>
          </w:p>
        </w:tc>
      </w:tr>
      <w:tr>
        <w:tc>
          <w:tcPr>
            <w:tcW w:type="dxa" w:w="2304"/>
          </w:tcPr>
          <w:p>
            <w:r/>
            <w:r>
              <w:rPr>
                <w:sz w:val="19"/>
              </w:rPr>
              <w:t>Tenant</w:t>
            </w:r>
          </w:p>
        </w:tc>
        <w:tc>
          <w:tcPr>
            <w:tcW w:type="dxa" w:w="7056"/>
          </w:tcPr>
          <w:p>
            <w:r/>
            <w:r>
              <w:rPr>
                <w:sz w:val="19"/>
              </w:rPr>
              <w:t>Top-level customer/organization boundary for multi-tenant isolation</w:t>
            </w:r>
          </w:p>
        </w:tc>
      </w:tr>
      <w:tr>
        <w:tc>
          <w:tcPr>
            <w:tcW w:type="dxa" w:w="2304"/>
          </w:tcPr>
          <w:p>
            <w:r/>
            <w:r>
              <w:rPr>
                <w:sz w:val="19"/>
              </w:rPr>
              <w:t>User</w:t>
            </w:r>
          </w:p>
        </w:tc>
        <w:tc>
          <w:tcPr>
            <w:tcW w:type="dxa" w:w="7056"/>
          </w:tcPr>
          <w:p>
            <w:r/>
            <w:r>
              <w:rPr>
                <w:sz w:val="19"/>
              </w:rPr>
              <w:t>An authenticated individual, scoped to one or more tenants, with a role</w:t>
            </w:r>
          </w:p>
        </w:tc>
      </w:tr>
      <w:tr>
        <w:tc>
          <w:tcPr>
            <w:tcW w:type="dxa" w:w="2304"/>
          </w:tcPr>
          <w:p>
            <w:r/>
            <w:r>
              <w:rPr>
                <w:sz w:val="19"/>
              </w:rPr>
              <w:t>Engagement</w:t>
            </w:r>
          </w:p>
        </w:tc>
        <w:tc>
          <w:tcPr>
            <w:tcW w:type="dxa" w:w="7056"/>
          </w:tcPr>
          <w:p>
            <w:r/>
            <w:r>
              <w:rPr>
                <w:sz w:val="19"/>
              </w:rPr>
              <w:t>One instance of running PolicyIQ in a given mode — the central object</w:t>
            </w:r>
          </w:p>
        </w:tc>
      </w:tr>
      <w:tr>
        <w:tc>
          <w:tcPr>
            <w:tcW w:type="dxa" w:w="2304"/>
          </w:tcPr>
          <w:p>
            <w:r/>
            <w:r>
              <w:rPr>
                <w:sz w:val="19"/>
              </w:rPr>
              <w:t>SourceFile</w:t>
            </w:r>
          </w:p>
        </w:tc>
        <w:tc>
          <w:tcPr>
            <w:tcW w:type="dxa" w:w="7056"/>
          </w:tcPr>
          <w:p>
            <w:r/>
            <w:r>
              <w:rPr>
                <w:sz w:val="19"/>
              </w:rPr>
              <w:t>An uploaded or pasted input document, with its triaged role</w:t>
            </w:r>
          </w:p>
        </w:tc>
      </w:tr>
      <w:tr>
        <w:tc>
          <w:tcPr>
            <w:tcW w:type="dxa" w:w="2304"/>
          </w:tcPr>
          <w:p>
            <w:r/>
            <w:r>
              <w:rPr>
                <w:sz w:val="19"/>
              </w:rPr>
              <w:t>IntakeAnswer</w:t>
            </w:r>
          </w:p>
        </w:tc>
        <w:tc>
          <w:tcPr>
            <w:tcW w:type="dxa" w:w="7056"/>
          </w:tcPr>
          <w:p>
            <w:r/>
            <w:r>
              <w:rPr>
                <w:sz w:val="19"/>
              </w:rPr>
              <w:t>The structured Phase 0 responses for an engagement</w:t>
            </w:r>
          </w:p>
        </w:tc>
      </w:tr>
      <w:tr>
        <w:tc>
          <w:tcPr>
            <w:tcW w:type="dxa" w:w="2304"/>
          </w:tcPr>
          <w:p>
            <w:r/>
            <w:r>
              <w:rPr>
                <w:sz w:val="19"/>
              </w:rPr>
              <w:t>DataFetchLog</w:t>
            </w:r>
          </w:p>
        </w:tc>
        <w:tc>
          <w:tcPr>
            <w:tcW w:type="dxa" w:w="7056"/>
          </w:tcPr>
          <w:p>
            <w:r/>
            <w:r>
              <w:rPr>
                <w:sz w:val="19"/>
              </w:rPr>
              <w:t>Record of every Phase 1A live-fetch attempt and its resolution</w:t>
            </w:r>
          </w:p>
        </w:tc>
      </w:tr>
      <w:tr>
        <w:tc>
          <w:tcPr>
            <w:tcW w:type="dxa" w:w="2304"/>
          </w:tcPr>
          <w:p>
            <w:r/>
            <w:r>
              <w:rPr>
                <w:sz w:val="19"/>
              </w:rPr>
              <w:t>DimensionFinding</w:t>
            </w:r>
          </w:p>
        </w:tc>
        <w:tc>
          <w:tcPr>
            <w:tcW w:type="dxa" w:w="7056"/>
          </w:tcPr>
          <w:p>
            <w:r/>
            <w:r>
              <w:rPr>
                <w:sz w:val="19"/>
              </w:rPr>
              <w:t>The Phase 3 structured output for one of the 14 dimensions</w:t>
            </w:r>
          </w:p>
        </w:tc>
      </w:tr>
      <w:tr>
        <w:tc>
          <w:tcPr>
            <w:tcW w:type="dxa" w:w="2304"/>
          </w:tcPr>
          <w:p>
            <w:r/>
            <w:r>
              <w:rPr>
                <w:sz w:val="19"/>
              </w:rPr>
              <w:t>Citation</w:t>
            </w:r>
          </w:p>
        </w:tc>
        <w:tc>
          <w:tcPr>
            <w:tcW w:type="dxa" w:w="7056"/>
          </w:tcPr>
          <w:p>
            <w:r/>
            <w:r>
              <w:rPr>
                <w:sz w:val="19"/>
              </w:rPr>
              <w:t>A machine-readable regulatory/benchmark source backing a finding</w:t>
            </w:r>
          </w:p>
        </w:tc>
      </w:tr>
      <w:tr>
        <w:tc>
          <w:tcPr>
            <w:tcW w:type="dxa" w:w="2304"/>
          </w:tcPr>
          <w:p>
            <w:r/>
            <w:r>
              <w:rPr>
                <w:sz w:val="19"/>
              </w:rPr>
              <w:t>SynthesisSummary</w:t>
            </w:r>
          </w:p>
        </w:tc>
        <w:tc>
          <w:tcPr>
            <w:tcW w:type="dxa" w:w="7056"/>
          </w:tcPr>
          <w:p>
            <w:r/>
            <w:r>
              <w:rPr>
                <w:sz w:val="19"/>
              </w:rPr>
              <w:t>The Phase 4 executive-level roll-up for an engagement</w:t>
            </w:r>
          </w:p>
        </w:tc>
      </w:tr>
      <w:tr>
        <w:tc>
          <w:tcPr>
            <w:tcW w:type="dxa" w:w="2304"/>
          </w:tcPr>
          <w:p>
            <w:r/>
            <w:r>
              <w:rPr>
                <w:sz w:val="19"/>
              </w:rPr>
              <w:t>Deliverable</w:t>
            </w:r>
          </w:p>
        </w:tc>
        <w:tc>
          <w:tcPr>
            <w:tcW w:type="dxa" w:w="7056"/>
          </w:tcPr>
          <w:p>
            <w:r/>
            <w:r>
              <w:rPr>
                <w:sz w:val="19"/>
              </w:rPr>
              <w:t>A generated output file (Word/PPT/Excel/PDF) for an engagement</w:t>
            </w:r>
          </w:p>
        </w:tc>
      </w:tr>
      <w:tr>
        <w:tc>
          <w:tcPr>
            <w:tcW w:type="dxa" w:w="2304"/>
          </w:tcPr>
          <w:p>
            <w:r/>
            <w:r>
              <w:rPr>
                <w:sz w:val="19"/>
              </w:rPr>
              <w:t>ReferenceFile</w:t>
            </w:r>
          </w:p>
        </w:tc>
        <w:tc>
          <w:tcPr>
            <w:tcW w:type="dxa" w:w="7056"/>
          </w:tcPr>
          <w:p>
            <w:r/>
            <w:r>
              <w:rPr>
                <w:sz w:val="19"/>
              </w:rPr>
              <w:t>A versioned entry in the Phase 1B reference library</w:t>
            </w:r>
          </w:p>
        </w:tc>
      </w:tr>
      <w:tr>
        <w:tc>
          <w:tcPr>
            <w:tcW w:type="dxa" w:w="2304"/>
          </w:tcPr>
          <w:p>
            <w:r/>
            <w:r>
              <w:rPr>
                <w:sz w:val="19"/>
              </w:rPr>
              <w:t>AuditLogEntry</w:t>
            </w:r>
          </w:p>
        </w:tc>
        <w:tc>
          <w:tcPr>
            <w:tcW w:type="dxa" w:w="7056"/>
          </w:tcPr>
          <w:p>
            <w:r/>
            <w:r>
              <w:rPr>
                <w:sz w:val="19"/>
              </w:rPr>
              <w:t>Immutable record of user and system actions for compliance</w:t>
            </w:r>
          </w:p>
        </w:tc>
      </w:tr>
    </w:tbl>
    <w:p>
      <w:pPr>
        <w:spacing w:after="80"/>
      </w:pPr>
    </w:p>
    <w:p>
      <w:pPr>
        <w:pStyle w:val="Heading2"/>
      </w:pPr>
      <w:r>
        <w:t>10.2 Engagement State Machine</w:t>
      </w:r>
    </w:p>
    <w:p>
      <w:pPr>
        <w:spacing w:after="120"/>
      </w:pPr>
      <w:r>
        <w:rPr>
          <w:b w:val="0"/>
          <w:i w:val="0"/>
        </w:rPr>
        <w:t>The Engagement entity is the backbone of the product and must expose its lifecycle state to the UI at all times so the progress view (Section 11.5) reflects reality rather than a generic spinner.</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B2A4A"/>
          </w:tcPr>
          <w:p>
            <w:r/>
            <w:r>
              <w:rPr>
                <w:b/>
                <w:color w:val="FFFFFF"/>
                <w:sz w:val="19"/>
              </w:rPr>
              <w:t>State</w:t>
            </w:r>
          </w:p>
        </w:tc>
        <w:tc>
          <w:tcPr>
            <w:tcW w:type="dxa" w:w="4464"/>
            <w:shd w:val="clear" w:color="auto" w:fill="1B2A4A"/>
          </w:tcPr>
          <w:p>
            <w:r/>
            <w:r>
              <w:rPr>
                <w:b/>
                <w:color w:val="FFFFFF"/>
                <w:sz w:val="19"/>
              </w:rPr>
              <w:t>Meaning</w:t>
            </w:r>
          </w:p>
        </w:tc>
        <w:tc>
          <w:tcPr>
            <w:tcW w:type="dxa" w:w="2448"/>
            <w:shd w:val="clear" w:color="auto" w:fill="1B2A4A"/>
          </w:tcPr>
          <w:p>
            <w:r/>
            <w:r>
              <w:rPr>
                <w:b/>
                <w:color w:val="FFFFFF"/>
                <w:sz w:val="19"/>
              </w:rPr>
              <w:t>Entered From</w:t>
            </w:r>
          </w:p>
        </w:tc>
      </w:tr>
      <w:tr>
        <w:tc>
          <w:tcPr>
            <w:tcW w:type="dxa" w:w="2448"/>
          </w:tcPr>
          <w:p>
            <w:r/>
            <w:r>
              <w:rPr>
                <w:sz w:val="19"/>
              </w:rPr>
              <w:t>DRAFT</w:t>
            </w:r>
          </w:p>
        </w:tc>
        <w:tc>
          <w:tcPr>
            <w:tcW w:type="dxa" w:w="4464"/>
          </w:tcPr>
          <w:p>
            <w:r/>
            <w:r>
              <w:rPr>
                <w:sz w:val="19"/>
              </w:rPr>
              <w:t>Intake wizard in progress, not yet submitted</w:t>
            </w:r>
          </w:p>
        </w:tc>
        <w:tc>
          <w:tcPr>
            <w:tcW w:type="dxa" w:w="2448"/>
          </w:tcPr>
          <w:p>
            <w:r/>
            <w:r>
              <w:rPr>
                <w:sz w:val="19"/>
              </w:rPr>
              <w:t>New engagement created</w:t>
            </w:r>
          </w:p>
        </w:tc>
      </w:tr>
      <w:tr>
        <w:tc>
          <w:tcPr>
            <w:tcW w:type="dxa" w:w="2448"/>
          </w:tcPr>
          <w:p>
            <w:r/>
            <w:r>
              <w:rPr>
                <w:sz w:val="19"/>
              </w:rPr>
              <w:t>TRIAGE_PENDING</w:t>
            </w:r>
          </w:p>
        </w:tc>
        <w:tc>
          <w:tcPr>
            <w:tcW w:type="dxa" w:w="4464"/>
          </w:tcPr>
          <w:p>
            <w:r/>
            <w:r>
              <w:rPr>
                <w:sz w:val="19"/>
              </w:rPr>
              <w:t>Multi-file triage awaiting user confirmation (Phase 0A)</w:t>
            </w:r>
          </w:p>
        </w:tc>
        <w:tc>
          <w:tcPr>
            <w:tcW w:type="dxa" w:w="2448"/>
          </w:tcPr>
          <w:p>
            <w:r/>
            <w:r>
              <w:rPr>
                <w:sz w:val="19"/>
              </w:rPr>
              <w:t>DRAFT, when 2+ files uploaded</w:t>
            </w:r>
          </w:p>
        </w:tc>
      </w:tr>
      <w:tr>
        <w:tc>
          <w:tcPr>
            <w:tcW w:type="dxa" w:w="2448"/>
          </w:tcPr>
          <w:p>
            <w:r/>
            <w:r>
              <w:rPr>
                <w:sz w:val="19"/>
              </w:rPr>
              <w:t>QUEUED</w:t>
            </w:r>
          </w:p>
        </w:tc>
        <w:tc>
          <w:tcPr>
            <w:tcW w:type="dxa" w:w="4464"/>
          </w:tcPr>
          <w:p>
            <w:r/>
            <w:r>
              <w:rPr>
                <w:sz w:val="19"/>
              </w:rPr>
              <w:t>Intake complete, orchestration not yet started</w:t>
            </w:r>
          </w:p>
        </w:tc>
        <w:tc>
          <w:tcPr>
            <w:tcW w:type="dxa" w:w="2448"/>
          </w:tcPr>
          <w:p>
            <w:r/>
            <w:r>
              <w:rPr>
                <w:sz w:val="19"/>
              </w:rPr>
              <w:t>DRAFT or TRIAGE_PENDING</w:t>
            </w:r>
          </w:p>
        </w:tc>
      </w:tr>
      <w:tr>
        <w:tc>
          <w:tcPr>
            <w:tcW w:type="dxa" w:w="2448"/>
          </w:tcPr>
          <w:p>
            <w:r/>
            <w:r>
              <w:rPr>
                <w:sz w:val="19"/>
              </w:rPr>
              <w:t>FETCHING_LIVE_DATA</w:t>
            </w:r>
          </w:p>
        </w:tc>
        <w:tc>
          <w:tcPr>
            <w:tcW w:type="dxa" w:w="4464"/>
          </w:tcPr>
          <w:p>
            <w:r/>
            <w:r>
              <w:rPr>
                <w:sz w:val="19"/>
              </w:rPr>
              <w:t>Phase 1A in progress</w:t>
            </w:r>
          </w:p>
        </w:tc>
        <w:tc>
          <w:tcPr>
            <w:tcW w:type="dxa" w:w="2448"/>
          </w:tcPr>
          <w:p>
            <w:r/>
            <w:r>
              <w:rPr>
                <w:sz w:val="19"/>
              </w:rPr>
              <w:t>QUEUED</w:t>
            </w:r>
          </w:p>
        </w:tc>
      </w:tr>
      <w:tr>
        <w:tc>
          <w:tcPr>
            <w:tcW w:type="dxa" w:w="2448"/>
          </w:tcPr>
          <w:p>
            <w:r/>
            <w:r>
              <w:rPr>
                <w:sz w:val="19"/>
              </w:rPr>
              <w:t>LOADING_REFERENCES</w:t>
            </w:r>
          </w:p>
        </w:tc>
        <w:tc>
          <w:tcPr>
            <w:tcW w:type="dxa" w:w="4464"/>
          </w:tcPr>
          <w:p>
            <w:r/>
            <w:r>
              <w:rPr>
                <w:sz w:val="19"/>
              </w:rPr>
              <w:t>Phase 1B in progress</w:t>
            </w:r>
          </w:p>
        </w:tc>
        <w:tc>
          <w:tcPr>
            <w:tcW w:type="dxa" w:w="2448"/>
          </w:tcPr>
          <w:p>
            <w:r/>
            <w:r>
              <w:rPr>
                <w:sz w:val="19"/>
              </w:rPr>
              <w:t>FETCHING_LIVE_DATA</w:t>
            </w:r>
          </w:p>
        </w:tc>
      </w:tr>
      <w:tr>
        <w:tc>
          <w:tcPr>
            <w:tcW w:type="dxa" w:w="2448"/>
          </w:tcPr>
          <w:p>
            <w:r/>
            <w:r>
              <w:rPr>
                <w:sz w:val="19"/>
              </w:rPr>
              <w:t>INGESTING</w:t>
            </w:r>
          </w:p>
        </w:tc>
        <w:tc>
          <w:tcPr>
            <w:tcW w:type="dxa" w:w="4464"/>
          </w:tcPr>
          <w:p>
            <w:r/>
            <w:r>
              <w:rPr>
                <w:sz w:val="19"/>
              </w:rPr>
              <w:t>Phase 2 in progress</w:t>
            </w:r>
          </w:p>
        </w:tc>
        <w:tc>
          <w:tcPr>
            <w:tcW w:type="dxa" w:w="2448"/>
          </w:tcPr>
          <w:p>
            <w:r/>
            <w:r>
              <w:rPr>
                <w:sz w:val="19"/>
              </w:rPr>
              <w:t>LOADING_REFERENCES</w:t>
            </w:r>
          </w:p>
        </w:tc>
      </w:tr>
      <w:tr>
        <w:tc>
          <w:tcPr>
            <w:tcW w:type="dxa" w:w="2448"/>
          </w:tcPr>
          <w:p>
            <w:r/>
            <w:r>
              <w:rPr>
                <w:sz w:val="19"/>
              </w:rPr>
              <w:t>ANALYZING</w:t>
            </w:r>
          </w:p>
        </w:tc>
        <w:tc>
          <w:tcPr>
            <w:tcW w:type="dxa" w:w="4464"/>
          </w:tcPr>
          <w:p>
            <w:r/>
            <w:r>
              <w:rPr>
                <w:sz w:val="19"/>
              </w:rPr>
              <w:t>Phase 3 in progress</w:t>
            </w:r>
          </w:p>
        </w:tc>
        <w:tc>
          <w:tcPr>
            <w:tcW w:type="dxa" w:w="2448"/>
          </w:tcPr>
          <w:p>
            <w:r/>
            <w:r>
              <w:rPr>
                <w:sz w:val="19"/>
              </w:rPr>
              <w:t>INGESTING</w:t>
            </w:r>
          </w:p>
        </w:tc>
      </w:tr>
      <w:tr>
        <w:tc>
          <w:tcPr>
            <w:tcW w:type="dxa" w:w="2448"/>
          </w:tcPr>
          <w:p>
            <w:r/>
            <w:r>
              <w:rPr>
                <w:sz w:val="19"/>
              </w:rPr>
              <w:t>AWAITING_CLARIFICATION</w:t>
            </w:r>
          </w:p>
        </w:tc>
        <w:tc>
          <w:tcPr>
            <w:tcW w:type="dxa" w:w="4464"/>
          </w:tcPr>
          <w:p>
            <w:r/>
            <w:r>
              <w:rPr>
                <w:sz w:val="19"/>
              </w:rPr>
              <w:t>Model has flagged DATA MISSING and is blocked pending user input</w:t>
            </w:r>
          </w:p>
        </w:tc>
        <w:tc>
          <w:tcPr>
            <w:tcW w:type="dxa" w:w="2448"/>
          </w:tcPr>
          <w:p>
            <w:r/>
            <w:r>
              <w:rPr>
                <w:sz w:val="19"/>
              </w:rPr>
              <w:t>ANALYZING</w:t>
            </w:r>
          </w:p>
        </w:tc>
      </w:tr>
      <w:tr>
        <w:tc>
          <w:tcPr>
            <w:tcW w:type="dxa" w:w="2448"/>
          </w:tcPr>
          <w:p>
            <w:r/>
            <w:r>
              <w:rPr>
                <w:sz w:val="19"/>
              </w:rPr>
              <w:t>SYNTHESIZING</w:t>
            </w:r>
          </w:p>
        </w:tc>
        <w:tc>
          <w:tcPr>
            <w:tcW w:type="dxa" w:w="4464"/>
          </w:tcPr>
          <w:p>
            <w:r/>
            <w:r>
              <w:rPr>
                <w:sz w:val="19"/>
              </w:rPr>
              <w:t>Phase 4 in progress</w:t>
            </w:r>
          </w:p>
        </w:tc>
        <w:tc>
          <w:tcPr>
            <w:tcW w:type="dxa" w:w="2448"/>
          </w:tcPr>
          <w:p>
            <w:r/>
            <w:r>
              <w:rPr>
                <w:sz w:val="19"/>
              </w:rPr>
              <w:t>ANALYZING</w:t>
            </w:r>
          </w:p>
        </w:tc>
      </w:tr>
      <w:tr>
        <w:tc>
          <w:tcPr>
            <w:tcW w:type="dxa" w:w="2448"/>
          </w:tcPr>
          <w:p>
            <w:r/>
            <w:r>
              <w:rPr>
                <w:sz w:val="19"/>
              </w:rPr>
              <w:t>READY_FOR_REVIEW</w:t>
            </w:r>
          </w:p>
        </w:tc>
        <w:tc>
          <w:tcPr>
            <w:tcW w:type="dxa" w:w="4464"/>
          </w:tcPr>
          <w:p>
            <w:r/>
            <w:r>
              <w:rPr>
                <w:sz w:val="19"/>
              </w:rPr>
              <w:t>Executive summary available; deliverable not yet generated</w:t>
            </w:r>
          </w:p>
        </w:tc>
        <w:tc>
          <w:tcPr>
            <w:tcW w:type="dxa" w:w="2448"/>
          </w:tcPr>
          <w:p>
            <w:r/>
            <w:r>
              <w:rPr>
                <w:sz w:val="19"/>
              </w:rPr>
              <w:t>SYNTHESIZING</w:t>
            </w:r>
          </w:p>
        </w:tc>
      </w:tr>
      <w:tr>
        <w:tc>
          <w:tcPr>
            <w:tcW w:type="dxa" w:w="2448"/>
          </w:tcPr>
          <w:p>
            <w:r/>
            <w:r>
              <w:rPr>
                <w:sz w:val="19"/>
              </w:rPr>
              <w:t>GENERATING_OUTPUT</w:t>
            </w:r>
          </w:p>
        </w:tc>
        <w:tc>
          <w:tcPr>
            <w:tcW w:type="dxa" w:w="4464"/>
          </w:tcPr>
          <w:p>
            <w:r/>
            <w:r>
              <w:rPr>
                <w:sz w:val="19"/>
              </w:rPr>
              <w:t>Phase 5 in progress for a requested format</w:t>
            </w:r>
          </w:p>
        </w:tc>
        <w:tc>
          <w:tcPr>
            <w:tcW w:type="dxa" w:w="2448"/>
          </w:tcPr>
          <w:p>
            <w:r/>
            <w:r>
              <w:rPr>
                <w:sz w:val="19"/>
              </w:rPr>
              <w:t>READY_FOR_REVIEW</w:t>
            </w:r>
          </w:p>
        </w:tc>
      </w:tr>
      <w:tr>
        <w:tc>
          <w:tcPr>
            <w:tcW w:type="dxa" w:w="2448"/>
          </w:tcPr>
          <w:p>
            <w:r/>
            <w:r>
              <w:rPr>
                <w:sz w:val="19"/>
              </w:rPr>
              <w:t>COMPLETE</w:t>
            </w:r>
          </w:p>
        </w:tc>
        <w:tc>
          <w:tcPr>
            <w:tcW w:type="dxa" w:w="4464"/>
          </w:tcPr>
          <w:p>
            <w:r/>
            <w:r>
              <w:rPr>
                <w:sz w:val="19"/>
              </w:rPr>
              <w:t>At least one deliverable generated and downloadable</w:t>
            </w:r>
          </w:p>
        </w:tc>
        <w:tc>
          <w:tcPr>
            <w:tcW w:type="dxa" w:w="2448"/>
          </w:tcPr>
          <w:p>
            <w:r/>
            <w:r>
              <w:rPr>
                <w:sz w:val="19"/>
              </w:rPr>
              <w:t>GENERATING_OUTPUT</w:t>
            </w:r>
          </w:p>
        </w:tc>
      </w:tr>
      <w:tr>
        <w:tc>
          <w:tcPr>
            <w:tcW w:type="dxa" w:w="2448"/>
          </w:tcPr>
          <w:p>
            <w:r/>
            <w:r>
              <w:rPr>
                <w:sz w:val="19"/>
              </w:rPr>
              <w:t>FAILED</w:t>
            </w:r>
          </w:p>
        </w:tc>
        <w:tc>
          <w:tcPr>
            <w:tcW w:type="dxa" w:w="4464"/>
          </w:tcPr>
          <w:p>
            <w:r/>
            <w:r>
              <w:rPr>
                <w:sz w:val="19"/>
              </w:rPr>
              <w:t>Unrecoverable error; see Section 18</w:t>
            </w:r>
          </w:p>
        </w:tc>
        <w:tc>
          <w:tcPr>
            <w:tcW w:type="dxa" w:w="2448"/>
          </w:tcPr>
          <w:p>
            <w:r/>
            <w:r>
              <w:rPr>
                <w:sz w:val="19"/>
              </w:rPr>
              <w:t>Any active state</w:t>
            </w:r>
          </w:p>
        </w:tc>
      </w:tr>
    </w:tbl>
    <w:p>
      <w:pPr>
        <w:spacing w:after="80"/>
      </w:pPr>
    </w:p>
    <w:p>
      <w:pPr>
        <w:spacing w:after="160"/>
        <w:ind w:left="288"/>
      </w:pPr>
      <w:r>
        <w:rPr>
          <w:b/>
          <w:i/>
          <w:color w:val="2E5C8A"/>
        </w:rPr>
        <w:t xml:space="preserve">Note: </w:t>
      </w:r>
      <w:r>
        <w:rPr>
          <w:i/>
          <w:color w:val="555555"/>
        </w:rPr>
        <w:t>AWAITING_CLARIFICATION must route the user back into a targeted supplementary form (not the full intake wizard) and must be resumable without re-running already-completed phases.</w:t>
      </w:r>
    </w:p>
    <w:p>
      <w:pPr>
        <w:pStyle w:val="Heading2"/>
      </w:pPr>
      <w:r>
        <w:t>10.3 Key Entity — DimensionFinding</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B2A4A"/>
          </w:tcPr>
          <w:p>
            <w:r/>
            <w:r>
              <w:rPr>
                <w:b/>
                <w:color w:val="FFFFFF"/>
                <w:sz w:val="19"/>
              </w:rPr>
              <w:t>Field</w:t>
            </w:r>
          </w:p>
        </w:tc>
        <w:tc>
          <w:tcPr>
            <w:tcW w:type="dxa" w:w="2448"/>
            <w:shd w:val="clear" w:color="auto" w:fill="1B2A4A"/>
          </w:tcPr>
          <w:p>
            <w:r/>
            <w:r>
              <w:rPr>
                <w:b/>
                <w:color w:val="FFFFFF"/>
                <w:sz w:val="19"/>
              </w:rPr>
              <w:t>Type</w:t>
            </w:r>
          </w:p>
        </w:tc>
        <w:tc>
          <w:tcPr>
            <w:tcW w:type="dxa" w:w="4464"/>
            <w:shd w:val="clear" w:color="auto" w:fill="1B2A4A"/>
          </w:tcPr>
          <w:p>
            <w:r/>
            <w:r>
              <w:rPr>
                <w:b/>
                <w:color w:val="FFFFFF"/>
                <w:sz w:val="19"/>
              </w:rPr>
              <w:t>Description</w:t>
            </w:r>
          </w:p>
        </w:tc>
      </w:tr>
      <w:tr>
        <w:tc>
          <w:tcPr>
            <w:tcW w:type="dxa" w:w="2448"/>
          </w:tcPr>
          <w:p>
            <w:r/>
            <w:r>
              <w:rPr>
                <w:sz w:val="19"/>
              </w:rPr>
              <w:t>engagement_id</w:t>
            </w:r>
          </w:p>
        </w:tc>
        <w:tc>
          <w:tcPr>
            <w:tcW w:type="dxa" w:w="2448"/>
          </w:tcPr>
          <w:p>
            <w:r/>
            <w:r>
              <w:rPr>
                <w:sz w:val="19"/>
              </w:rPr>
              <w:t>FK</w:t>
            </w:r>
          </w:p>
        </w:tc>
        <w:tc>
          <w:tcPr>
            <w:tcW w:type="dxa" w:w="4464"/>
          </w:tcPr>
          <w:p>
            <w:r/>
            <w:r>
              <w:rPr>
                <w:sz w:val="19"/>
              </w:rPr>
              <w:t>Parent engagement</w:t>
            </w:r>
          </w:p>
        </w:tc>
      </w:tr>
      <w:tr>
        <w:tc>
          <w:tcPr>
            <w:tcW w:type="dxa" w:w="2448"/>
          </w:tcPr>
          <w:p>
            <w:r/>
            <w:r>
              <w:rPr>
                <w:sz w:val="19"/>
              </w:rPr>
              <w:t>dimension_key</w:t>
            </w:r>
          </w:p>
        </w:tc>
        <w:tc>
          <w:tcPr>
            <w:tcW w:type="dxa" w:w="2448"/>
          </w:tcPr>
          <w:p>
            <w:r/>
            <w:r>
              <w:rPr>
                <w:sz w:val="19"/>
              </w:rPr>
              <w:t>Enum (14 values)</w:t>
            </w:r>
          </w:p>
        </w:tc>
        <w:tc>
          <w:tcPr>
            <w:tcW w:type="dxa" w:w="4464"/>
          </w:tcPr>
          <w:p>
            <w:r/>
            <w:r>
              <w:rPr>
                <w:sz w:val="19"/>
              </w:rPr>
              <w:t>One of the 14 dimensions, Section 12</w:t>
            </w:r>
          </w:p>
        </w:tc>
      </w:tr>
      <w:tr>
        <w:tc>
          <w:tcPr>
            <w:tcW w:type="dxa" w:w="2448"/>
          </w:tcPr>
          <w:p>
            <w:r/>
            <w:r>
              <w:rPr>
                <w:sz w:val="19"/>
              </w:rPr>
              <w:t>status</w:t>
            </w:r>
          </w:p>
        </w:tc>
        <w:tc>
          <w:tcPr>
            <w:tcW w:type="dxa" w:w="2448"/>
          </w:tcPr>
          <w:p>
            <w:r/>
            <w:r>
              <w:rPr>
                <w:sz w:val="19"/>
              </w:rPr>
              <w:t>Enum</w:t>
            </w:r>
          </w:p>
        </w:tc>
        <w:tc>
          <w:tcPr>
            <w:tcW w:type="dxa" w:w="4464"/>
          </w:tcPr>
          <w:p>
            <w:r/>
            <w:r>
              <w:rPr>
                <w:sz w:val="19"/>
              </w:rPr>
              <w:t>well_defined / vague / missing / conflicting / data_missing</w:t>
            </w:r>
          </w:p>
        </w:tc>
      </w:tr>
      <w:tr>
        <w:tc>
          <w:tcPr>
            <w:tcW w:type="dxa" w:w="2448"/>
          </w:tcPr>
          <w:p>
            <w:r/>
            <w:r>
              <w:rPr>
                <w:sz w:val="19"/>
              </w:rPr>
              <w:t>current_state</w:t>
            </w:r>
          </w:p>
        </w:tc>
        <w:tc>
          <w:tcPr>
            <w:tcW w:type="dxa" w:w="2448"/>
          </w:tcPr>
          <w:p>
            <w:r/>
            <w:r>
              <w:rPr>
                <w:sz w:val="19"/>
              </w:rPr>
              <w:t>Text (≤15-word verbatim quote allowed)</w:t>
            </w:r>
          </w:p>
        </w:tc>
        <w:tc>
          <w:tcPr>
            <w:tcW w:type="dxa" w:w="4464"/>
          </w:tcPr>
          <w:p>
            <w:r/>
            <w:r>
              <w:rPr>
                <w:sz w:val="19"/>
              </w:rPr>
              <w:t>What the policy says, per Section 9.6</w:t>
            </w:r>
          </w:p>
        </w:tc>
      </w:tr>
      <w:tr>
        <w:tc>
          <w:tcPr>
            <w:tcW w:type="dxa" w:w="2448"/>
          </w:tcPr>
          <w:p>
            <w:r/>
            <w:r>
              <w:rPr>
                <w:sz w:val="19"/>
              </w:rPr>
              <w:t>benchmark_text</w:t>
            </w:r>
          </w:p>
        </w:tc>
        <w:tc>
          <w:tcPr>
            <w:tcW w:type="dxa" w:w="2448"/>
          </w:tcPr>
          <w:p>
            <w:r/>
            <w:r>
              <w:rPr>
                <w:sz w:val="19"/>
              </w:rPr>
              <w:t>Text</w:t>
            </w:r>
          </w:p>
        </w:tc>
        <w:tc>
          <w:tcPr>
            <w:tcW w:type="dxa" w:w="4464"/>
          </w:tcPr>
          <w:p>
            <w:r/>
            <w:r>
              <w:rPr>
                <w:sz w:val="19"/>
              </w:rPr>
              <w:t>What best-in-class practice says</w:t>
            </w:r>
          </w:p>
        </w:tc>
      </w:tr>
      <w:tr>
        <w:tc>
          <w:tcPr>
            <w:tcW w:type="dxa" w:w="2448"/>
          </w:tcPr>
          <w:p>
            <w:r/>
            <w:r>
              <w:rPr>
                <w:sz w:val="19"/>
              </w:rPr>
              <w:t>benchmark_source_type</w:t>
            </w:r>
          </w:p>
        </w:tc>
        <w:tc>
          <w:tcPr>
            <w:tcW w:type="dxa" w:w="2448"/>
          </w:tcPr>
          <w:p>
            <w:r/>
            <w:r>
              <w:rPr>
                <w:sz w:val="19"/>
              </w:rPr>
              <w:t>Enum</w:t>
            </w:r>
          </w:p>
        </w:tc>
        <w:tc>
          <w:tcPr>
            <w:tcW w:type="dxa" w:w="4464"/>
          </w:tcPr>
          <w:p>
            <w:r/>
            <w:r>
              <w:rPr>
                <w:sz w:val="19"/>
              </w:rPr>
              <w:t>layer0_user_supplied / live_fetched / reference_file / regulatory_minimum</w:t>
            </w:r>
          </w:p>
        </w:tc>
      </w:tr>
      <w:tr>
        <w:tc>
          <w:tcPr>
            <w:tcW w:type="dxa" w:w="2448"/>
          </w:tcPr>
          <w:p>
            <w:r/>
            <w:r>
              <w:rPr>
                <w:sz w:val="19"/>
              </w:rPr>
              <w:t>gap_text</w:t>
            </w:r>
          </w:p>
        </w:tc>
        <w:tc>
          <w:tcPr>
            <w:tcW w:type="dxa" w:w="2448"/>
          </w:tcPr>
          <w:p>
            <w:r/>
            <w:r>
              <w:rPr>
                <w:sz w:val="19"/>
              </w:rPr>
              <w:t>Text</w:t>
            </w:r>
          </w:p>
        </w:tc>
        <w:tc>
          <w:tcPr>
            <w:tcW w:type="dxa" w:w="4464"/>
          </w:tcPr>
          <w:p>
            <w:r/>
            <w:r>
              <w:rPr>
                <w:sz w:val="19"/>
              </w:rPr>
              <w:t>Quantified gap statement, or null if data_missing</w:t>
            </w:r>
          </w:p>
        </w:tc>
      </w:tr>
      <w:tr>
        <w:tc>
          <w:tcPr>
            <w:tcW w:type="dxa" w:w="2448"/>
          </w:tcPr>
          <w:p>
            <w:r/>
            <w:r>
              <w:rPr>
                <w:sz w:val="19"/>
              </w:rPr>
              <w:t>risk_level</w:t>
            </w:r>
          </w:p>
        </w:tc>
        <w:tc>
          <w:tcPr>
            <w:tcW w:type="dxa" w:w="2448"/>
          </w:tcPr>
          <w:p>
            <w:r/>
            <w:r>
              <w:rPr>
                <w:sz w:val="19"/>
              </w:rPr>
              <w:t>Enum</w:t>
            </w:r>
          </w:p>
        </w:tc>
        <w:tc>
          <w:tcPr>
            <w:tcW w:type="dxa" w:w="4464"/>
          </w:tcPr>
          <w:p>
            <w:r/>
            <w:r>
              <w:rPr>
                <w:sz w:val="19"/>
              </w:rPr>
              <w:t>critical / high / medium / low</w:t>
            </w:r>
          </w:p>
        </w:tc>
      </w:tr>
      <w:tr>
        <w:tc>
          <w:tcPr>
            <w:tcW w:type="dxa" w:w="2448"/>
          </w:tcPr>
          <w:p>
            <w:r/>
            <w:r>
              <w:rPr>
                <w:sz w:val="19"/>
              </w:rPr>
              <w:t>risk_rationale</w:t>
            </w:r>
          </w:p>
        </w:tc>
        <w:tc>
          <w:tcPr>
            <w:tcW w:type="dxa" w:w="2448"/>
          </w:tcPr>
          <w:p>
            <w:r/>
            <w:r>
              <w:rPr>
                <w:sz w:val="19"/>
              </w:rPr>
              <w:t>Text</w:t>
            </w:r>
          </w:p>
        </w:tc>
        <w:tc>
          <w:tcPr>
            <w:tcW w:type="dxa" w:w="4464"/>
          </w:tcPr>
          <w:p>
            <w:r/>
            <w:r>
              <w:rPr>
                <w:sz w:val="19"/>
              </w:rPr>
              <w:t>Citing regulation by section number</w:t>
            </w:r>
          </w:p>
        </w:tc>
      </w:tr>
      <w:tr>
        <w:tc>
          <w:tcPr>
            <w:tcW w:type="dxa" w:w="2448"/>
          </w:tcPr>
          <w:p>
            <w:r/>
            <w:r>
              <w:rPr>
                <w:sz w:val="19"/>
              </w:rPr>
              <w:t>recommendation_text</w:t>
            </w:r>
          </w:p>
        </w:tc>
        <w:tc>
          <w:tcPr>
            <w:tcW w:type="dxa" w:w="2448"/>
          </w:tcPr>
          <w:p>
            <w:r/>
            <w:r>
              <w:rPr>
                <w:sz w:val="19"/>
              </w:rPr>
              <w:t>Text</w:t>
            </w:r>
          </w:p>
        </w:tc>
        <w:tc>
          <w:tcPr>
            <w:tcW w:type="dxa" w:w="4464"/>
          </w:tcPr>
          <w:p>
            <w:r/>
            <w:r>
              <w:rPr>
                <w:sz w:val="19"/>
              </w:rPr>
              <w:t>Including a drafted clause where applicable</w:t>
            </w:r>
          </w:p>
        </w:tc>
      </w:tr>
      <w:tr>
        <w:tc>
          <w:tcPr>
            <w:tcW w:type="dxa" w:w="2448"/>
          </w:tcPr>
          <w:p>
            <w:r/>
            <w:r>
              <w:rPr>
                <w:sz w:val="19"/>
              </w:rPr>
              <w:t>score</w:t>
            </w:r>
          </w:p>
        </w:tc>
        <w:tc>
          <w:tcPr>
            <w:tcW w:type="dxa" w:w="2448"/>
          </w:tcPr>
          <w:p>
            <w:r/>
            <w:r>
              <w:rPr>
                <w:sz w:val="19"/>
              </w:rPr>
              <w:t>Integer/Decimal</w:t>
            </w:r>
          </w:p>
        </w:tc>
        <w:tc>
          <w:tcPr>
            <w:tcW w:type="dxa" w:w="4464"/>
          </w:tcPr>
          <w:p>
            <w:r/>
            <w:r>
              <w:rPr>
                <w:sz w:val="19"/>
              </w:rPr>
              <w:t>Per scoring_rubric.md; null if data_missing</w:t>
            </w:r>
          </w:p>
        </w:tc>
      </w:tr>
      <w:tr>
        <w:tc>
          <w:tcPr>
            <w:tcW w:type="dxa" w:w="2448"/>
          </w:tcPr>
          <w:p>
            <w:r/>
            <w:r>
              <w:rPr>
                <w:sz w:val="19"/>
              </w:rPr>
              <w:t>citations</w:t>
            </w:r>
          </w:p>
        </w:tc>
        <w:tc>
          <w:tcPr>
            <w:tcW w:type="dxa" w:w="2448"/>
          </w:tcPr>
          <w:p>
            <w:r/>
            <w:r>
              <w:rPr>
                <w:sz w:val="19"/>
              </w:rPr>
              <w:t>1..N Citation records</w:t>
            </w:r>
          </w:p>
        </w:tc>
        <w:tc>
          <w:tcPr>
            <w:tcW w:type="dxa" w:w="4464"/>
          </w:tcPr>
          <w:p>
            <w:r/>
            <w:r>
              <w:rPr>
                <w:sz w:val="19"/>
              </w:rPr>
              <w:t>See below</w:t>
            </w:r>
          </w:p>
        </w:tc>
      </w:tr>
    </w:tbl>
    <w:p>
      <w:pPr>
        <w:spacing w:after="80"/>
      </w:pPr>
    </w:p>
    <w:p>
      <w:pPr>
        <w:pStyle w:val="Heading2"/>
      </w:pPr>
      <w:r>
        <w:t>10.4 Key Entity — Citation</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1B2A4A"/>
          </w:tcPr>
          <w:p>
            <w:r/>
            <w:r>
              <w:rPr>
                <w:b/>
                <w:color w:val="FFFFFF"/>
                <w:sz w:val="19"/>
              </w:rPr>
              <w:t>Field</w:t>
            </w:r>
          </w:p>
        </w:tc>
        <w:tc>
          <w:tcPr>
            <w:tcW w:type="dxa" w:w="2304"/>
            <w:shd w:val="clear" w:color="auto" w:fill="1B2A4A"/>
          </w:tcPr>
          <w:p>
            <w:r/>
            <w:r>
              <w:rPr>
                <w:b/>
                <w:color w:val="FFFFFF"/>
                <w:sz w:val="19"/>
              </w:rPr>
              <w:t>Type</w:t>
            </w:r>
          </w:p>
        </w:tc>
        <w:tc>
          <w:tcPr>
            <w:tcW w:type="dxa" w:w="4464"/>
            <w:shd w:val="clear" w:color="auto" w:fill="1B2A4A"/>
          </w:tcPr>
          <w:p>
            <w:r/>
            <w:r>
              <w:rPr>
                <w:b/>
                <w:color w:val="FFFFFF"/>
                <w:sz w:val="19"/>
              </w:rPr>
              <w:t>Description</w:t>
            </w:r>
          </w:p>
        </w:tc>
      </w:tr>
      <w:tr>
        <w:tc>
          <w:tcPr>
            <w:tcW w:type="dxa" w:w="2736"/>
          </w:tcPr>
          <w:p>
            <w:r/>
            <w:r>
              <w:rPr>
                <w:sz w:val="19"/>
              </w:rPr>
              <w:t>citation_type</w:t>
            </w:r>
          </w:p>
        </w:tc>
        <w:tc>
          <w:tcPr>
            <w:tcW w:type="dxa" w:w="2304"/>
          </w:tcPr>
          <w:p>
            <w:r/>
            <w:r>
              <w:rPr>
                <w:sz w:val="19"/>
              </w:rPr>
              <w:t>Enum</w:t>
            </w:r>
          </w:p>
        </w:tc>
        <w:tc>
          <w:tcPr>
            <w:tcW w:type="dxa" w:w="4464"/>
          </w:tcPr>
          <w:p>
            <w:r/>
            <w:r>
              <w:rPr>
                <w:sz w:val="19"/>
              </w:rPr>
              <w:t>regulatory / benchmark</w:t>
            </w:r>
          </w:p>
        </w:tc>
      </w:tr>
      <w:tr>
        <w:tc>
          <w:tcPr>
            <w:tcW w:type="dxa" w:w="2736"/>
          </w:tcPr>
          <w:p>
            <w:r/>
            <w:r>
              <w:rPr>
                <w:sz w:val="19"/>
              </w:rPr>
              <w:t>freshness_tag</w:t>
            </w:r>
          </w:p>
        </w:tc>
        <w:tc>
          <w:tcPr>
            <w:tcW w:type="dxa" w:w="2304"/>
          </w:tcPr>
          <w:p>
            <w:r/>
            <w:r>
              <w:rPr>
                <w:sz w:val="19"/>
              </w:rPr>
              <w:t>Enum</w:t>
            </w:r>
          </w:p>
        </w:tc>
        <w:tc>
          <w:tcPr>
            <w:tcW w:type="dxa" w:w="4464"/>
          </w:tcPr>
          <w:p>
            <w:r/>
            <w:r>
              <w:rPr>
                <w:sz w:val="19"/>
              </w:rPr>
              <w:t>live_verified (✅) / reference_file (⚠️) / data_missing (❌)</w:t>
            </w:r>
          </w:p>
        </w:tc>
      </w:tr>
      <w:tr>
        <w:tc>
          <w:tcPr>
            <w:tcW w:type="dxa" w:w="2736"/>
          </w:tcPr>
          <w:p>
            <w:r/>
            <w:r>
              <w:rPr>
                <w:sz w:val="19"/>
              </w:rPr>
              <w:t>source_label</w:t>
            </w:r>
          </w:p>
        </w:tc>
        <w:tc>
          <w:tcPr>
            <w:tcW w:type="dxa" w:w="2304"/>
          </w:tcPr>
          <w:p>
            <w:r/>
            <w:r>
              <w:rPr>
                <w:sz w:val="19"/>
              </w:rPr>
              <w:t>Text</w:t>
            </w:r>
          </w:p>
        </w:tc>
        <w:tc>
          <w:tcPr>
            <w:tcW w:type="dxa" w:w="4464"/>
          </w:tcPr>
          <w:p>
            <w:r/>
            <w:r>
              <w:rPr>
                <w:sz w:val="19"/>
              </w:rPr>
              <w:t>e.g., "IRC §62(c) and Treas. Reg. §1.62-2(c)(2)" or "GBTA 2024 Benchmark"</w:t>
            </w:r>
          </w:p>
        </w:tc>
      </w:tr>
      <w:tr>
        <w:tc>
          <w:tcPr>
            <w:tcW w:type="dxa" w:w="2736"/>
          </w:tcPr>
          <w:p>
            <w:r/>
            <w:r>
              <w:rPr>
                <w:sz w:val="19"/>
              </w:rPr>
              <w:t>source_url</w:t>
            </w:r>
          </w:p>
        </w:tc>
        <w:tc>
          <w:tcPr>
            <w:tcW w:type="dxa" w:w="2304"/>
          </w:tcPr>
          <w:p>
            <w:r/>
            <w:r>
              <w:rPr>
                <w:sz w:val="19"/>
              </w:rPr>
              <w:t>URL, nullable</w:t>
            </w:r>
          </w:p>
        </w:tc>
        <w:tc>
          <w:tcPr>
            <w:tcW w:type="dxa" w:w="4464"/>
          </w:tcPr>
          <w:p>
            <w:r/>
            <w:r>
              <w:rPr>
                <w:sz w:val="19"/>
              </w:rPr>
              <w:t>Populated when freshness_tag = live_verified</w:t>
            </w:r>
          </w:p>
        </w:tc>
      </w:tr>
      <w:tr>
        <w:tc>
          <w:tcPr>
            <w:tcW w:type="dxa" w:w="2736"/>
          </w:tcPr>
          <w:p>
            <w:r/>
            <w:r>
              <w:rPr>
                <w:sz w:val="19"/>
              </w:rPr>
              <w:t>reference_file_name</w:t>
            </w:r>
          </w:p>
        </w:tc>
        <w:tc>
          <w:tcPr>
            <w:tcW w:type="dxa" w:w="2304"/>
          </w:tcPr>
          <w:p>
            <w:r/>
            <w:r>
              <w:rPr>
                <w:sz w:val="19"/>
              </w:rPr>
              <w:t>Text, nullable</w:t>
            </w:r>
          </w:p>
        </w:tc>
        <w:tc>
          <w:tcPr>
            <w:tcW w:type="dxa" w:w="4464"/>
          </w:tcPr>
          <w:p>
            <w:r/>
            <w:r>
              <w:rPr>
                <w:sz w:val="19"/>
              </w:rPr>
              <w:t>Populated when freshness_tag = reference_file</w:t>
            </w:r>
          </w:p>
        </w:tc>
      </w:tr>
      <w:tr>
        <w:tc>
          <w:tcPr>
            <w:tcW w:type="dxa" w:w="2736"/>
          </w:tcPr>
          <w:p>
            <w:r/>
            <w:r>
              <w:rPr>
                <w:sz w:val="19"/>
              </w:rPr>
              <w:t>fetched_at</w:t>
            </w:r>
          </w:p>
        </w:tc>
        <w:tc>
          <w:tcPr>
            <w:tcW w:type="dxa" w:w="2304"/>
          </w:tcPr>
          <w:p>
            <w:r/>
            <w:r>
              <w:rPr>
                <w:sz w:val="19"/>
              </w:rPr>
              <w:t>Timestamp, nullable</w:t>
            </w:r>
          </w:p>
        </w:tc>
        <w:tc>
          <w:tcPr>
            <w:tcW w:type="dxa" w:w="4464"/>
          </w:tcPr>
          <w:p>
            <w:r/>
            <w:r>
              <w:rPr>
                <w:sz w:val="19"/>
              </w:rPr>
              <w:t>Populated when freshness_tag = live_verified</w:t>
            </w:r>
          </w:p>
        </w:tc>
      </w:tr>
    </w:tbl>
    <w:p>
      <w:pPr>
        <w:spacing w:after="80"/>
      </w:pPr>
    </w:p>
    <w:p>
      <w:pPr>
        <w:pStyle w:val="Heading2"/>
      </w:pPr>
      <w:r>
        <w:t>10.5 Key Entity — Deliverable</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1B2A4A"/>
          </w:tcPr>
          <w:p>
            <w:r/>
            <w:r>
              <w:rPr>
                <w:b/>
                <w:color w:val="FFFFFF"/>
                <w:sz w:val="19"/>
              </w:rPr>
              <w:t>Field</w:t>
            </w:r>
          </w:p>
        </w:tc>
        <w:tc>
          <w:tcPr>
            <w:tcW w:type="dxa" w:w="2016"/>
            <w:shd w:val="clear" w:color="auto" w:fill="1B2A4A"/>
          </w:tcPr>
          <w:p>
            <w:r/>
            <w:r>
              <w:rPr>
                <w:b/>
                <w:color w:val="FFFFFF"/>
                <w:sz w:val="19"/>
              </w:rPr>
              <w:t>Type</w:t>
            </w:r>
          </w:p>
        </w:tc>
        <w:tc>
          <w:tcPr>
            <w:tcW w:type="dxa" w:w="4608"/>
            <w:shd w:val="clear" w:color="auto" w:fill="1B2A4A"/>
          </w:tcPr>
          <w:p>
            <w:r/>
            <w:r>
              <w:rPr>
                <w:b/>
                <w:color w:val="FFFFFF"/>
                <w:sz w:val="19"/>
              </w:rPr>
              <w:t>Description</w:t>
            </w:r>
          </w:p>
        </w:tc>
      </w:tr>
      <w:tr>
        <w:tc>
          <w:tcPr>
            <w:tcW w:type="dxa" w:w="2880"/>
          </w:tcPr>
          <w:p>
            <w:r/>
            <w:r>
              <w:rPr>
                <w:sz w:val="19"/>
              </w:rPr>
              <w:t>engagement_id</w:t>
            </w:r>
          </w:p>
        </w:tc>
        <w:tc>
          <w:tcPr>
            <w:tcW w:type="dxa" w:w="2016"/>
          </w:tcPr>
          <w:p>
            <w:r/>
            <w:r>
              <w:rPr>
                <w:sz w:val="19"/>
              </w:rPr>
              <w:t>FK</w:t>
            </w:r>
          </w:p>
        </w:tc>
        <w:tc>
          <w:tcPr>
            <w:tcW w:type="dxa" w:w="4608"/>
          </w:tcPr>
          <w:p>
            <w:r/>
            <w:r>
              <w:rPr>
                <w:sz w:val="19"/>
              </w:rPr>
              <w:t>Parent engagement</w:t>
            </w:r>
          </w:p>
        </w:tc>
      </w:tr>
      <w:tr>
        <w:tc>
          <w:tcPr>
            <w:tcW w:type="dxa" w:w="2880"/>
          </w:tcPr>
          <w:p>
            <w:r/>
            <w:r>
              <w:rPr>
                <w:sz w:val="19"/>
              </w:rPr>
              <w:t>format</w:t>
            </w:r>
          </w:p>
        </w:tc>
        <w:tc>
          <w:tcPr>
            <w:tcW w:type="dxa" w:w="2016"/>
          </w:tcPr>
          <w:p>
            <w:r/>
            <w:r>
              <w:rPr>
                <w:sz w:val="19"/>
              </w:rPr>
              <w:t>Enum</w:t>
            </w:r>
          </w:p>
        </w:tc>
        <w:tc>
          <w:tcPr>
            <w:tcW w:type="dxa" w:w="4608"/>
          </w:tcPr>
          <w:p>
            <w:r/>
            <w:r>
              <w:rPr>
                <w:sz w:val="19"/>
              </w:rPr>
              <w:t>docx / pptx / xlsx / pdf</w:t>
            </w:r>
          </w:p>
        </w:tc>
      </w:tr>
      <w:tr>
        <w:tc>
          <w:tcPr>
            <w:tcW w:type="dxa" w:w="2880"/>
          </w:tcPr>
          <w:p>
            <w:r/>
            <w:r>
              <w:rPr>
                <w:sz w:val="19"/>
              </w:rPr>
              <w:t>storage_key</w:t>
            </w:r>
          </w:p>
        </w:tc>
        <w:tc>
          <w:tcPr>
            <w:tcW w:type="dxa" w:w="2016"/>
          </w:tcPr>
          <w:p>
            <w:r/>
            <w:r>
              <w:rPr>
                <w:sz w:val="19"/>
              </w:rPr>
              <w:t>Text</w:t>
            </w:r>
          </w:p>
        </w:tc>
        <w:tc>
          <w:tcPr>
            <w:tcW w:type="dxa" w:w="4608"/>
          </w:tcPr>
          <w:p>
            <w:r/>
            <w:r>
              <w:rPr>
                <w:sz w:val="19"/>
              </w:rPr>
              <w:t>Durable object storage reference</w:t>
            </w:r>
          </w:p>
        </w:tc>
      </w:tr>
      <w:tr>
        <w:tc>
          <w:tcPr>
            <w:tcW w:type="dxa" w:w="2880"/>
          </w:tcPr>
          <w:p>
            <w:r/>
            <w:r>
              <w:rPr>
                <w:sz w:val="19"/>
              </w:rPr>
              <w:t>generated_at</w:t>
            </w:r>
          </w:p>
        </w:tc>
        <w:tc>
          <w:tcPr>
            <w:tcW w:type="dxa" w:w="2016"/>
          </w:tcPr>
          <w:p>
            <w:r/>
            <w:r>
              <w:rPr>
                <w:sz w:val="19"/>
              </w:rPr>
              <w:t>Timestamp</w:t>
            </w:r>
          </w:p>
        </w:tc>
        <w:tc>
          <w:tcPr>
            <w:tcW w:type="dxa" w:w="4608"/>
          </w:tcPr>
          <w:p>
            <w:r/>
            <w:r>
              <w:rPr>
                <w:sz w:val="19"/>
              </w:rPr>
            </w:r>
          </w:p>
        </w:tc>
      </w:tr>
      <w:tr>
        <w:tc>
          <w:tcPr>
            <w:tcW w:type="dxa" w:w="2880"/>
          </w:tcPr>
          <w:p>
            <w:r/>
            <w:r>
              <w:rPr>
                <w:sz w:val="19"/>
              </w:rPr>
              <w:t>generated_by_user_id</w:t>
            </w:r>
          </w:p>
        </w:tc>
        <w:tc>
          <w:tcPr>
            <w:tcW w:type="dxa" w:w="2016"/>
          </w:tcPr>
          <w:p>
            <w:r/>
            <w:r>
              <w:rPr>
                <w:sz w:val="19"/>
              </w:rPr>
              <w:t>FK</w:t>
            </w:r>
          </w:p>
        </w:tc>
        <w:tc>
          <w:tcPr>
            <w:tcW w:type="dxa" w:w="4608"/>
          </w:tcPr>
          <w:p>
            <w:r/>
            <w:r>
              <w:rPr>
                <w:sz w:val="19"/>
              </w:rPr>
            </w:r>
          </w:p>
        </w:tc>
      </w:tr>
      <w:tr>
        <w:tc>
          <w:tcPr>
            <w:tcW w:type="dxa" w:w="2880"/>
          </w:tcPr>
          <w:p>
            <w:r/>
            <w:r>
              <w:rPr>
                <w:sz w:val="19"/>
              </w:rPr>
              <w:t>source_findings_version</w:t>
            </w:r>
          </w:p>
        </w:tc>
        <w:tc>
          <w:tcPr>
            <w:tcW w:type="dxa" w:w="2016"/>
          </w:tcPr>
          <w:p>
            <w:r/>
            <w:r>
              <w:rPr>
                <w:sz w:val="19"/>
              </w:rPr>
              <w:t>Integer</w:t>
            </w:r>
          </w:p>
        </w:tc>
        <w:tc>
          <w:tcPr>
            <w:tcW w:type="dxa" w:w="4608"/>
          </w:tcPr>
          <w:p>
            <w:r/>
            <w:r>
              <w:rPr>
                <w:sz w:val="19"/>
              </w:rPr>
              <w:t>Which version of the engagement's findings produced this file, enabling regeneration-in-new-format without re-analysis</w:t>
            </w:r>
          </w:p>
        </w:tc>
      </w:tr>
    </w:tbl>
    <w:p>
      <w:pPr>
        <w:spacing w:after="80"/>
      </w:pPr>
    </w:p>
    <w:p>
      <w:r>
        <w:br w:type="page"/>
      </w:r>
    </w:p>
    <w:p>
      <w:pPr>
        <w:pStyle w:val="Heading1"/>
      </w:pPr>
      <w:r>
        <w:t>11. API Specification</w:t>
      </w:r>
    </w:p>
    <w:p>
      <w:pPr>
        <w:spacing w:after="120"/>
      </w:pPr>
      <w:r>
        <w:rPr>
          <w:b w:val="0"/>
          <w:i w:val="0"/>
        </w:rPr>
        <w:t>The following endpoint list is the minimum contract needed to support the UI flows in Section 12. Request/response bodies are illustrative JSON shapes, not a formal OpenAPI document; the engineering team should formalize these into an OpenAPI/Swagger spec during technical design, using these as the required field baseline.</w:t>
      </w:r>
    </w:p>
    <w:p>
      <w:pPr>
        <w:pStyle w:val="Heading2"/>
      </w:pPr>
      <w:r>
        <w:t>11.1 Engagement Lifecycle</w:t>
      </w:r>
    </w:p>
    <w:tbl>
      <w:tblPr>
        <w:tblStyle w:val="TableGrid"/>
        <w:tblW w:type="auto" w:w="0"/>
        <w:jc w:val="center"/>
        <w:tblLook w:firstColumn="1" w:firstRow="1" w:lastColumn="0" w:lastRow="0" w:noHBand="0" w:noVBand="1" w:val="04A0"/>
      </w:tblPr>
      <w:tblGrid>
        <w:gridCol w:w="4824"/>
        <w:gridCol w:w="4824"/>
      </w:tblGrid>
      <w:tr>
        <w:tc>
          <w:tcPr>
            <w:tcW w:type="dxa" w:w="4896"/>
            <w:shd w:val="clear" w:color="auto" w:fill="1B2A4A"/>
          </w:tcPr>
          <w:p>
            <w:r/>
            <w:r>
              <w:rPr>
                <w:b/>
                <w:color w:val="FFFFFF"/>
                <w:sz w:val="19"/>
              </w:rPr>
              <w:t>Method &amp; Path</w:t>
            </w:r>
          </w:p>
        </w:tc>
        <w:tc>
          <w:tcPr>
            <w:tcW w:type="dxa" w:w="4464"/>
            <w:shd w:val="clear" w:color="auto" w:fill="1B2A4A"/>
          </w:tcPr>
          <w:p>
            <w:r/>
            <w:r>
              <w:rPr>
                <w:b/>
                <w:color w:val="FFFFFF"/>
                <w:sz w:val="19"/>
              </w:rPr>
              <w:t>Purpose</w:t>
            </w:r>
          </w:p>
        </w:tc>
      </w:tr>
      <w:tr>
        <w:tc>
          <w:tcPr>
            <w:tcW w:type="dxa" w:w="4896"/>
          </w:tcPr>
          <w:p>
            <w:r/>
            <w:r>
              <w:rPr>
                <w:sz w:val="19"/>
              </w:rPr>
              <w:t>POST /api/engagements</w:t>
            </w:r>
          </w:p>
        </w:tc>
        <w:tc>
          <w:tcPr>
            <w:tcW w:type="dxa" w:w="4464"/>
          </w:tcPr>
          <w:p>
            <w:r/>
            <w:r>
              <w:rPr>
                <w:sz w:val="19"/>
              </w:rPr>
              <w:t>Create a new DRAFT engagement for the current user/tenant</w:t>
            </w:r>
          </w:p>
        </w:tc>
      </w:tr>
      <w:tr>
        <w:tc>
          <w:tcPr>
            <w:tcW w:type="dxa" w:w="4896"/>
          </w:tcPr>
          <w:p>
            <w:r/>
            <w:r>
              <w:rPr>
                <w:sz w:val="19"/>
              </w:rPr>
              <w:t>PATCH /api/engagements/{id}/intake</w:t>
            </w:r>
          </w:p>
        </w:tc>
        <w:tc>
          <w:tcPr>
            <w:tcW w:type="dxa" w:w="4464"/>
          </w:tcPr>
          <w:p>
            <w:r/>
            <w:r>
              <w:rPr>
                <w:sz w:val="19"/>
              </w:rPr>
              <w:t>Submit or update Phase 0 intake answers</w:t>
            </w:r>
          </w:p>
        </w:tc>
      </w:tr>
      <w:tr>
        <w:tc>
          <w:tcPr>
            <w:tcW w:type="dxa" w:w="4896"/>
          </w:tcPr>
          <w:p>
            <w:r/>
            <w:r>
              <w:rPr>
                <w:sz w:val="19"/>
              </w:rPr>
              <w:t>POST /api/engagements/{id}/files</w:t>
            </w:r>
          </w:p>
        </w:tc>
        <w:tc>
          <w:tcPr>
            <w:tcW w:type="dxa" w:w="4464"/>
          </w:tcPr>
          <w:p>
            <w:r/>
            <w:r>
              <w:rPr>
                <w:sz w:val="19"/>
              </w:rPr>
              <w:t>Upload a source file (multipart); returns SourceFile with auto-suggested role</w:t>
            </w:r>
          </w:p>
        </w:tc>
      </w:tr>
      <w:tr>
        <w:tc>
          <w:tcPr>
            <w:tcW w:type="dxa" w:w="4896"/>
          </w:tcPr>
          <w:p>
            <w:r/>
            <w:r>
              <w:rPr>
                <w:sz w:val="19"/>
              </w:rPr>
              <w:t>PATCH /api/engagements/{id}/files/{fileId}</w:t>
            </w:r>
          </w:p>
        </w:tc>
        <w:tc>
          <w:tcPr>
            <w:tcW w:type="dxa" w:w="4464"/>
          </w:tcPr>
          <w:p>
            <w:r/>
            <w:r>
              <w:rPr>
                <w:sz w:val="19"/>
              </w:rPr>
              <w:t>Confirm/override a file's triaged role (Phase 0A)</w:t>
            </w:r>
          </w:p>
        </w:tc>
      </w:tr>
      <w:tr>
        <w:tc>
          <w:tcPr>
            <w:tcW w:type="dxa" w:w="4896"/>
          </w:tcPr>
          <w:p>
            <w:r/>
            <w:r>
              <w:rPr>
                <w:sz w:val="19"/>
              </w:rPr>
              <w:t>POST /api/engagements/{id}/submit</w:t>
            </w:r>
          </w:p>
        </w:tc>
        <w:tc>
          <w:tcPr>
            <w:tcW w:type="dxa" w:w="4464"/>
          </w:tcPr>
          <w:p>
            <w:r/>
            <w:r>
              <w:rPr>
                <w:sz w:val="19"/>
              </w:rPr>
              <w:t>Transition DRAFT/TRIAGE_PENDING → QUEUED and start orchestration</w:t>
            </w:r>
          </w:p>
        </w:tc>
      </w:tr>
      <w:tr>
        <w:tc>
          <w:tcPr>
            <w:tcW w:type="dxa" w:w="4896"/>
          </w:tcPr>
          <w:p>
            <w:r/>
            <w:r>
              <w:rPr>
                <w:sz w:val="19"/>
              </w:rPr>
              <w:t>GET /api/engagements/{id}</w:t>
            </w:r>
          </w:p>
        </w:tc>
        <w:tc>
          <w:tcPr>
            <w:tcW w:type="dxa" w:w="4464"/>
          </w:tcPr>
          <w:p>
            <w:r/>
            <w:r>
              <w:rPr>
                <w:sz w:val="19"/>
              </w:rPr>
              <w:t>Fetch full engagement state, current phase, and progress detail</w:t>
            </w:r>
          </w:p>
        </w:tc>
      </w:tr>
      <w:tr>
        <w:tc>
          <w:tcPr>
            <w:tcW w:type="dxa" w:w="4896"/>
          </w:tcPr>
          <w:p>
            <w:r/>
            <w:r>
              <w:rPr>
                <w:sz w:val="19"/>
              </w:rPr>
              <w:t>GET /api/engagements/{id}/events (SSE/WebSocket)</w:t>
            </w:r>
          </w:p>
        </w:tc>
        <w:tc>
          <w:tcPr>
            <w:tcW w:type="dxa" w:w="4464"/>
          </w:tcPr>
          <w:p>
            <w:r/>
            <w:r>
              <w:rPr>
                <w:sz w:val="19"/>
              </w:rPr>
              <w:t>Stream real-time phase/status updates for the progress UI</w:t>
            </w:r>
          </w:p>
        </w:tc>
      </w:tr>
      <w:tr>
        <w:tc>
          <w:tcPr>
            <w:tcW w:type="dxa" w:w="4896"/>
          </w:tcPr>
          <w:p>
            <w:r/>
            <w:r>
              <w:rPr>
                <w:sz w:val="19"/>
              </w:rPr>
              <w:t>POST /api/engagements/{id}/clarifications</w:t>
            </w:r>
          </w:p>
        </w:tc>
        <w:tc>
          <w:tcPr>
            <w:tcW w:type="dxa" w:w="4464"/>
          </w:tcPr>
          <w:p>
            <w:r/>
            <w:r>
              <w:rPr>
                <w:sz w:val="19"/>
              </w:rPr>
              <w:t>Submit answers when engagement is AWAITING_CLARIFICATION</w:t>
            </w:r>
          </w:p>
        </w:tc>
      </w:tr>
      <w:tr>
        <w:tc>
          <w:tcPr>
            <w:tcW w:type="dxa" w:w="4896"/>
          </w:tcPr>
          <w:p>
            <w:r/>
            <w:r>
              <w:rPr>
                <w:sz w:val="19"/>
              </w:rPr>
              <w:t>GET /api/engagements/{id}/findings</w:t>
            </w:r>
          </w:p>
        </w:tc>
        <w:tc>
          <w:tcPr>
            <w:tcW w:type="dxa" w:w="4464"/>
          </w:tcPr>
          <w:p>
            <w:r/>
            <w:r>
              <w:rPr>
                <w:sz w:val="19"/>
              </w:rPr>
              <w:t>Fetch the 14 DimensionFinding records once ANALYZING completes</w:t>
            </w:r>
          </w:p>
        </w:tc>
      </w:tr>
      <w:tr>
        <w:tc>
          <w:tcPr>
            <w:tcW w:type="dxa" w:w="4896"/>
          </w:tcPr>
          <w:p>
            <w:r/>
            <w:r>
              <w:rPr>
                <w:sz w:val="19"/>
              </w:rPr>
              <w:t>GET /api/engagements/{id}/summary</w:t>
            </w:r>
          </w:p>
        </w:tc>
        <w:tc>
          <w:tcPr>
            <w:tcW w:type="dxa" w:w="4464"/>
          </w:tcPr>
          <w:p>
            <w:r/>
            <w:r>
              <w:rPr>
                <w:sz w:val="19"/>
              </w:rPr>
              <w:t>Fetch the SynthesisSummary (executive dashboard data)</w:t>
            </w:r>
          </w:p>
        </w:tc>
      </w:tr>
      <w:tr>
        <w:tc>
          <w:tcPr>
            <w:tcW w:type="dxa" w:w="4896"/>
          </w:tcPr>
          <w:p>
            <w:r/>
            <w:r>
              <w:rPr>
                <w:sz w:val="19"/>
              </w:rPr>
              <w:t>POST /api/engagements/{id}/deliverables</w:t>
            </w:r>
          </w:p>
        </w:tc>
        <w:tc>
          <w:tcPr>
            <w:tcW w:type="dxa" w:w="4464"/>
          </w:tcPr>
          <w:p>
            <w:r/>
            <w:r>
              <w:rPr>
                <w:sz w:val="19"/>
              </w:rPr>
              <w:t>Request generation of a deliverable in a given format</w:t>
            </w:r>
          </w:p>
        </w:tc>
      </w:tr>
      <w:tr>
        <w:tc>
          <w:tcPr>
            <w:tcW w:type="dxa" w:w="4896"/>
          </w:tcPr>
          <w:p>
            <w:r/>
            <w:r>
              <w:rPr>
                <w:sz w:val="19"/>
              </w:rPr>
              <w:t>GET /api/engagements/{id}/deliverables</w:t>
            </w:r>
          </w:p>
        </w:tc>
        <w:tc>
          <w:tcPr>
            <w:tcW w:type="dxa" w:w="4464"/>
          </w:tcPr>
          <w:p>
            <w:r/>
            <w:r>
              <w:rPr>
                <w:sz w:val="19"/>
              </w:rPr>
              <w:t>List all generated deliverables with download links</w:t>
            </w:r>
          </w:p>
        </w:tc>
      </w:tr>
      <w:tr>
        <w:tc>
          <w:tcPr>
            <w:tcW w:type="dxa" w:w="4896"/>
          </w:tcPr>
          <w:p>
            <w:r/>
            <w:r>
              <w:rPr>
                <w:sz w:val="19"/>
              </w:rPr>
              <w:t>GET /api/engagements</w:t>
            </w:r>
          </w:p>
        </w:tc>
        <w:tc>
          <w:tcPr>
            <w:tcW w:type="dxa" w:w="4464"/>
          </w:tcPr>
          <w:p>
            <w:r/>
            <w:r>
              <w:rPr>
                <w:sz w:val="19"/>
              </w:rPr>
              <w:t>List engagements for the current user/tenant (dashboard/history view)</w:t>
            </w:r>
          </w:p>
        </w:tc>
      </w:tr>
      <w:tr>
        <w:tc>
          <w:tcPr>
            <w:tcW w:type="dxa" w:w="4896"/>
          </w:tcPr>
          <w:p>
            <w:r/>
            <w:r>
              <w:rPr>
                <w:sz w:val="19"/>
              </w:rPr>
              <w:t>POST /api/engagements/{id}/clone</w:t>
            </w:r>
          </w:p>
        </w:tc>
        <w:tc>
          <w:tcPr>
            <w:tcW w:type="dxa" w:w="4464"/>
          </w:tcPr>
          <w:p>
            <w:r/>
            <w:r>
              <w:rPr>
                <w:sz w:val="19"/>
              </w:rPr>
              <w:t>Clone an engagement's source files into a new engagement under a different mode</w:t>
            </w:r>
          </w:p>
        </w:tc>
      </w:tr>
    </w:tbl>
    <w:p>
      <w:pPr>
        <w:spacing w:after="80"/>
      </w:pPr>
    </w:p>
    <w:p>
      <w:pPr>
        <w:pStyle w:val="Heading2"/>
      </w:pPr>
      <w:r>
        <w:t>11.2 Sample Payload — Submit Intake</w:t>
      </w:r>
    </w:p>
    <w:p>
      <w:pPr>
        <w:spacing w:after="120"/>
      </w:pPr>
      <w:r>
        <w:rPr>
          <w:b w:val="0"/>
          <w:i w:val="0"/>
        </w:rPr>
        <w:t>PATCH /api/engagements/{id}/intake</w:t>
      </w:r>
    </w:p>
    <w:p>
      <w:pPr>
        <w:ind w:left="432"/>
      </w:pPr>
      <w:r>
        <w:rPr>
          <w:rFonts w:ascii="Consolas" w:hAnsi="Consolas"/>
          <w:sz w:val="18"/>
        </w:rPr>
        <w:t>{</w:t>
        <w:br/>
        <w:t xml:space="preserve">  "mode": "gap_analysis",</w:t>
        <w:br/>
        <w:t xml:space="preserve">  "company_profile": {</w:t>
        <w:br/>
        <w:t xml:space="preserve">    "headcount_band": "2000_20000",</w:t>
        <w:br/>
        <w:t xml:space="preserve">    "industry": "financial_services",</w:t>
        <w:br/>
        <w:t xml:space="preserve">    "maturity_stage": "established"</w:t>
        <w:br/>
        <w:t xml:space="preserve">  },</w:t>
        <w:br/>
        <w:t xml:space="preserve">  "regions_in_scope": ["US", "EMEA"],</w:t>
        <w:br/>
        <w:t xml:space="preserve">  "audience": "internal_audit",</w:t>
        <w:br/>
        <w:t xml:space="preserve">  "output_format": "pdf"</w:t>
        <w:br/>
        <w:t>}</w:t>
      </w:r>
    </w:p>
    <w:p>
      <w:pPr>
        <w:pStyle w:val="Heading2"/>
      </w:pPr>
      <w:r>
        <w:t>11.3 Sample Payload — Dimension Finding (response)</w:t>
      </w:r>
    </w:p>
    <w:p>
      <w:pPr>
        <w:ind w:left="432"/>
      </w:pPr>
      <w:r>
        <w:rPr>
          <w:rFonts w:ascii="Consolas" w:hAnsi="Consolas"/>
          <w:sz w:val="17"/>
        </w:rPr>
        <w:t>{</w:t>
        <w:br/>
        <w:t xml:space="preserve">  "dimension_key": "meals_and_per_diems",</w:t>
        <w:br/>
        <w:t xml:space="preserve">  "status": "vague",</w:t>
        <w:br/>
        <w:t xml:space="preserve">  "current_state": "\"reasonable meal expenses will be reimbursed\"",</w:t>
        <w:br/>
        <w:t xml:space="preserve">  "benchmark_text": "GSA CONUS standard per diem",</w:t>
        <w:br/>
        <w:t xml:space="preserve">  "benchmark_source_type": "live_fetched",</w:t>
        <w:br/>
        <w:t xml:space="preserve">  "gap_text": "No fixed per-diem cap vs GSA CONUS $79/day \u2014 exposes company to inconsistent reimbursement and audit risk",</w:t>
        <w:br/>
        <w:t xml:space="preserve">  "risk_level": "high",</w:t>
        <w:br/>
        <w:t xml:space="preserve">  "risk_rationale": "IRC \u00a762(c) and Treas. Reg. \u00a71.62-2(c)(2) require a defined accountable-plan expense standard",</w:t>
        <w:br/>
        <w:t xml:space="preserve">  "recommendation_text": "Adopt GSA CONUS per-diem tables by locality; draft clause: ...",</w:t>
        <w:br/>
        <w:t xml:space="preserve">  "score": 6,</w:t>
        <w:br/>
        <w:t xml:space="preserve">  "citations": [</w:t>
        <w:br/>
        <w:t xml:space="preserve">    {</w:t>
        <w:br/>
        <w:t xml:space="preserve">      "citation_type": "regulatory",</w:t>
        <w:br/>
        <w:t xml:space="preserve">      "freshness_tag": "live_verified",</w:t>
        <w:br/>
        <w:t xml:space="preserve">      "source_label": "GSA CONUS per diem, FY2026",</w:t>
        <w:br/>
        <w:t xml:space="preserve">      "source_url": "https://www.gsa.gov/...",</w:t>
        <w:br/>
        <w:t xml:space="preserve">      "fetched_at": "2026-07-03T14:02:00Z"</w:t>
        <w:br/>
        <w:t xml:space="preserve">    }</w:t>
        <w:br/>
        <w:t xml:space="preserve">  ]</w:t>
        <w:br/>
        <w:t>}</w:t>
      </w:r>
    </w:p>
    <w:p>
      <w:pPr>
        <w:pStyle w:val="Heading2"/>
      </w:pPr>
      <w:r>
        <w:t>11.4 Tool Contracts (Backend ↔ Claude API)</w:t>
      </w:r>
    </w:p>
    <w:p>
      <w:pPr>
        <w:spacing w:after="120"/>
      </w:pPr>
      <w:r>
        <w:rPr>
          <w:b w:val="0"/>
          <w:i w:val="0"/>
        </w:rPr>
        <w:t>These two custom tools are the load-bearing integration surface described in Section 8.2. They must be implemented exactly as specified so the underlying PolicyIQ skill can run unmodified.</w:t>
      </w:r>
    </w:p>
    <w:p>
      <w:pPr>
        <w:pStyle w:val="Heading3"/>
      </w:pPr>
      <w:r>
        <w:t>11.4.1 ask_user_input_v0</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1B2A4A"/>
          </w:tcPr>
          <w:p>
            <w:r/>
            <w:r>
              <w:rPr>
                <w:b/>
                <w:color w:val="FFFFFF"/>
                <w:sz w:val="19"/>
              </w:rPr>
              <w:t>Field</w:t>
            </w:r>
          </w:p>
        </w:tc>
        <w:tc>
          <w:tcPr>
            <w:tcW w:type="dxa" w:w="2160"/>
            <w:shd w:val="clear" w:color="auto" w:fill="1B2A4A"/>
          </w:tcPr>
          <w:p>
            <w:r/>
            <w:r>
              <w:rPr>
                <w:b/>
                <w:color w:val="FFFFFF"/>
                <w:sz w:val="19"/>
              </w:rPr>
              <w:t>Direction</w:t>
            </w:r>
          </w:p>
        </w:tc>
        <w:tc>
          <w:tcPr>
            <w:tcW w:type="dxa" w:w="4752"/>
            <w:shd w:val="clear" w:color="auto" w:fill="1B2A4A"/>
          </w:tcPr>
          <w:p>
            <w:r/>
            <w:r>
              <w:rPr>
                <w:b/>
                <w:color w:val="FFFFFF"/>
                <w:sz w:val="19"/>
              </w:rPr>
              <w:t>Description</w:t>
            </w:r>
          </w:p>
        </w:tc>
      </w:tr>
      <w:tr>
        <w:tc>
          <w:tcPr>
            <w:tcW w:type="dxa" w:w="2160"/>
          </w:tcPr>
          <w:p>
            <w:r/>
            <w:r>
              <w:rPr>
                <w:sz w:val="19"/>
              </w:rPr>
              <w:t>questions[]</w:t>
            </w:r>
          </w:p>
        </w:tc>
        <w:tc>
          <w:tcPr>
            <w:tcW w:type="dxa" w:w="2160"/>
          </w:tcPr>
          <w:p>
            <w:r/>
            <w:r>
              <w:rPr>
                <w:sz w:val="19"/>
              </w:rPr>
              <w:t>Model → Backend</w:t>
            </w:r>
          </w:p>
        </w:tc>
        <w:tc>
          <w:tcPr>
            <w:tcW w:type="dxa" w:w="4752"/>
          </w:tcPr>
          <w:p>
            <w:r/>
            <w:r>
              <w:rPr>
                <w:sz w:val="19"/>
              </w:rPr>
              <w:t>Array of {id, prompt, type, options[]} — rendered as a dynamic form</w:t>
            </w:r>
          </w:p>
        </w:tc>
      </w:tr>
      <w:tr>
        <w:tc>
          <w:tcPr>
            <w:tcW w:type="dxa" w:w="2160"/>
          </w:tcPr>
          <w:p>
            <w:r/>
            <w:r>
              <w:rPr>
                <w:sz w:val="19"/>
              </w:rPr>
              <w:t>context_note</w:t>
            </w:r>
          </w:p>
        </w:tc>
        <w:tc>
          <w:tcPr>
            <w:tcW w:type="dxa" w:w="2160"/>
          </w:tcPr>
          <w:p>
            <w:r/>
            <w:r>
              <w:rPr>
                <w:sz w:val="19"/>
              </w:rPr>
              <w:t>Model → Backend</w:t>
            </w:r>
          </w:p>
        </w:tc>
        <w:tc>
          <w:tcPr>
            <w:tcW w:type="dxa" w:w="4752"/>
          </w:tcPr>
          <w:p>
            <w:r/>
            <w:r>
              <w:rPr>
                <w:sz w:val="19"/>
              </w:rPr>
              <w:t>Optional text shown above the form (e.g., "Confirming what I understood so far")</w:t>
            </w:r>
          </w:p>
        </w:tc>
      </w:tr>
      <w:tr>
        <w:tc>
          <w:tcPr>
            <w:tcW w:type="dxa" w:w="2160"/>
          </w:tcPr>
          <w:p>
            <w:r/>
            <w:r>
              <w:rPr>
                <w:sz w:val="19"/>
              </w:rPr>
              <w:t>answers[]</w:t>
            </w:r>
          </w:p>
        </w:tc>
        <w:tc>
          <w:tcPr>
            <w:tcW w:type="dxa" w:w="2160"/>
          </w:tcPr>
          <w:p>
            <w:r/>
            <w:r>
              <w:rPr>
                <w:sz w:val="19"/>
              </w:rPr>
              <w:t>Backend → Model</w:t>
            </w:r>
          </w:p>
        </w:tc>
        <w:tc>
          <w:tcPr>
            <w:tcW w:type="dxa" w:w="4752"/>
          </w:tcPr>
          <w:p>
            <w:r/>
            <w:r>
              <w:rPr>
                <w:sz w:val="19"/>
              </w:rPr>
              <w:t>Array of {id, value} once the user submits the rendered form</w:t>
            </w:r>
          </w:p>
        </w:tc>
      </w:tr>
    </w:tbl>
    <w:p>
      <w:pPr>
        <w:spacing w:after="80"/>
      </w:pPr>
    </w:p>
    <w:p>
      <w:pPr>
        <w:spacing w:after="160"/>
        <w:ind w:left="288"/>
      </w:pPr>
      <w:r>
        <w:rPr>
          <w:b/>
          <w:i/>
          <w:color w:val="2E5C8A"/>
        </w:rPr>
        <w:t xml:space="preserve">Note: </w:t>
      </w:r>
      <w:r>
        <w:rPr>
          <w:i/>
          <w:color w:val="555555"/>
        </w:rPr>
        <w:t>This tool call is what transitions an engagement into AWAITING_CLARIFICATION mid-analysis (e.g., a DATA MISSING dimension), and it is also the mechanism recommended for implementing the Phase 0 intake wizard itself — the first model turn of every engagement should be expected to call this tool.</w:t>
      </w:r>
    </w:p>
    <w:p>
      <w:pPr>
        <w:pStyle w:val="Heading3"/>
      </w:pPr>
      <w:r>
        <w:t>11.4.2 deliver_output</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1B2A4A"/>
          </w:tcPr>
          <w:p>
            <w:r/>
            <w:r>
              <w:rPr>
                <w:b/>
                <w:color w:val="FFFFFF"/>
                <w:sz w:val="19"/>
              </w:rPr>
              <w:t>Field</w:t>
            </w:r>
          </w:p>
        </w:tc>
        <w:tc>
          <w:tcPr>
            <w:tcW w:type="dxa" w:w="2160"/>
            <w:shd w:val="clear" w:color="auto" w:fill="1B2A4A"/>
          </w:tcPr>
          <w:p>
            <w:r/>
            <w:r>
              <w:rPr>
                <w:b/>
                <w:color w:val="FFFFFF"/>
                <w:sz w:val="19"/>
              </w:rPr>
              <w:t>Direction</w:t>
            </w:r>
          </w:p>
        </w:tc>
        <w:tc>
          <w:tcPr>
            <w:tcW w:type="dxa" w:w="4752"/>
            <w:shd w:val="clear" w:color="auto" w:fill="1B2A4A"/>
          </w:tcPr>
          <w:p>
            <w:r/>
            <w:r>
              <w:rPr>
                <w:b/>
                <w:color w:val="FFFFFF"/>
                <w:sz w:val="19"/>
              </w:rPr>
              <w:t>Description</w:t>
            </w:r>
          </w:p>
        </w:tc>
      </w:tr>
      <w:tr>
        <w:tc>
          <w:tcPr>
            <w:tcW w:type="dxa" w:w="2160"/>
          </w:tcPr>
          <w:p>
            <w:r/>
            <w:r>
              <w:rPr>
                <w:sz w:val="19"/>
              </w:rPr>
              <w:t>file_refs[]</w:t>
            </w:r>
          </w:p>
        </w:tc>
        <w:tc>
          <w:tcPr>
            <w:tcW w:type="dxa" w:w="2160"/>
          </w:tcPr>
          <w:p>
            <w:r/>
            <w:r>
              <w:rPr>
                <w:sz w:val="19"/>
              </w:rPr>
              <w:t>Model → Backend</w:t>
            </w:r>
          </w:p>
        </w:tc>
        <w:tc>
          <w:tcPr>
            <w:tcW w:type="dxa" w:w="4752"/>
          </w:tcPr>
          <w:p>
            <w:r/>
            <w:r>
              <w:rPr>
                <w:sz w:val="19"/>
              </w:rPr>
              <w:t>Sandbox file paths under /mnt/user-data/outputs produced by Phase 5</w:t>
            </w:r>
          </w:p>
        </w:tc>
      </w:tr>
      <w:tr>
        <w:tc>
          <w:tcPr>
            <w:tcW w:type="dxa" w:w="2160"/>
          </w:tcPr>
          <w:p>
            <w:r/>
            <w:r>
              <w:rPr>
                <w:sz w:val="19"/>
              </w:rPr>
              <w:t>format</w:t>
            </w:r>
          </w:p>
        </w:tc>
        <w:tc>
          <w:tcPr>
            <w:tcW w:type="dxa" w:w="2160"/>
          </w:tcPr>
          <w:p>
            <w:r/>
            <w:r>
              <w:rPr>
                <w:sz w:val="19"/>
              </w:rPr>
              <w:t>Model → Backend</w:t>
            </w:r>
          </w:p>
        </w:tc>
        <w:tc>
          <w:tcPr>
            <w:tcW w:type="dxa" w:w="4752"/>
          </w:tcPr>
          <w:p>
            <w:r/>
            <w:r>
              <w:rPr>
                <w:sz w:val="19"/>
              </w:rPr>
              <w:t>docx / pptx / xlsx / pdf</w:t>
            </w:r>
          </w:p>
        </w:tc>
      </w:tr>
      <w:tr>
        <w:tc>
          <w:tcPr>
            <w:tcW w:type="dxa" w:w="2160"/>
          </w:tcPr>
          <w:p>
            <w:r/>
            <w:r>
              <w:rPr>
                <w:sz w:val="19"/>
              </w:rPr>
              <w:t>manifest</w:t>
            </w:r>
          </w:p>
        </w:tc>
        <w:tc>
          <w:tcPr>
            <w:tcW w:type="dxa" w:w="2160"/>
          </w:tcPr>
          <w:p>
            <w:r/>
            <w:r>
              <w:rPr>
                <w:sz w:val="19"/>
              </w:rPr>
              <w:t>Model → Backend</w:t>
            </w:r>
          </w:p>
        </w:tc>
        <w:tc>
          <w:tcPr>
            <w:tcW w:type="dxa" w:w="4752"/>
          </w:tcPr>
          <w:p>
            <w:r/>
            <w:r>
              <w:rPr>
                <w:sz w:val="19"/>
              </w:rPr>
              <w:t>Summary metadata (title, page/slide/tab count) for the download center UI</w:t>
            </w:r>
          </w:p>
        </w:tc>
      </w:tr>
      <w:tr>
        <w:tc>
          <w:tcPr>
            <w:tcW w:type="dxa" w:w="2160"/>
          </w:tcPr>
          <w:p>
            <w:r/>
            <w:r>
              <w:rPr>
                <w:sz w:val="19"/>
              </w:rPr>
              <w:t>ack</w:t>
            </w:r>
          </w:p>
        </w:tc>
        <w:tc>
          <w:tcPr>
            <w:tcW w:type="dxa" w:w="2160"/>
          </w:tcPr>
          <w:p>
            <w:r/>
            <w:r>
              <w:rPr>
                <w:sz w:val="19"/>
              </w:rPr>
              <w:t>Backend → Model</w:t>
            </w:r>
          </w:p>
        </w:tc>
        <w:tc>
          <w:tcPr>
            <w:tcW w:type="dxa" w:w="4752"/>
          </w:tcPr>
          <w:p>
            <w:r/>
            <w:r>
              <w:rPr>
                <w:sz w:val="19"/>
              </w:rPr>
              <w:t>Confirmation that files were persisted to Output Storage Service</w:t>
            </w:r>
          </w:p>
        </w:tc>
      </w:tr>
    </w:tbl>
    <w:p>
      <w:pPr>
        <w:spacing w:after="80"/>
      </w:pPr>
    </w:p>
    <w:p>
      <w:r>
        <w:br w:type="page"/>
      </w:r>
    </w:p>
    <w:p>
      <w:pPr>
        <w:pStyle w:val="Heading1"/>
      </w:pPr>
      <w:r>
        <w:t>12. UI/UX Requirements — Screen by Screen</w:t>
      </w:r>
    </w:p>
    <w:p>
      <w:pPr>
        <w:spacing w:after="120"/>
      </w:pPr>
      <w:r>
        <w:rPr>
          <w:b w:val="0"/>
          <w:i w:val="0"/>
        </w:rPr>
        <w:t>This section enumerates every screen the front-end team must build, in user-flow order, with the minimum required elements on each. Visual design system, exact spacing, and componentry are left to the front-end team's design standards, but every listed element is a functional requirement, not a suggestion.</w:t>
      </w:r>
    </w:p>
    <w:p>
      <w:pPr>
        <w:pStyle w:val="Heading3"/>
      </w:pPr>
      <w:r>
        <w:t>12.1 Login / Tenant Selection</w:t>
      </w:r>
    </w:p>
    <w:p>
      <w:pPr>
        <w:pStyle w:val="ListBullet"/>
        <w:ind w:left="360"/>
      </w:pPr>
      <w:r>
        <w:t>SSO login (see Section 15.4 for identity provider requirements).</w:t>
      </w:r>
    </w:p>
    <w:p>
      <w:pPr>
        <w:pStyle w:val="ListBullet"/>
        <w:ind w:left="360"/>
      </w:pPr>
      <w:r>
        <w:t>If the user belongs to more than one tenant/business unit, a tenant selector before entering the app.</w:t>
      </w:r>
    </w:p>
    <w:p>
      <w:pPr>
        <w:pStyle w:val="Heading3"/>
      </w:pPr>
      <w:r>
        <w:t>12.2 Engagement Dashboard (Home)</w:t>
      </w:r>
    </w:p>
    <w:p>
      <w:pPr>
        <w:pStyle w:val="ListBullet"/>
        <w:ind w:left="360"/>
      </w:pPr>
      <w:r>
        <w:t>List of the user's past and in-progress engagements: mode, status chip (from the state machine, Section 10.2), created date, last updated.</w:t>
      </w:r>
    </w:p>
    <w:p>
      <w:pPr>
        <w:pStyle w:val="ListBullet"/>
        <w:ind w:left="360"/>
      </w:pPr>
      <w:r>
        <w:t>Prominent "New Engagement" call to action.</w:t>
      </w:r>
    </w:p>
    <w:p>
      <w:pPr>
        <w:pStyle w:val="ListBullet"/>
        <w:ind w:left="360"/>
      </w:pPr>
      <w:r>
        <w:t>Filter/search by mode, status, and date range.</w:t>
      </w:r>
    </w:p>
    <w:p>
      <w:pPr>
        <w:pStyle w:val="ListBullet"/>
        <w:ind w:left="360"/>
      </w:pPr>
      <w:r>
        <w:t>For each COMPLETE engagement, a quick link to its deliverables.</w:t>
      </w:r>
    </w:p>
    <w:p>
      <w:pPr>
        <w:pStyle w:val="Heading3"/>
      </w:pPr>
      <w:r>
        <w:t>12.3 New Engagement — Mode Selection</w:t>
      </w:r>
    </w:p>
    <w:p>
      <w:pPr>
        <w:pStyle w:val="ListBullet"/>
        <w:ind w:left="360"/>
      </w:pPr>
      <w:r>
        <w:t>Six mode cards (Build, Deep-Dive, Benchmark, Gap Analysis, Compare, Version Audit), each with a one-line description and an example use case, per Section 7 table.</w:t>
      </w:r>
    </w:p>
    <w:p>
      <w:pPr>
        <w:pStyle w:val="ListBullet"/>
        <w:ind w:left="360"/>
      </w:pPr>
      <w:r>
        <w:t>Selecting a mode routes into the Section 12.4 intake wizard pre-configured for that mode's required fields (Section 9.1.3).</w:t>
      </w:r>
    </w:p>
    <w:p>
      <w:pPr>
        <w:pStyle w:val="Heading3"/>
      </w:pPr>
      <w:r>
        <w:t>12.4 Intake Wizard</w:t>
      </w:r>
    </w:p>
    <w:p>
      <w:pPr>
        <w:pStyle w:val="ListBullet"/>
        <w:ind w:left="360"/>
      </w:pPr>
      <w:r>
        <w:t>Step 1 — Company Profile: headcount band, industry, maturity stage.</w:t>
      </w:r>
    </w:p>
    <w:p>
      <w:pPr>
        <w:pStyle w:val="ListBullet"/>
        <w:ind w:left="360"/>
      </w:pPr>
      <w:r>
        <w:t>Step 2 — Regions &amp; Audience: region multi-select, audience selector.</w:t>
      </w:r>
    </w:p>
    <w:p>
      <w:pPr>
        <w:pStyle w:val="ListBullet"/>
        <w:ind w:left="360"/>
      </w:pPr>
      <w:r>
        <w:t>Step 3 — Files: upload area (drag-and-drop + browse), paste-text alternative, per-mode file count validation (Section 9.1.3).</w:t>
      </w:r>
    </w:p>
    <w:p>
      <w:pPr>
        <w:pStyle w:val="ListBullet"/>
        <w:ind w:left="360"/>
      </w:pPr>
      <w:r>
        <w:t>Step 4 — Output Format (skippable/deferrable to Phase 5 prompt).</w:t>
      </w:r>
    </w:p>
    <w:p>
      <w:pPr>
        <w:pStyle w:val="ListBullet"/>
        <w:ind w:left="360"/>
      </w:pPr>
      <w:r>
        <w:t>Persistent step indicator; back/forward navigation without data loss; autosave as DRAFT.</w:t>
      </w:r>
    </w:p>
    <w:p>
      <w:pPr>
        <w:pStyle w:val="ListBullet"/>
        <w:ind w:left="360"/>
      </w:pPr>
      <w:r>
        <w:t>Final review screen summarizing all answers before submission ("confirm what we understood").</w:t>
      </w:r>
    </w:p>
    <w:p>
      <w:pPr>
        <w:pStyle w:val="Heading3"/>
      </w:pPr>
      <w:r>
        <w:t>12.5 File Triage Screen (shown only if 2+ files uploaded)</w:t>
      </w:r>
    </w:p>
    <w:p>
      <w:pPr>
        <w:pStyle w:val="ListBullet"/>
        <w:ind w:left="360"/>
      </w:pPr>
      <w:r>
        <w:t>One row per uploaded file: filename, detected type, auto-suggested role (Section 9.2.1) with confidence indicator, role override dropdown.</w:t>
      </w:r>
    </w:p>
    <w:p>
      <w:pPr>
        <w:pStyle w:val="ListBullet"/>
        <w:ind w:left="360"/>
      </w:pPr>
      <w:r>
        <w:t>Inline explanation of the Layer-0 precedence rule.</w:t>
      </w:r>
    </w:p>
    <w:p>
      <w:pPr>
        <w:pStyle w:val="ListBullet"/>
        <w:ind w:left="360"/>
      </w:pPr>
      <w:r>
        <w:t>"Continue" disabled until every file has a confirmed role.</w:t>
      </w:r>
    </w:p>
    <w:p>
      <w:pPr>
        <w:pStyle w:val="Heading3"/>
      </w:pPr>
      <w:r>
        <w:t>12.6 Progress / Orchestration View</w:t>
      </w:r>
    </w:p>
    <w:p>
      <w:pPr>
        <w:pStyle w:val="ListBullet"/>
        <w:ind w:left="360"/>
      </w:pPr>
      <w:r>
        <w:t>A phase tracker (Fetching live data → Loading references → Ingesting → Analyzing → Synthesizing → Ready) reflecting the true engagement state, not a generic spinner.</w:t>
      </w:r>
    </w:p>
    <w:p>
      <w:pPr>
        <w:pStyle w:val="ListBullet"/>
        <w:ind w:left="360"/>
      </w:pPr>
      <w:r>
        <w:t>Live sub-detail during "Fetching live data": itemized list of data points with resolving/✅/⚠️ status as they complete (Section 9.3.3).</w:t>
      </w:r>
    </w:p>
    <w:p>
      <w:pPr>
        <w:pStyle w:val="ListBullet"/>
        <w:ind w:left="360"/>
      </w:pPr>
      <w:r>
        <w:t>Graceful handling of AWAITING_CLARIFICATION: the tracker pauses and a "We need more information" panel appears with the model's targeted follow-up question(s), rendered as a small form (not a chat box).</w:t>
      </w:r>
    </w:p>
    <w:p>
      <w:pPr>
        <w:pStyle w:val="Heading3"/>
      </w:pPr>
      <w:r>
        <w:t>12.7 Dimension Coverage View</w:t>
      </w:r>
    </w:p>
    <w:p>
      <w:pPr>
        <w:pStyle w:val="ListBullet"/>
        <w:ind w:left="360"/>
      </w:pPr>
      <w:r>
        <w:t>Grid or list of all 14 dimensions with status chip (Well-defined / Vague / Missing / Conflicting / Data Missing), available as soon as Phase 2/ingestion completes (early signal, per Section 9.5.4).</w:t>
      </w:r>
    </w:p>
    <w:p>
      <w:pPr>
        <w:pStyle w:val="Heading3"/>
      </w:pPr>
      <w:r>
        <w:t>12.8 Findings / Results Screen</w:t>
      </w:r>
    </w:p>
    <w:p>
      <w:pPr>
        <w:pStyle w:val="ListBullet"/>
        <w:ind w:left="360"/>
      </w:pPr>
      <w:r>
        <w:t>Per-dimension findings table (Section 9.6.2): Current State, Benchmark (with source + freshness tag), Gap, Risk (with color-coded level), Recommendation.</w:t>
      </w:r>
    </w:p>
    <w:p>
      <w:pPr>
        <w:pStyle w:val="ListBullet"/>
        <w:ind w:left="360"/>
      </w:pPr>
      <w:r>
        <w:t>Filter by risk level; sort by risk × effort.</w:t>
      </w:r>
    </w:p>
    <w:p>
      <w:pPr>
        <w:pStyle w:val="ListBullet"/>
        <w:ind w:left="360"/>
      </w:pPr>
      <w:r>
        <w:t>Inline citation chips expandable to full source detail.</w:t>
      </w:r>
    </w:p>
    <w:p>
      <w:pPr>
        <w:pStyle w:val="ListBullet"/>
        <w:ind w:left="360"/>
      </w:pPr>
      <w:r>
        <w:t>For Compare mode: pivoted to a side-by-side matrix, one column per compared policy.</w:t>
      </w:r>
    </w:p>
    <w:p>
      <w:pPr>
        <w:pStyle w:val="ListBullet"/>
        <w:ind w:left="360"/>
      </w:pPr>
      <w:r>
        <w:t>For Version Audit mode: the three-column diff view (Section 9.5.4) with change-classification color coding.</w:t>
      </w:r>
    </w:p>
    <w:p>
      <w:pPr>
        <w:pStyle w:val="Heading3"/>
      </w:pPr>
      <w:r>
        <w:t>12.9 Data Sources &amp; Freshness Panel</w:t>
      </w:r>
    </w:p>
    <w:p>
      <w:pPr>
        <w:pStyle w:val="ListBullet"/>
        <w:ind w:left="360"/>
      </w:pPr>
      <w:r>
        <w:t>One-click-accessible tab/panel (not buried) listing every data point used: value, freshness tag, source URL or reference file name, fetch/version date.</w:t>
      </w:r>
    </w:p>
    <w:p>
      <w:pPr>
        <w:pStyle w:val="ListBullet"/>
        <w:ind w:left="360"/>
      </w:pPr>
      <w:r>
        <w:t>Aggregate counters: "X of Y data points live-verified."</w:t>
      </w:r>
    </w:p>
    <w:p>
      <w:pPr>
        <w:pStyle w:val="Heading3"/>
      </w:pPr>
      <w:r>
        <w:t>12.10 Executive Summary Dashboard</w:t>
      </w:r>
    </w:p>
    <w:p>
      <w:pPr>
        <w:pStyle w:val="ListBullet"/>
        <w:ind w:left="360"/>
      </w:pPr>
      <w:r>
        <w:t>Overall score (with "Provisional" badge and reason, if applicable).</w:t>
      </w:r>
    </w:p>
    <w:p>
      <w:pPr>
        <w:pStyle w:val="ListBullet"/>
        <w:ind w:left="360"/>
      </w:pPr>
      <w:r>
        <w:t>3–5 headline bullets.</w:t>
      </w:r>
    </w:p>
    <w:p>
      <w:pPr>
        <w:pStyle w:val="ListBullet"/>
        <w:ind w:left="360"/>
      </w:pPr>
      <w:r>
        <w:t>14-dimension risk-heat grid.</w:t>
      </w:r>
    </w:p>
    <w:p>
      <w:pPr>
        <w:pStyle w:val="ListBullet"/>
        <w:ind w:left="360"/>
      </w:pPr>
      <w:r>
        <w:t>Top 5 priorities, Quick Wins, Strategic Roadmap sections.</w:t>
      </w:r>
    </w:p>
    <w:p>
      <w:pPr>
        <w:pStyle w:val="ListBullet"/>
        <w:ind w:left="360"/>
      </w:pPr>
      <w:r>
        <w:t>Regulatory exposure estimate (with a "view calculation basis" expandable detail).</w:t>
      </w:r>
    </w:p>
    <w:p>
      <w:pPr>
        <w:pStyle w:val="ListBullet"/>
        <w:ind w:left="360"/>
      </w:pPr>
      <w:r>
        <w:t>For Version Audit: score-delta indicator and regressions callout.</w:t>
      </w:r>
    </w:p>
    <w:p>
      <w:pPr>
        <w:pStyle w:val="ListBullet"/>
        <w:ind w:left="360"/>
      </w:pPr>
      <w:r>
        <w:t>This screen gates the "Generate Deliverable" action (Section 9.7.2).</w:t>
      </w:r>
    </w:p>
    <w:p>
      <w:pPr>
        <w:pStyle w:val="Heading3"/>
      </w:pPr>
      <w:r>
        <w:t>12.11 Deliverable Generation &amp; Download Center</w:t>
      </w:r>
    </w:p>
    <w:p>
      <w:pPr>
        <w:pStyle w:val="ListBullet"/>
        <w:ind w:left="360"/>
      </w:pPr>
      <w:r>
        <w:t>Format selector (Word / PPT / Excel / PDF), defaulting to the Phase 0 answer.</w:t>
      </w:r>
    </w:p>
    <w:p>
      <w:pPr>
        <w:pStyle w:val="ListBullet"/>
        <w:ind w:left="360"/>
      </w:pPr>
      <w:r>
        <w:t>Generation progress indicator (Phase 5 can take longer for Excel's 12/14-tab build).</w:t>
      </w:r>
    </w:p>
    <w:p>
      <w:pPr>
        <w:pStyle w:val="ListBullet"/>
        <w:ind w:left="360"/>
      </w:pPr>
      <w:r>
        <w:t>Download center: list of all generated files for the engagement with format, generated date/user, and a re-download link.</w:t>
      </w:r>
    </w:p>
    <w:p>
      <w:pPr>
        <w:pStyle w:val="ListBullet"/>
        <w:ind w:left="360"/>
      </w:pPr>
      <w:r>
        <w:t>"Generate in another format" action that skips re-analysis (Section 9.8.6).</w:t>
      </w:r>
    </w:p>
    <w:p>
      <w:pPr>
        <w:pStyle w:val="ListBullet"/>
        <w:ind w:left="360"/>
      </w:pPr>
      <w:r>
        <w:t>Explicit human "Approve for external distribution" confirmation step before a file is marked shareable outside the tenant (Section 5.2 human-in-the-loop requirement).</w:t>
      </w:r>
    </w:p>
    <w:p>
      <w:pPr>
        <w:pStyle w:val="Heading3"/>
      </w:pPr>
      <w:r>
        <w:t>12.12 Admin Console</w:t>
      </w:r>
    </w:p>
    <w:p>
      <w:pPr>
        <w:pStyle w:val="ListBullet"/>
        <w:ind w:left="360"/>
      </w:pPr>
      <w:r>
        <w:t>Reference Library screen (Section 9.4.2): 9 reference files + Excel script/template, version history, preview/replace with diff.</w:t>
      </w:r>
    </w:p>
    <w:p>
      <w:pPr>
        <w:pStyle w:val="ListBullet"/>
        <w:ind w:left="360"/>
      </w:pPr>
      <w:r>
        <w:t>Benchmark Tier configuration (headcount-band thresholds, editable without a code release).</w:t>
      </w:r>
    </w:p>
    <w:p>
      <w:pPr>
        <w:pStyle w:val="ListBullet"/>
        <w:ind w:left="360"/>
      </w:pPr>
      <w:r>
        <w:t>User &amp; Role management, tenant management.</w:t>
      </w:r>
    </w:p>
    <w:p>
      <w:pPr>
        <w:pStyle w:val="ListBullet"/>
        <w:ind w:left="360"/>
      </w:pPr>
      <w:r>
        <w:t>Data-freshness health dashboard: aggregate view across all engagements of live-fetch success rate and reference-file staleness, to catch a broken search integration before users do.</w:t>
      </w:r>
    </w:p>
    <w:p>
      <w:pPr>
        <w:pStyle w:val="ListBullet"/>
        <w:ind w:left="360"/>
      </w:pPr>
      <w:r>
        <w:t>Audit log viewer (Section 15.5).</w:t>
      </w:r>
    </w:p>
    <w:p>
      <w:r>
        <w:br w:type="page"/>
      </w:r>
    </w:p>
    <w:p>
      <w:pPr>
        <w:pStyle w:val="Heading1"/>
      </w:pPr>
      <w:r>
        <w:t>13. The 14-Dimension Policy Framework</w:t>
      </w:r>
    </w:p>
    <w:p>
      <w:pPr>
        <w:spacing w:after="120"/>
      </w:pPr>
      <w:r>
        <w:rPr>
          <w:b w:val="0"/>
          <w:i w:val="0"/>
        </w:rPr>
        <w:t>Every T&amp;E policy is evaluated, built, or compared against these fixed 14 dimensions. Full definitional detail lives in the reference file policy_framework.md (loaded in Phase 1B); the list below is the required, stable taxonomy the data model, UI, and scoring engine must all key off (see dimension_key enum, Section 10.3).</w:t>
      </w:r>
    </w:p>
    <w:tbl>
      <w:tblPr>
        <w:tblStyle w:val="TableGrid"/>
        <w:tblW w:type="auto" w:w="0"/>
        <w:jc w:val="center"/>
        <w:tblLook w:firstColumn="1" w:firstRow="1" w:lastColumn="0" w:lastRow="0" w:noHBand="0" w:noVBand="1" w:val="04A0"/>
      </w:tblPr>
      <w:tblGrid>
        <w:gridCol w:w="4824"/>
        <w:gridCol w:w="4824"/>
      </w:tblGrid>
      <w:tr>
        <w:tc>
          <w:tcPr>
            <w:tcW w:type="dxa" w:w="576"/>
            <w:shd w:val="clear" w:color="auto" w:fill="1B2A4A"/>
          </w:tcPr>
          <w:p>
            <w:r/>
            <w:r>
              <w:rPr>
                <w:b/>
                <w:color w:val="FFFFFF"/>
                <w:sz w:val="19"/>
              </w:rPr>
              <w:t>#</w:t>
            </w:r>
          </w:p>
        </w:tc>
        <w:tc>
          <w:tcPr>
            <w:tcW w:type="dxa" w:w="7920"/>
            <w:shd w:val="clear" w:color="auto" w:fill="1B2A4A"/>
          </w:tcPr>
          <w:p>
            <w:r/>
            <w:r>
              <w:rPr>
                <w:b/>
                <w:color w:val="FFFFFF"/>
                <w:sz w:val="19"/>
              </w:rPr>
              <w:t>Dimension</w:t>
            </w:r>
          </w:p>
        </w:tc>
      </w:tr>
      <w:tr>
        <w:tc>
          <w:tcPr>
            <w:tcW w:type="dxa" w:w="576"/>
          </w:tcPr>
          <w:p>
            <w:r/>
            <w:r>
              <w:rPr>
                <w:sz w:val="19"/>
              </w:rPr>
              <w:t>1</w:t>
            </w:r>
          </w:p>
        </w:tc>
        <w:tc>
          <w:tcPr>
            <w:tcW w:type="dxa" w:w="7920"/>
          </w:tcPr>
          <w:p>
            <w:r/>
            <w:r>
              <w:rPr>
                <w:sz w:val="19"/>
              </w:rPr>
              <w:t>Scope &amp; Eligibility</w:t>
            </w:r>
          </w:p>
        </w:tc>
      </w:tr>
      <w:tr>
        <w:tc>
          <w:tcPr>
            <w:tcW w:type="dxa" w:w="576"/>
          </w:tcPr>
          <w:p>
            <w:r/>
            <w:r>
              <w:rPr>
                <w:sz w:val="19"/>
              </w:rPr>
              <w:t>2</w:t>
            </w:r>
          </w:p>
        </w:tc>
        <w:tc>
          <w:tcPr>
            <w:tcW w:type="dxa" w:w="7920"/>
          </w:tcPr>
          <w:p>
            <w:r/>
            <w:r>
              <w:rPr>
                <w:sz w:val="19"/>
              </w:rPr>
              <w:t>Authorization &amp; Pre-Approval</w:t>
            </w:r>
          </w:p>
        </w:tc>
      </w:tr>
      <w:tr>
        <w:tc>
          <w:tcPr>
            <w:tcW w:type="dxa" w:w="576"/>
          </w:tcPr>
          <w:p>
            <w:r/>
            <w:r>
              <w:rPr>
                <w:sz w:val="19"/>
              </w:rPr>
              <w:t>3</w:t>
            </w:r>
          </w:p>
        </w:tc>
        <w:tc>
          <w:tcPr>
            <w:tcW w:type="dxa" w:w="7920"/>
          </w:tcPr>
          <w:p>
            <w:r/>
            <w:r>
              <w:rPr>
                <w:sz w:val="19"/>
              </w:rPr>
              <w:t>Air Travel</w:t>
            </w:r>
          </w:p>
        </w:tc>
      </w:tr>
      <w:tr>
        <w:tc>
          <w:tcPr>
            <w:tcW w:type="dxa" w:w="576"/>
          </w:tcPr>
          <w:p>
            <w:r/>
            <w:r>
              <w:rPr>
                <w:sz w:val="19"/>
              </w:rPr>
              <w:t>4</w:t>
            </w:r>
          </w:p>
        </w:tc>
        <w:tc>
          <w:tcPr>
            <w:tcW w:type="dxa" w:w="7920"/>
          </w:tcPr>
          <w:p>
            <w:r/>
            <w:r>
              <w:rPr>
                <w:sz w:val="19"/>
              </w:rPr>
              <w:t>Lodging</w:t>
            </w:r>
          </w:p>
        </w:tc>
      </w:tr>
      <w:tr>
        <w:tc>
          <w:tcPr>
            <w:tcW w:type="dxa" w:w="576"/>
          </w:tcPr>
          <w:p>
            <w:r/>
            <w:r>
              <w:rPr>
                <w:sz w:val="19"/>
              </w:rPr>
              <w:t>5</w:t>
            </w:r>
          </w:p>
        </w:tc>
        <w:tc>
          <w:tcPr>
            <w:tcW w:type="dxa" w:w="7920"/>
          </w:tcPr>
          <w:p>
            <w:r/>
            <w:r>
              <w:rPr>
                <w:sz w:val="19"/>
              </w:rPr>
              <w:t>Ground Transport</w:t>
            </w:r>
          </w:p>
        </w:tc>
      </w:tr>
      <w:tr>
        <w:tc>
          <w:tcPr>
            <w:tcW w:type="dxa" w:w="576"/>
          </w:tcPr>
          <w:p>
            <w:r/>
            <w:r>
              <w:rPr>
                <w:sz w:val="19"/>
              </w:rPr>
              <w:t>6</w:t>
            </w:r>
          </w:p>
        </w:tc>
        <w:tc>
          <w:tcPr>
            <w:tcW w:type="dxa" w:w="7920"/>
          </w:tcPr>
          <w:p>
            <w:r/>
            <w:r>
              <w:rPr>
                <w:sz w:val="19"/>
              </w:rPr>
              <w:t>Meals &amp; Per Diems</w:t>
            </w:r>
          </w:p>
        </w:tc>
      </w:tr>
      <w:tr>
        <w:tc>
          <w:tcPr>
            <w:tcW w:type="dxa" w:w="576"/>
          </w:tcPr>
          <w:p>
            <w:r/>
            <w:r>
              <w:rPr>
                <w:sz w:val="19"/>
              </w:rPr>
              <w:t>7</w:t>
            </w:r>
          </w:p>
        </w:tc>
        <w:tc>
          <w:tcPr>
            <w:tcW w:type="dxa" w:w="7920"/>
          </w:tcPr>
          <w:p>
            <w:r/>
            <w:r>
              <w:rPr>
                <w:sz w:val="19"/>
              </w:rPr>
              <w:t>Other Reimbursable Expenses</w:t>
            </w:r>
          </w:p>
        </w:tc>
      </w:tr>
      <w:tr>
        <w:tc>
          <w:tcPr>
            <w:tcW w:type="dxa" w:w="576"/>
          </w:tcPr>
          <w:p>
            <w:r/>
            <w:r>
              <w:rPr>
                <w:sz w:val="19"/>
              </w:rPr>
              <w:t>8</w:t>
            </w:r>
          </w:p>
        </w:tc>
        <w:tc>
          <w:tcPr>
            <w:tcW w:type="dxa" w:w="7920"/>
          </w:tcPr>
          <w:p>
            <w:r/>
            <w:r>
              <w:rPr>
                <w:sz w:val="19"/>
              </w:rPr>
              <w:t>Non-Reimbursable Expenses</w:t>
            </w:r>
          </w:p>
        </w:tc>
      </w:tr>
      <w:tr>
        <w:tc>
          <w:tcPr>
            <w:tcW w:type="dxa" w:w="576"/>
          </w:tcPr>
          <w:p>
            <w:r/>
            <w:r>
              <w:rPr>
                <w:sz w:val="19"/>
              </w:rPr>
              <w:t>9</w:t>
            </w:r>
          </w:p>
        </w:tc>
        <w:tc>
          <w:tcPr>
            <w:tcW w:type="dxa" w:w="7920"/>
          </w:tcPr>
          <w:p>
            <w:r/>
            <w:r>
              <w:rPr>
                <w:sz w:val="19"/>
              </w:rPr>
              <w:t>Corporate Card &amp; Payment Methods</w:t>
            </w:r>
          </w:p>
        </w:tc>
      </w:tr>
      <w:tr>
        <w:tc>
          <w:tcPr>
            <w:tcW w:type="dxa" w:w="576"/>
          </w:tcPr>
          <w:p>
            <w:r/>
            <w:r>
              <w:rPr>
                <w:sz w:val="19"/>
              </w:rPr>
              <w:t>10</w:t>
            </w:r>
          </w:p>
        </w:tc>
        <w:tc>
          <w:tcPr>
            <w:tcW w:type="dxa" w:w="7920"/>
          </w:tcPr>
          <w:p>
            <w:r/>
            <w:r>
              <w:rPr>
                <w:sz w:val="19"/>
              </w:rPr>
              <w:t>Receipt &amp; Documentation Requirements</w:t>
            </w:r>
          </w:p>
        </w:tc>
      </w:tr>
      <w:tr>
        <w:tc>
          <w:tcPr>
            <w:tcW w:type="dxa" w:w="576"/>
          </w:tcPr>
          <w:p>
            <w:r/>
            <w:r>
              <w:rPr>
                <w:sz w:val="19"/>
              </w:rPr>
              <w:t>11</w:t>
            </w:r>
          </w:p>
        </w:tc>
        <w:tc>
          <w:tcPr>
            <w:tcW w:type="dxa" w:w="7920"/>
          </w:tcPr>
          <w:p>
            <w:r/>
            <w:r>
              <w:rPr>
                <w:sz w:val="19"/>
              </w:rPr>
              <w:t>Submission, Approval &amp; Reimbursement Workflow</w:t>
            </w:r>
          </w:p>
        </w:tc>
      </w:tr>
      <w:tr>
        <w:tc>
          <w:tcPr>
            <w:tcW w:type="dxa" w:w="576"/>
          </w:tcPr>
          <w:p>
            <w:r/>
            <w:r>
              <w:rPr>
                <w:sz w:val="19"/>
              </w:rPr>
              <w:t>12</w:t>
            </w:r>
          </w:p>
        </w:tc>
        <w:tc>
          <w:tcPr>
            <w:tcW w:type="dxa" w:w="7920"/>
          </w:tcPr>
          <w:p>
            <w:r/>
            <w:r>
              <w:rPr>
                <w:sz w:val="19"/>
              </w:rPr>
              <w:t>Audit, Fraud Controls &amp; Exception Management</w:t>
            </w:r>
          </w:p>
        </w:tc>
      </w:tr>
      <w:tr>
        <w:tc>
          <w:tcPr>
            <w:tcW w:type="dxa" w:w="576"/>
          </w:tcPr>
          <w:p>
            <w:r/>
            <w:r>
              <w:rPr>
                <w:sz w:val="19"/>
              </w:rPr>
              <w:t>13</w:t>
            </w:r>
          </w:p>
        </w:tc>
        <w:tc>
          <w:tcPr>
            <w:tcW w:type="dxa" w:w="7920"/>
          </w:tcPr>
          <w:p>
            <w:r/>
            <w:r>
              <w:rPr>
                <w:sz w:val="19"/>
              </w:rPr>
              <w:t>Tax, VAT, GST &amp; Regulatory Compliance</w:t>
            </w:r>
          </w:p>
        </w:tc>
      </w:tr>
      <w:tr>
        <w:tc>
          <w:tcPr>
            <w:tcW w:type="dxa" w:w="576"/>
          </w:tcPr>
          <w:p>
            <w:r/>
            <w:r>
              <w:rPr>
                <w:sz w:val="19"/>
              </w:rPr>
              <w:t>14</w:t>
            </w:r>
          </w:p>
        </w:tc>
        <w:tc>
          <w:tcPr>
            <w:tcW w:type="dxa" w:w="7920"/>
          </w:tcPr>
          <w:p>
            <w:r/>
            <w:r>
              <w:rPr>
                <w:sz w:val="19"/>
              </w:rPr>
              <w:t>Sustainability, DEI, Wellness &amp; Duty of Care</w:t>
            </w:r>
          </w:p>
        </w:tc>
      </w:tr>
    </w:tbl>
    <w:p>
      <w:pPr>
        <w:spacing w:after="80"/>
      </w:pPr>
    </w:p>
    <w:p>
      <w:pPr>
        <w:spacing w:after="160"/>
        <w:ind w:left="288"/>
      </w:pPr>
      <w:r>
        <w:rPr>
          <w:b/>
          <w:i/>
          <w:color w:val="2E5C8A"/>
        </w:rPr>
        <w:t xml:space="preserve">Note: </w:t>
      </w:r>
      <w:r>
        <w:rPr>
          <w:i/>
          <w:color w:val="555555"/>
        </w:rPr>
        <w:t>The dimension_key enum in the data model (Section 10.3) must have exactly these 14 fixed values. Do not allow dimensions to be added/removed/reordered at the application layer — any change to this taxonomy must originate in policy_framework.md and flow through the Reference Library Service (Section 9.4).</w:t>
      </w:r>
    </w:p>
    <w:p>
      <w:r>
        <w:br w:type="page"/>
      </w:r>
    </w:p>
    <w:p>
      <w:pPr>
        <w:pStyle w:val="Heading1"/>
      </w:pPr>
      <w:r>
        <w:t>14. Scoring Rubric Requirements</w:t>
      </w:r>
    </w:p>
    <w:p>
      <w:pPr>
        <w:spacing w:after="120"/>
      </w:pPr>
      <w:r>
        <w:rPr>
          <w:b w:val="0"/>
          <w:i w:val="0"/>
        </w:rPr>
        <w:t>The scoring engine must implement the 100-point rubric defined in scoring_rubric.md (Phase 1B), applied per dimension and rolled up to an overall score (Phase 4). The application-layer requirements on top of that rubric are:</w:t>
      </w:r>
    </w:p>
    <w:p>
      <w:pPr>
        <w:pStyle w:val="ListBullet"/>
        <w:ind w:left="360"/>
      </w:pPr>
      <w:r>
        <w:t>A dimension marked DATA MISSING must never receive a numeric score; it must be excluded from the overall-score calculation and the overall score must carry a "Provisional" flag with the count of excluded dimensions shown to the user.</w:t>
      </w:r>
    </w:p>
    <w:p>
      <w:pPr>
        <w:pStyle w:val="ListBullet"/>
        <w:ind w:left="360"/>
      </w:pPr>
      <w:r>
        <w:t>The benchmark tier used (SME / Mid-Market / Large Enterprise / Global Enterprise) must be recorded against the engagement and displayed alongside the overall score — a score is meaningless without stating what it was measured against.</w:t>
      </w:r>
    </w:p>
    <w:p>
      <w:pPr>
        <w:pStyle w:val="ListBullet"/>
        <w:ind w:left="360"/>
      </w:pPr>
      <w:r>
        <w:t>For Compare mode, each compared policy is scored independently using the same rubric instance so scores are directly comparable; the UI must never let two policies in the same Compare engagement be scored against different rubric versions.</w:t>
      </w:r>
    </w:p>
    <w:p>
      <w:pPr>
        <w:pStyle w:val="ListBullet"/>
        <w:ind w:left="360"/>
      </w:pPr>
      <w:r>
        <w:t>For Version Audit mode, v1 and v2 must be scored independently, and the delta must be computed only between scores produced by the same rubric version — if the rubric was updated between the two source documents' original review dates, the UI must surface a note that the comparison used the current rubric for both.</w:t>
      </w:r>
    </w:p>
    <w:p>
      <w:pPr>
        <w:pStyle w:val="ListBullet"/>
        <w:ind w:left="360"/>
      </w:pPr>
      <w:r>
        <w:t>Rubric version must be stamped onto every DimensionFinding and SynthesisSummary record for historical traceability (an engagement scored 6 months ago should not silently re-score itself differently if viewed today after a rubric update — historical engagements retain the rubric version they were generated under).</w:t>
      </w:r>
    </w:p>
    <w:p>
      <w:r>
        <w:br w:type="page"/>
      </w:r>
    </w:p>
    <w:p>
      <w:pPr>
        <w:pStyle w:val="Heading1"/>
      </w:pPr>
      <w:r>
        <w:t>15. Non-Functional Requirements</w:t>
      </w:r>
    </w:p>
    <w:p>
      <w:pPr>
        <w:pStyle w:val="Heading2"/>
      </w:pPr>
      <w:r>
        <w:t>15.1 Performance</w:t>
      </w:r>
    </w:p>
    <w:tbl>
      <w:tblPr>
        <w:tblStyle w:val="TableGrid"/>
        <w:tblW w:type="auto" w:w="0"/>
        <w:jc w:val="center"/>
        <w:tblLook w:firstColumn="1" w:firstRow="1" w:lastColumn="0" w:lastRow="0" w:noHBand="0" w:noVBand="1" w:val="04A0"/>
      </w:tblPr>
      <w:tblGrid>
        <w:gridCol w:w="4824"/>
        <w:gridCol w:w="4824"/>
      </w:tblGrid>
      <w:tr>
        <w:tc>
          <w:tcPr>
            <w:tcW w:type="dxa" w:w="4896"/>
            <w:shd w:val="clear" w:color="auto" w:fill="1B2A4A"/>
          </w:tcPr>
          <w:p>
            <w:r/>
            <w:r>
              <w:rPr>
                <w:b/>
                <w:color w:val="FFFFFF"/>
                <w:sz w:val="19"/>
              </w:rPr>
              <w:t>Scenario</w:t>
            </w:r>
          </w:p>
        </w:tc>
        <w:tc>
          <w:tcPr>
            <w:tcW w:type="dxa" w:w="4464"/>
            <w:shd w:val="clear" w:color="auto" w:fill="1B2A4A"/>
          </w:tcPr>
          <w:p>
            <w:r/>
            <w:r>
              <w:rPr>
                <w:b/>
                <w:color w:val="FFFFFF"/>
                <w:sz w:val="19"/>
              </w:rPr>
              <w:t>Target</w:t>
            </w:r>
          </w:p>
        </w:tc>
      </w:tr>
      <w:tr>
        <w:tc>
          <w:tcPr>
            <w:tcW w:type="dxa" w:w="4896"/>
          </w:tcPr>
          <w:p>
            <w:r/>
            <w:r>
              <w:rPr>
                <w:sz w:val="19"/>
              </w:rPr>
              <w:t>Single-region, single-policy Deep-Dive/Benchmark/Gap engagement, end-to-end</w:t>
            </w:r>
          </w:p>
        </w:tc>
        <w:tc>
          <w:tcPr>
            <w:tcW w:type="dxa" w:w="4464"/>
          </w:tcPr>
          <w:p>
            <w:r/>
            <w:r>
              <w:rPr>
                <w:sz w:val="19"/>
              </w:rPr>
              <w:t>&lt; 30 minutes from submission to Executive Summary ready</w:t>
            </w:r>
          </w:p>
        </w:tc>
      </w:tr>
      <w:tr>
        <w:tc>
          <w:tcPr>
            <w:tcW w:type="dxa" w:w="4896"/>
          </w:tcPr>
          <w:p>
            <w:r/>
            <w:r>
              <w:rPr>
                <w:sz w:val="19"/>
              </w:rPr>
              <w:t>Multi-region (3+ regions) Gap Analysis</w:t>
            </w:r>
          </w:p>
        </w:tc>
        <w:tc>
          <w:tcPr>
            <w:tcW w:type="dxa" w:w="4464"/>
          </w:tcPr>
          <w:p>
            <w:r/>
            <w:r>
              <w:rPr>
                <w:sz w:val="19"/>
              </w:rPr>
              <w:t>&lt; 60 minutes</w:t>
            </w:r>
          </w:p>
        </w:tc>
      </w:tr>
      <w:tr>
        <w:tc>
          <w:tcPr>
            <w:tcW w:type="dxa" w:w="4896"/>
          </w:tcPr>
          <w:p>
            <w:r/>
            <w:r>
              <w:rPr>
                <w:sz w:val="19"/>
              </w:rPr>
              <w:t>Compare mode, up to 5 policies</w:t>
            </w:r>
          </w:p>
        </w:tc>
        <w:tc>
          <w:tcPr>
            <w:tcW w:type="dxa" w:w="4464"/>
          </w:tcPr>
          <w:p>
            <w:r/>
            <w:r>
              <w:rPr>
                <w:sz w:val="19"/>
              </w:rPr>
              <w:t>&lt; 90 minutes</w:t>
            </w:r>
          </w:p>
        </w:tc>
      </w:tr>
      <w:tr>
        <w:tc>
          <w:tcPr>
            <w:tcW w:type="dxa" w:w="4896"/>
          </w:tcPr>
          <w:p>
            <w:r/>
            <w:r>
              <w:rPr>
                <w:sz w:val="19"/>
              </w:rPr>
              <w:t>Excel deliverable generation (12–14 tabs)</w:t>
            </w:r>
          </w:p>
        </w:tc>
        <w:tc>
          <w:tcPr>
            <w:tcW w:type="dxa" w:w="4464"/>
          </w:tcPr>
          <w:p>
            <w:r/>
            <w:r>
              <w:rPr>
                <w:sz w:val="19"/>
              </w:rPr>
              <w:t>&lt; 5 minutes after synthesis is complete</w:t>
            </w:r>
          </w:p>
        </w:tc>
      </w:tr>
      <w:tr>
        <w:tc>
          <w:tcPr>
            <w:tcW w:type="dxa" w:w="4896"/>
          </w:tcPr>
          <w:p>
            <w:r/>
            <w:r>
              <w:rPr>
                <w:sz w:val="19"/>
              </w:rPr>
              <w:t>UI responsiveness for dashboard/history views</w:t>
            </w:r>
          </w:p>
        </w:tc>
        <w:tc>
          <w:tcPr>
            <w:tcW w:type="dxa" w:w="4464"/>
          </w:tcPr>
          <w:p>
            <w:r/>
            <w:r>
              <w:rPr>
                <w:sz w:val="19"/>
              </w:rPr>
              <w:t>&lt; 2 seconds for lists up to 500 engagements per tenant</w:t>
            </w:r>
          </w:p>
        </w:tc>
      </w:tr>
      <w:tr>
        <w:tc>
          <w:tcPr>
            <w:tcW w:type="dxa" w:w="4896"/>
          </w:tcPr>
          <w:p>
            <w:r/>
            <w:r>
              <w:rPr>
                <w:sz w:val="19"/>
              </w:rPr>
              <w:t>Live-fetch phase (Phase 1A), per data point</w:t>
            </w:r>
          </w:p>
        </w:tc>
        <w:tc>
          <w:tcPr>
            <w:tcW w:type="dxa" w:w="4464"/>
          </w:tcPr>
          <w:p>
            <w:r/>
            <w:r>
              <w:rPr>
                <w:sz w:val="19"/>
              </w:rPr>
              <w:t>Individual fetches run concurrently; total Phase 1A wall time bounded by the slowest single fetch, not the sum</w:t>
            </w:r>
          </w:p>
        </w:tc>
      </w:tr>
    </w:tbl>
    <w:p>
      <w:pPr>
        <w:spacing w:after="80"/>
      </w:pPr>
    </w:p>
    <w:p>
      <w:pPr>
        <w:pStyle w:val="Heading2"/>
      </w:pPr>
      <w:r>
        <w:t>15.2 Security</w:t>
      </w:r>
    </w:p>
    <w:p>
      <w:pPr>
        <w:pStyle w:val="ListBullet"/>
        <w:ind w:left="360"/>
      </w:pPr>
      <w:r>
        <w:t>All uploaded policy/benchmark files and all generated deliverables are encrypted at rest and in transit.</w:t>
      </w:r>
    </w:p>
    <w:p>
      <w:pPr>
        <w:pStyle w:val="ListBullet"/>
        <w:ind w:left="360"/>
      </w:pPr>
      <w:r>
        <w:t>Files are scanned for malware before being handed to any ingestion or model tool (Section 9.5.3).</w:t>
      </w:r>
    </w:p>
    <w:p>
      <w:pPr>
        <w:pStyle w:val="ListBullet"/>
        <w:ind w:left="360"/>
      </w:pPr>
      <w:r>
        <w:t>Tenant isolation must be enforced at the data layer (row-level or schema-level) — no cross-tenant visibility of engagements, files, or reference-library overrides.</w:t>
      </w:r>
    </w:p>
    <w:p>
      <w:pPr>
        <w:pStyle w:val="ListBullet"/>
        <w:ind w:left="360"/>
      </w:pPr>
      <w:r>
        <w:t>Uploaded T&amp;E policy documents may contain sensitive compensation bands, negotiated vendor rates, or personal data (traveler names in prior audit reports) — treat all uploaded content as Confidential by default; do not log raw file content in application logs.</w:t>
      </w:r>
    </w:p>
    <w:p>
      <w:pPr>
        <w:pStyle w:val="ListBullet"/>
        <w:ind w:left="360"/>
      </w:pPr>
      <w:r>
        <w:t>API access to the underlying Claude model must use a service-level credential scoped to the Orchestration Service only; end users never receive direct model API access or API keys.</w:t>
      </w:r>
    </w:p>
    <w:p>
      <w:pPr>
        <w:pStyle w:val="ListBullet"/>
        <w:ind w:left="360"/>
      </w:pPr>
      <w:r>
        <w:t>All admin console actions (reference library edits, benchmark tier changes, user role changes) require step-up authentication (e.g., re-auth or MFA challenge) given their platform-wide blast radius.</w:t>
      </w:r>
    </w:p>
    <w:p>
      <w:pPr>
        <w:pStyle w:val="Heading2"/>
      </w:pPr>
      <w:r>
        <w:t>15.3 Compliance &amp; Data Handling</w:t>
      </w:r>
    </w:p>
    <w:p>
      <w:pPr>
        <w:pStyle w:val="ListBullet"/>
        <w:ind w:left="360"/>
      </w:pPr>
      <w:r>
        <w:t>Data residency: confirm with IT Security/Legal whether uploaded T&amp;E policy content for EU-based tenants must remain in an EU-region deployment of the model/API and storage layer; build storage and orchestration with region-pinning as a configurable capability from day one rather than retrofitting it.</w:t>
      </w:r>
    </w:p>
    <w:p>
      <w:pPr>
        <w:pStyle w:val="ListBullet"/>
        <w:ind w:left="360"/>
      </w:pPr>
      <w:r>
        <w:t>Copyright discipline: enforce, in the scoring engine's validation step, that no verbatim quotation from any source (user-uploaded, live-fetched, or reference file) exceeds 15 words in any generated finding or deliverable — reject/re-request model output that violates this before it ever reaches a user or export.</w:t>
      </w:r>
    </w:p>
    <w:p>
      <w:pPr>
        <w:pStyle w:val="ListBullet"/>
        <w:ind w:left="360"/>
      </w:pPr>
      <w:r>
        <w:t>Retain an immutable audit trail of every citation and freshness tag used in every deliverable ever generated, to support later regulatory or internal-audit inquiry into "what did we tell the board and on what basis."</w:t>
      </w:r>
    </w:p>
    <w:p>
      <w:pPr>
        <w:pStyle w:val="Heading2"/>
      </w:pPr>
      <w:r>
        <w:t>15.4 Authentication &amp; Identity</w:t>
      </w:r>
    </w:p>
    <w:p>
      <w:pPr>
        <w:pStyle w:val="ListBullet"/>
        <w:ind w:left="360"/>
      </w:pPr>
      <w:r>
        <w:t>Enterprise SSO (SAML 2.0 or OIDC) as the primary authentication method; no standalone username/password account creation for end users in production.</w:t>
      </w:r>
    </w:p>
    <w:p>
      <w:pPr>
        <w:pStyle w:val="ListBullet"/>
        <w:ind w:left="360"/>
      </w:pPr>
      <w:r>
        <w:t>Role model, minimum viable set: Requester (creates/owns engagements), Reviewer (can view/approve engagements across their business unit), Admin (reference library, tenant/user management), Auditor (read-only, cross-engagement, for Internal Audit/Compliance).</w:t>
      </w:r>
    </w:p>
    <w:p>
      <w:pPr>
        <w:pStyle w:val="Heading2"/>
      </w:pPr>
      <w:r>
        <w:t>15.5 Audit Logging</w:t>
      </w:r>
    </w:p>
    <w:p>
      <w:pPr>
        <w:pStyle w:val="ListBullet"/>
        <w:ind w:left="360"/>
      </w:pPr>
      <w:r>
        <w:t>Every state transition in the Engagement state machine (Section 10.2), every file upload, every deliverable generation/download, and every admin console change must produce an AuditLogEntry: actor, action, timestamp, engagement/entity ID, before/after value where applicable.</w:t>
      </w:r>
    </w:p>
    <w:p>
      <w:pPr>
        <w:pStyle w:val="ListBullet"/>
        <w:ind w:left="360"/>
      </w:pPr>
      <w:r>
        <w:t>Audit log entries are immutable (append-only) and retained for a minimum of 7 years to align with typical financial/tax record-retention requirements — confirm exact figure with Legal/Compliance before final retention-policy sign-off, but do not build a shorter default.</w:t>
      </w:r>
    </w:p>
    <w:p>
      <w:pPr>
        <w:pStyle w:val="ListBullet"/>
        <w:ind w:left="360"/>
      </w:pPr>
      <w:r>
        <w:t>An Auditor-role user can view the full audit trail for any engagement in their tenant, including which reference-library version was active at analysis time.</w:t>
      </w:r>
    </w:p>
    <w:p>
      <w:pPr>
        <w:pStyle w:val="Heading2"/>
      </w:pPr>
      <w:r>
        <w:t>15.6 Retention &amp; Storage</w:t>
      </w:r>
    </w:p>
    <w:p>
      <w:pPr>
        <w:pStyle w:val="ListBullet"/>
        <w:ind w:left="360"/>
      </w:pPr>
      <w:r>
        <w:t>Generated deliverables and their underlying structured findings are retained per the engagement's tenant retention policy (default: indefinite, until the tenant admin deletes the engagement or an automated policy applies).</w:t>
      </w:r>
    </w:p>
    <w:p>
      <w:pPr>
        <w:pStyle w:val="ListBullet"/>
        <w:ind w:left="360"/>
      </w:pPr>
      <w:r>
        <w:t>Uploaded source files are retained alongside the engagement for re-analysis and audit purposes, subject to the same retention policy.</w:t>
      </w:r>
    </w:p>
    <w:p>
      <w:pPr>
        <w:pStyle w:val="ListBullet"/>
        <w:ind w:left="360"/>
      </w:pPr>
      <w:r>
        <w:t>Deleting an engagement must cascade-delete (or tombstone, per audit requirements) its SourceFiles, DimensionFindings, and Deliverables, while preserving the AuditLogEntry trail of the deletion event itself.</w:t>
      </w:r>
    </w:p>
    <w:p>
      <w:pPr>
        <w:pStyle w:val="Heading2"/>
      </w:pPr>
      <w:r>
        <w:t>15.7 Availability &amp; Scalability</w:t>
      </w:r>
    </w:p>
    <w:p>
      <w:pPr>
        <w:pStyle w:val="ListBullet"/>
        <w:ind w:left="360"/>
      </w:pPr>
      <w:r>
        <w:t>Target 99.5% uptime for the application tier in the first year; the dependency on the external Claude API's own availability should be reflected in the SLA communicated to end users (i.e., do not promise higher availability than the weakest dependency).</w:t>
      </w:r>
    </w:p>
    <w:p>
      <w:pPr>
        <w:pStyle w:val="ListBullet"/>
        <w:ind w:left="360"/>
      </w:pPr>
      <w:r>
        <w:t>Horizontally scale the Orchestration Service to support concurrent engagements across tenants; a single long-running engagement must not block others (no global lock).</w:t>
      </w:r>
    </w:p>
    <w:p>
      <w:pPr>
        <w:pStyle w:val="Heading2"/>
      </w:pPr>
      <w:r>
        <w:t>15.8 Observability</w:t>
      </w:r>
    </w:p>
    <w:p>
      <w:pPr>
        <w:pStyle w:val="ListBullet"/>
        <w:ind w:left="360"/>
      </w:pPr>
      <w:r>
        <w:t>Structured logging and tracing across Engagement Service, Orchestration Service, and Ingestion Service, correlated by engagement_id, to support debugging a stuck or failed engagement.</w:t>
      </w:r>
    </w:p>
    <w:p>
      <w:pPr>
        <w:pStyle w:val="ListBullet"/>
        <w:ind w:left="360"/>
      </w:pPr>
      <w:r>
        <w:t>Dashboards/alerts for: live-fetch failure rate (Section 9.3.2 logging), model tool-call error rate, deliverable-generation failure rate, and average phase durations.</w:t>
      </w:r>
    </w:p>
    <w:p>
      <w:r>
        <w:br w:type="page"/>
      </w:r>
    </w:p>
    <w:p>
      <w:pPr>
        <w:pStyle w:val="Heading1"/>
      </w:pPr>
      <w:r>
        <w:t>16. Integration Requirements</w:t>
      </w:r>
    </w:p>
    <w:p>
      <w:pPr>
        <w:pStyle w:val="Heading2"/>
      </w:pPr>
      <w:r>
        <w:t>16.1 Anthropic Claude API</w:t>
      </w:r>
    </w:p>
    <w:p>
      <w:pPr>
        <w:pStyle w:val="ListBullet"/>
        <w:ind w:left="360"/>
      </w:pPr>
      <w:r>
        <w:t>Messages API with the code-execution (sandbox) tool enabled, required for Phase 5 native document authoring (docx/pptx/xlsx/pdf skills) and for running scripts/build_excel_scorecard.py.</w:t>
      </w:r>
    </w:p>
    <w:p>
      <w:pPr>
        <w:pStyle w:val="ListBullet"/>
        <w:ind w:left="360"/>
      </w:pPr>
      <w:r>
        <w:t>Server-side web-search tool enabled, required for Phase 1A live data fetch; scope/allow-list to the domains implied by the search-query patterns in Section 9.3.1 (gsa.gov, irs.gov, gov.uk, ec.europa.eu, cbic.gov.in, sat.gob.mx, etc.) if the platform supports domain scoping, to reduce irrelevant results.</w:t>
      </w:r>
    </w:p>
    <w:p>
      <w:pPr>
        <w:pStyle w:val="ListBullet"/>
        <w:ind w:left="360"/>
      </w:pPr>
      <w:r>
        <w:t>Files API for: (a) submitting user-uploaded policy/benchmark documents into the model's context, and (b) retrieving generated deliverables from the sandbox's /mnt/user-data/outputs path after a deliver_output tool call.</w:t>
      </w:r>
    </w:p>
    <w:p>
      <w:pPr>
        <w:pStyle w:val="ListBullet"/>
        <w:ind w:left="360"/>
      </w:pPr>
      <w:r>
        <w:t>The PolicyIQ skill bundle (SKILL.md, references/, scripts/, assets/) is uploaded/registered once per published version via the Reference Library Service (Section 9.4.1) and referenced by the Orchestration Service on every engagement — do not inline the skill instructions into ad hoc per-request prompts.</w:t>
      </w:r>
    </w:p>
    <w:p>
      <w:pPr>
        <w:pStyle w:val="Heading2"/>
      </w:pPr>
      <w:r>
        <w:t>16.2 Web Search Provider</w:t>
      </w:r>
    </w:p>
    <w:p>
      <w:pPr>
        <w:pStyle w:val="ListBullet"/>
        <w:ind w:left="360"/>
      </w:pPr>
      <w:r>
        <w:t>If the organization has a preferred/mandated enterprise search or data-vendor (e.g., a licensed regulatory-data feed) instead of the model's built-in web-search tool, that vendor must be wired in as a custom tool implementing the same "search → source URL + fetch date" contract expected by Phase 1A — this is a swap-in, not a redesign, as long as the tool returns a URL and a timestamp per result.</w:t>
      </w:r>
    </w:p>
    <w:p>
      <w:pPr>
        <w:pStyle w:val="Heading2"/>
      </w:pPr>
      <w:r>
        <w:t>16.3 Document Ingestion Tooling</w:t>
      </w:r>
    </w:p>
    <w:p>
      <w:pPr>
        <w:pStyle w:val="ListBullet"/>
        <w:ind w:left="360"/>
      </w:pPr>
      <w:r>
        <w:t>PDF: text-layer extraction plus OCR fallback for scanned/image-only pages.</w:t>
      </w:r>
    </w:p>
    <w:p>
      <w:pPr>
        <w:pStyle w:val="ListBullet"/>
        <w:ind w:left="360"/>
      </w:pPr>
      <w:r>
        <w:t>DOCX/DOC: structured extraction preserving headings/clauses to support the clause-by-clause mapping in Phase 2.</w:t>
      </w:r>
    </w:p>
    <w:p>
      <w:pPr>
        <w:pStyle w:val="ListBullet"/>
        <w:ind w:left="360"/>
      </w:pPr>
      <w:r>
        <w:t>Images: OCR pipeline for policy pages submitted as photos/screenshots.</w:t>
      </w:r>
    </w:p>
    <w:p>
      <w:pPr>
        <w:pStyle w:val="Heading2"/>
      </w:pPr>
      <w:r>
        <w:t>16.4 Object Storage</w:t>
      </w:r>
    </w:p>
    <w:p>
      <w:pPr>
        <w:pStyle w:val="ListBullet"/>
        <w:ind w:left="360"/>
      </w:pPr>
      <w:r>
        <w:t>A durable object store (e.g., an S3-compatible bucket) for: uploaded SourceFiles, generated Deliverables, and the published Reference Library bundle — each with tenant-scoped access control and signed, time-limited download URLs for end-user file access.</w:t>
      </w:r>
    </w:p>
    <w:p>
      <w:pPr>
        <w:pStyle w:val="Heading2"/>
      </w:pPr>
      <w:r>
        <w:t>16.5 Identity Provider</w:t>
      </w:r>
    </w:p>
    <w:p>
      <w:pPr>
        <w:pStyle w:val="ListBullet"/>
        <w:ind w:left="360"/>
      </w:pPr>
      <w:r>
        <w:t>SAML 2.0 or OIDC integration point for enterprise SSO (Section 15.4); the specific IdP (Okta, Azure AD/Entra, etc.) is an IT-provided configuration, not a code branch — build against the standard, not a named vendor.</w:t>
      </w:r>
    </w:p>
    <w:p>
      <w:pPr>
        <w:pStyle w:val="Heading2"/>
      </w:pPr>
      <w:r>
        <w:t>16.6 Notification/Email</w:t>
      </w:r>
    </w:p>
    <w:p>
      <w:pPr>
        <w:pStyle w:val="ListBullet"/>
        <w:ind w:left="360"/>
      </w:pPr>
      <w:r>
        <w:t>Email (or equivalent enterprise notification channel) triggered on: engagement reaching READY_FOR_REVIEW, engagement entering AWAITING_CLARIFICATION (so a user is not left waiting on a tab), and deliverable generation completion — engagements can take up to 90 minutes (Section 15.1), so users should not be expected to keep a browser tab open and watch.</w:t>
      </w:r>
    </w:p>
    <w:p>
      <w:r>
        <w:br w:type="page"/>
      </w:r>
    </w:p>
    <w:p>
      <w:pPr>
        <w:pStyle w:val="Heading1"/>
      </w:pPr>
      <w:r>
        <w:t>17. Error Handling &amp; Edge Cases</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1B2A4A"/>
          </w:tcPr>
          <w:p>
            <w:r/>
            <w:r>
              <w:rPr>
                <w:b/>
                <w:color w:val="FFFFFF"/>
                <w:sz w:val="19"/>
              </w:rPr>
              <w:t>Scenario</w:t>
            </w:r>
          </w:p>
        </w:tc>
        <w:tc>
          <w:tcPr>
            <w:tcW w:type="dxa" w:w="5904"/>
            <w:shd w:val="clear" w:color="auto" w:fill="1B2A4A"/>
          </w:tcPr>
          <w:p>
            <w:r/>
            <w:r>
              <w:rPr>
                <w:b/>
                <w:color w:val="FFFFFF"/>
                <w:sz w:val="19"/>
              </w:rPr>
              <w:t>Required Behavior</w:t>
            </w:r>
          </w:p>
        </w:tc>
      </w:tr>
      <w:tr>
        <w:tc>
          <w:tcPr>
            <w:tcW w:type="dxa" w:w="3456"/>
          </w:tcPr>
          <w:p>
            <w:r/>
            <w:r>
              <w:rPr>
                <w:sz w:val="19"/>
              </w:rPr>
              <w:t>Live data fetch fails/blocked/ambiguous for a data point</w:t>
            </w:r>
          </w:p>
        </w:tc>
        <w:tc>
          <w:tcPr>
            <w:tcW w:type="dxa" w:w="5904"/>
          </w:tcPr>
          <w:p>
            <w:r/>
            <w:r>
              <w:rPr>
                <w:sz w:val="19"/>
              </w:rPr>
              <w:t>Fall back to reference file, tag ⚠️; never silently present it as ✅ (Section 9.3.2)</w:t>
            </w:r>
          </w:p>
        </w:tc>
      </w:tr>
      <w:tr>
        <w:tc>
          <w:tcPr>
            <w:tcW w:type="dxa" w:w="3456"/>
          </w:tcPr>
          <w:p>
            <w:r/>
            <w:r>
              <w:rPr>
                <w:sz w:val="19"/>
              </w:rPr>
              <w:t>Both live fetch and reference file are unavailable for a needed data point</w:t>
            </w:r>
          </w:p>
        </w:tc>
        <w:tc>
          <w:tcPr>
            <w:tcW w:type="dxa" w:w="5904"/>
          </w:tcPr>
          <w:p>
            <w:r/>
            <w:r>
              <w:rPr>
                <w:sz w:val="19"/>
              </w:rPr>
              <w:t>Tag ❌ Data missing; surface to the user as an actionable "we need this input" prompt, never a blank field</w:t>
            </w:r>
          </w:p>
        </w:tc>
      </w:tr>
      <w:tr>
        <w:tc>
          <w:tcPr>
            <w:tcW w:type="dxa" w:w="3456"/>
          </w:tcPr>
          <w:p>
            <w:r/>
            <w:r>
              <w:rPr>
                <w:sz w:val="19"/>
              </w:rPr>
              <w:t>Uploaded file is corrupt, password-protected, or unreadable</w:t>
            </w:r>
          </w:p>
        </w:tc>
        <w:tc>
          <w:tcPr>
            <w:tcW w:type="dxa" w:w="5904"/>
          </w:tcPr>
          <w:p>
            <w:r/>
            <w:r>
              <w:rPr>
                <w:sz w:val="19"/>
              </w:rPr>
              <w:t>Specific error naming the file and the problem (e.g., "This PDF appears to be password-protected — please upload an unlocked copy"), not a generic failure toast</w:t>
            </w:r>
          </w:p>
        </w:tc>
      </w:tr>
      <w:tr>
        <w:tc>
          <w:tcPr>
            <w:tcW w:type="dxa" w:w="3456"/>
          </w:tcPr>
          <w:p>
            <w:r/>
            <w:r>
              <w:rPr>
                <w:sz w:val="19"/>
              </w:rPr>
              <w:t>Uploaded file role cannot be confidently classified (Phase 0A)</w:t>
            </w:r>
          </w:p>
        </w:tc>
        <w:tc>
          <w:tcPr>
            <w:tcW w:type="dxa" w:w="5904"/>
          </w:tcPr>
          <w:p>
            <w:r/>
            <w:r>
              <w:rPr>
                <w:sz w:val="19"/>
              </w:rPr>
              <w:t>Block progression; ask the user exactly one clarifying question per ambiguous file (Section 9.2.2)</w:t>
            </w:r>
          </w:p>
        </w:tc>
      </w:tr>
      <w:tr>
        <w:tc>
          <w:tcPr>
            <w:tcW w:type="dxa" w:w="3456"/>
          </w:tcPr>
          <w:p>
            <w:r/>
            <w:r>
              <w:rPr>
                <w:sz w:val="19"/>
              </w:rPr>
              <w:t>File count for selected mode is wrong (e.g., Version Audit with 1 file)</w:t>
            </w:r>
          </w:p>
        </w:tc>
        <w:tc>
          <w:tcPr>
            <w:tcW w:type="dxa" w:w="5904"/>
          </w:tcPr>
          <w:p>
            <w:r/>
            <w:r>
              <w:rPr>
                <w:sz w:val="19"/>
              </w:rPr>
              <w:t>Inline, field-level validation error at the file-upload step; do not allow submission (Section 9.1.3)</w:t>
            </w:r>
          </w:p>
        </w:tc>
      </w:tr>
      <w:tr>
        <w:tc>
          <w:tcPr>
            <w:tcW w:type="dxa" w:w="3456"/>
          </w:tcPr>
          <w:p>
            <w:r/>
            <w:r>
              <w:rPr>
                <w:sz w:val="19"/>
              </w:rPr>
              <w:t>Model flags a dimension DATA MISSING mid-analysis</w:t>
            </w:r>
          </w:p>
        </w:tc>
        <w:tc>
          <w:tcPr>
            <w:tcW w:type="dxa" w:w="5904"/>
          </w:tcPr>
          <w:p>
            <w:r/>
            <w:r>
              <w:rPr>
                <w:sz w:val="19"/>
              </w:rPr>
              <w:t>Engagement transitions to AWAITING_CLARIFICATION; targeted follow-up form shown; already-completed phase output is preserved, not discarded (Section 10.2)</w:t>
            </w:r>
          </w:p>
        </w:tc>
      </w:tr>
      <w:tr>
        <w:tc>
          <w:tcPr>
            <w:tcW w:type="dxa" w:w="3456"/>
          </w:tcPr>
          <w:p>
            <w:r/>
            <w:r>
              <w:rPr>
                <w:sz w:val="19"/>
              </w:rPr>
              <w:t>Model output for Phase 3 is missing one of the five required fields for a dimension</w:t>
            </w:r>
          </w:p>
        </w:tc>
        <w:tc>
          <w:tcPr>
            <w:tcW w:type="dxa" w:w="5904"/>
          </w:tcPr>
          <w:p>
            <w:r/>
            <w:r>
              <w:rPr>
                <w:sz w:val="19"/>
              </w:rPr>
              <w:t>Scoring engine rejects and re-requests before persisting (Section 9.6.1); never let a partial finding reach the UI</w:t>
            </w:r>
          </w:p>
        </w:tc>
      </w:tr>
      <w:tr>
        <w:tc>
          <w:tcPr>
            <w:tcW w:type="dxa" w:w="3456"/>
          </w:tcPr>
          <w:p>
            <w:r/>
            <w:r>
              <w:rPr>
                <w:sz w:val="19"/>
              </w:rPr>
              <w:t>User requests a second output format after completion</w:t>
            </w:r>
          </w:p>
        </w:tc>
        <w:tc>
          <w:tcPr>
            <w:tcW w:type="dxa" w:w="5904"/>
          </w:tcPr>
          <w:p>
            <w:r/>
            <w:r>
              <w:rPr>
                <w:sz w:val="19"/>
              </w:rPr>
              <w:t>Reuse persisted structured findings (source_findings_version); do not re-run Phases 1–4 (Section 9.8.6)</w:t>
            </w:r>
          </w:p>
        </w:tc>
      </w:tr>
      <w:tr>
        <w:tc>
          <w:tcPr>
            <w:tcW w:type="dxa" w:w="3456"/>
          </w:tcPr>
          <w:p>
            <w:r/>
            <w:r>
              <w:rPr>
                <w:sz w:val="19"/>
              </w:rPr>
              <w:t>Underlying Claude API is unavailable or rate-limited</w:t>
            </w:r>
          </w:p>
        </w:tc>
        <w:tc>
          <w:tcPr>
            <w:tcW w:type="dxa" w:w="5904"/>
          </w:tcPr>
          <w:p>
            <w:r/>
            <w:r>
              <w:rPr>
                <w:sz w:val="19"/>
              </w:rPr>
              <w:t>Engagement pauses in its current phase with a visible "Temporarily unable to continue — will retry automatically" status; automatic retry with backoff; user is notified if the pause exceeds a defined threshold (e.g., 15 minutes)</w:t>
            </w:r>
          </w:p>
        </w:tc>
      </w:tr>
      <w:tr>
        <w:tc>
          <w:tcPr>
            <w:tcW w:type="dxa" w:w="3456"/>
          </w:tcPr>
          <w:p>
            <w:r/>
            <w:r>
              <w:rPr>
                <w:sz w:val="19"/>
              </w:rPr>
              <w:t>User abandons an engagement mid-wizard (DRAFT)</w:t>
            </w:r>
          </w:p>
        </w:tc>
        <w:tc>
          <w:tcPr>
            <w:tcW w:type="dxa" w:w="5904"/>
          </w:tcPr>
          <w:p>
            <w:r/>
            <w:r>
              <w:rPr>
                <w:sz w:val="19"/>
              </w:rPr>
              <w:t>Autosaved and resumable from the dashboard; no data loss</w:t>
            </w:r>
          </w:p>
        </w:tc>
      </w:tr>
      <w:tr>
        <w:tc>
          <w:tcPr>
            <w:tcW w:type="dxa" w:w="3456"/>
          </w:tcPr>
          <w:p>
            <w:r/>
            <w:r>
              <w:rPr>
                <w:sz w:val="19"/>
              </w:rPr>
              <w:t>Two versions in Version Audit are actually unrelated policies (not true v1/v2 of the same document)</w:t>
            </w:r>
          </w:p>
        </w:tc>
        <w:tc>
          <w:tcPr>
            <w:tcW w:type="dxa" w:w="5904"/>
          </w:tcPr>
          <w:p>
            <w:r/>
            <w:r>
              <w:rPr>
                <w:sz w:val="19"/>
              </w:rPr>
              <w:t>Model/system should flag low structural similarity as a warning before running the full diff, rather than producing a meaningless diff table</w:t>
            </w:r>
          </w:p>
        </w:tc>
      </w:tr>
      <w:tr>
        <w:tc>
          <w:tcPr>
            <w:tcW w:type="dxa" w:w="3456"/>
          </w:tcPr>
          <w:p>
            <w:r/>
            <w:r>
              <w:rPr>
                <w:sz w:val="19"/>
              </w:rPr>
              <w:t>Regulatory reference file is stale (e.g., last updated 2+ years ago) and no live source is available for that jurisdiction</w:t>
            </w:r>
          </w:p>
        </w:tc>
        <w:tc>
          <w:tcPr>
            <w:tcW w:type="dxa" w:w="5904"/>
          </w:tcPr>
          <w:p>
            <w:r/>
            <w:r>
              <w:rPr>
                <w:sz w:val="19"/>
              </w:rPr>
              <w:t>Data Sources &amp; Freshness panel (Section 9.3.3) must surface a "stale reference" warning distinct from a normal ⚠️ tag</w:t>
            </w:r>
          </w:p>
        </w:tc>
      </w:tr>
    </w:tbl>
    <w:p>
      <w:pPr>
        <w:spacing w:after="80"/>
      </w:pPr>
    </w:p>
    <w:p>
      <w:r>
        <w:br w:type="page"/>
      </w:r>
    </w:p>
    <w:p>
      <w:pPr>
        <w:pStyle w:val="Heading1"/>
      </w:pPr>
      <w:r>
        <w:t>18. Acceptance Criteria by Mode</w:t>
      </w:r>
    </w:p>
    <w:p>
      <w:pPr>
        <w:spacing w:after="120"/>
      </w:pPr>
      <w:r>
        <w:rPr>
          <w:b w:val="0"/>
          <w:i w:val="0"/>
        </w:rPr>
        <w:t>Each mode is considered "done" for release when it passes the criteria below in addition to the general acceptance criteria (Section 18.7).</w:t>
      </w:r>
    </w:p>
    <w:p>
      <w:pPr>
        <w:pStyle w:val="Heading2"/>
      </w:pPr>
      <w:r>
        <w:t>18.1 Build</w:t>
      </w:r>
    </w:p>
    <w:p>
      <w:pPr>
        <w:pStyle w:val="ListBullet"/>
        <w:ind w:left="360"/>
      </w:pPr>
      <w:r>
        <w:t>Given a complete company profile with no source policy file, the system produces a full, ready-to-issue T&amp;E policy document covering all 14 dimensions, region-appropriate to the selected regions, with no [DATA MISSING] tags (Build mode has no source document to be missing from — all inputs come from the intake wizard).</w:t>
      </w:r>
    </w:p>
    <w:p>
      <w:pPr>
        <w:pStyle w:val="ListBullet"/>
        <w:ind w:left="360"/>
      </w:pPr>
      <w:r>
        <w:t>The generated policy is downloadable in the user's selected format and contains no unresolved placeholder text.</w:t>
      </w:r>
    </w:p>
    <w:p>
      <w:pPr>
        <w:pStyle w:val="Heading2"/>
      </w:pPr>
      <w:r>
        <w:t>18.2 Deep-Dive</w:t>
      </w:r>
    </w:p>
    <w:p>
      <w:pPr>
        <w:pStyle w:val="ListBullet"/>
        <w:ind w:left="360"/>
      </w:pPr>
      <w:r>
        <w:t>Given one uploaded policy file, the system produces findings for all 14 dimensions (scored or explicitly DATA MISSING), an executive summary, and a downloadable consulting-report deliverable.</w:t>
      </w:r>
    </w:p>
    <w:p>
      <w:pPr>
        <w:pStyle w:val="ListBullet"/>
        <w:ind w:left="360"/>
      </w:pPr>
      <w:r>
        <w:t>Every quantitative claim in the deliverable carries a visible freshness tag.</w:t>
      </w:r>
    </w:p>
    <w:p>
      <w:pPr>
        <w:pStyle w:val="Heading2"/>
      </w:pPr>
      <w:r>
        <w:t>18.3 Benchmark</w:t>
      </w:r>
    </w:p>
    <w:p>
      <w:pPr>
        <w:pStyle w:val="ListBullet"/>
        <w:ind w:left="360"/>
      </w:pPr>
      <w:r>
        <w:t>The benchmark tier applied matches the company profile per the headcount bands in Section 9.1.1 — verified by a test case at each of the four band boundaries.</w:t>
      </w:r>
    </w:p>
    <w:p>
      <w:pPr>
        <w:pStyle w:val="ListBullet"/>
        <w:ind w:left="360"/>
      </w:pPr>
      <w:r>
        <w:t>The scorecard deliverable (if Excel) contains all required tabs per Section 9.8.3.</w:t>
      </w:r>
    </w:p>
    <w:p>
      <w:pPr>
        <w:pStyle w:val="Heading2"/>
      </w:pPr>
      <w:r>
        <w:t>18.4 Gap Analysis</w:t>
      </w:r>
    </w:p>
    <w:p>
      <w:pPr>
        <w:pStyle w:val="ListBullet"/>
        <w:ind w:left="360"/>
      </w:pPr>
      <w:r>
        <w:t>Every Risk finding cites a specific statute/section number, never a generic "per IRS rules" style citation — enforced by the scoring engine validation (Section 9.6.1).</w:t>
      </w:r>
    </w:p>
    <w:p>
      <w:pPr>
        <w:pStyle w:val="ListBullet"/>
        <w:ind w:left="360"/>
      </w:pPr>
      <w:r>
        <w:t>Only regions actually selected in scope trigger the corresponding regulatory reference loading and live-fetch targets (Section 9.3.2) — verified by a test asserting no HMRC/GST calls occur on a US-only engagement.</w:t>
      </w:r>
    </w:p>
    <w:p>
      <w:pPr>
        <w:pStyle w:val="Heading2"/>
      </w:pPr>
      <w:r>
        <w:t>18.5 Compare</w:t>
      </w:r>
    </w:p>
    <w:p>
      <w:pPr>
        <w:pStyle w:val="ListBullet"/>
        <w:ind w:left="360"/>
      </w:pPr>
      <w:r>
        <w:t>Supports at least 2 and at least 5 simultaneous policy files in a single engagement without UI degradation.</w:t>
      </w:r>
    </w:p>
    <w:p>
      <w:pPr>
        <w:pStyle w:val="ListBullet"/>
        <w:ind w:left="360"/>
      </w:pPr>
      <w:r>
        <w:t>The comparison matrix correctly attributes each finding to its source policy in the UI and in the exported deliverable.</w:t>
      </w:r>
    </w:p>
    <w:p>
      <w:pPr>
        <w:pStyle w:val="Heading2"/>
      </w:pPr>
      <w:r>
        <w:t>18.6 Version Audit</w:t>
      </w:r>
    </w:p>
    <w:p>
      <w:pPr>
        <w:pStyle w:val="ListBullet"/>
        <w:ind w:left="360"/>
      </w:pPr>
      <w:r>
        <w:t>The three-column diff table is produced for all 14 dimensions with a valid change classification (Improved / Regressed / Unchanged / New / Removed) for each.</w:t>
      </w:r>
    </w:p>
    <w:p>
      <w:pPr>
        <w:pStyle w:val="ListBullet"/>
        <w:ind w:left="360"/>
      </w:pPr>
      <w:r>
        <w:t>If a prior audit/findings report was supplied, the deliverable states, per prior finding, whether it was addressed / partially addressed / ignored.</w:t>
      </w:r>
    </w:p>
    <w:p>
      <w:pPr>
        <w:pStyle w:val="ListBullet"/>
        <w:ind w:left="360"/>
      </w:pPr>
      <w:r>
        <w:t>Regressions are visually and structurally flagged as priority items in both the UI and the exported deliverable.</w:t>
      </w:r>
    </w:p>
    <w:p>
      <w:pPr>
        <w:pStyle w:val="Heading2"/>
      </w:pPr>
      <w:r>
        <w:t>18.7 General (All Modes)</w:t>
      </w:r>
    </w:p>
    <w:p>
      <w:pPr>
        <w:pStyle w:val="ListBullet"/>
        <w:ind w:left="360"/>
      </w:pPr>
      <w:r>
        <w:t>No engagement ever reaches COMPLETE with a silently blank dimension score — either a number or an explicit DATA MISSING flag is present for all 14 dimensions.</w:t>
      </w:r>
    </w:p>
    <w:p>
      <w:pPr>
        <w:pStyle w:val="ListBullet"/>
        <w:ind w:left="360"/>
      </w:pPr>
      <w:r>
        <w:t>No verbatim quotation over 15 words appears in any generated deliverable.</w:t>
      </w:r>
    </w:p>
    <w:p>
      <w:pPr>
        <w:pStyle w:val="ListBullet"/>
        <w:ind w:left="360"/>
      </w:pPr>
      <w:r>
        <w:t>All four output formats (Word, PPT, Excel, PDF) are available for every mode listed in Section 7, matching the format-specific specs in Section 9.8.</w:t>
      </w:r>
    </w:p>
    <w:p>
      <w:pPr>
        <w:pStyle w:val="ListBullet"/>
        <w:ind w:left="360"/>
      </w:pPr>
      <w:r>
        <w:t>Full audit trail (Section 15.5) exists for every engagement from creation to deliverable download.</w:t>
      </w:r>
    </w:p>
    <w:p>
      <w:r>
        <w:br w:type="page"/>
      </w:r>
    </w:p>
    <w:p>
      <w:pPr>
        <w:pStyle w:val="Heading1"/>
      </w:pPr>
      <w:r>
        <w:t>19. Assumptions</w:t>
      </w:r>
    </w:p>
    <w:p>
      <w:pPr>
        <w:spacing w:after="120"/>
      </w:pPr>
      <w:r>
        <w:rPr>
          <w:b w:val="0"/>
          <w:i w:val="0"/>
        </w:rPr>
        <w:t>Stated explicitly so the engineering team can proceed without pausing to ask; each has an owner who can be consulted only if the assumption needs to change.</w:t>
      </w:r>
    </w:p>
    <w:tbl>
      <w:tblPr>
        <w:tblStyle w:val="TableGrid"/>
        <w:tblW w:type="auto" w:w="0"/>
        <w:jc w:val="center"/>
        <w:tblLook w:firstColumn="1" w:firstRow="1" w:lastColumn="0" w:lastRow="0" w:noHBand="0" w:noVBand="1" w:val="04A0"/>
      </w:tblPr>
      <w:tblGrid>
        <w:gridCol w:w="3216"/>
        <w:gridCol w:w="3216"/>
        <w:gridCol w:w="3216"/>
      </w:tblGrid>
      <w:tr>
        <w:tc>
          <w:tcPr>
            <w:tcW w:type="dxa" w:w="720"/>
            <w:shd w:val="clear" w:color="auto" w:fill="1B2A4A"/>
          </w:tcPr>
          <w:p>
            <w:r/>
            <w:r>
              <w:rPr>
                <w:b/>
                <w:color w:val="FFFFFF"/>
                <w:sz w:val="19"/>
              </w:rPr>
              <w:t>#</w:t>
            </w:r>
          </w:p>
        </w:tc>
        <w:tc>
          <w:tcPr>
            <w:tcW w:type="dxa" w:w="6912"/>
            <w:shd w:val="clear" w:color="auto" w:fill="1B2A4A"/>
          </w:tcPr>
          <w:p>
            <w:r/>
            <w:r>
              <w:rPr>
                <w:b/>
                <w:color w:val="FFFFFF"/>
                <w:sz w:val="19"/>
              </w:rPr>
              <w:t>Assumption</w:t>
            </w:r>
          </w:p>
        </w:tc>
        <w:tc>
          <w:tcPr>
            <w:tcW w:type="dxa" w:w="1872"/>
            <w:shd w:val="clear" w:color="auto" w:fill="1B2A4A"/>
          </w:tcPr>
          <w:p>
            <w:r/>
            <w:r>
              <w:rPr>
                <w:b/>
                <w:color w:val="FFFFFF"/>
                <w:sz w:val="19"/>
              </w:rPr>
              <w:t>If Wrong, Contact</w:t>
            </w:r>
          </w:p>
        </w:tc>
      </w:tr>
      <w:tr>
        <w:tc>
          <w:tcPr>
            <w:tcW w:type="dxa" w:w="720"/>
          </w:tcPr>
          <w:p>
            <w:r/>
            <w:r>
              <w:rPr>
                <w:sz w:val="19"/>
              </w:rPr>
              <w:t>A1</w:t>
            </w:r>
          </w:p>
        </w:tc>
        <w:tc>
          <w:tcPr>
            <w:tcW w:type="dxa" w:w="6912"/>
          </w:tcPr>
          <w:p>
            <w:r/>
            <w:r>
              <w:rPr>
                <w:sz w:val="19"/>
              </w:rPr>
              <w:t>The underlying model provider is Anthropic's Claude API, used via the Skills/Files/code-execution/web-search mechanism described in Section 8, not a different LLM vendor or a from-scratch reimplementation of the business logic.</w:t>
            </w:r>
          </w:p>
        </w:tc>
        <w:tc>
          <w:tcPr>
            <w:tcW w:type="dxa" w:w="1872"/>
          </w:tcPr>
          <w:p>
            <w:r/>
            <w:r>
              <w:rPr>
                <w:sz w:val="19"/>
              </w:rPr>
              <w:t>Business Sponsor</w:t>
            </w:r>
          </w:p>
        </w:tc>
      </w:tr>
      <w:tr>
        <w:tc>
          <w:tcPr>
            <w:tcW w:type="dxa" w:w="720"/>
          </w:tcPr>
          <w:p>
            <w:r/>
            <w:r>
              <w:rPr>
                <w:sz w:val="19"/>
              </w:rPr>
              <w:t>A2</w:t>
            </w:r>
          </w:p>
        </w:tc>
        <w:tc>
          <w:tcPr>
            <w:tcW w:type="dxa" w:w="6912"/>
          </w:tcPr>
          <w:p>
            <w:r/>
            <w:r>
              <w:rPr>
                <w:sz w:val="19"/>
              </w:rPr>
              <w:t>The nine reference files and the Excel-generation script from the existing PolicyIQ skill package are reused as-is (versioned via the Reference Library Service) rather than rewritten.</w:t>
            </w:r>
          </w:p>
        </w:tc>
        <w:tc>
          <w:tcPr>
            <w:tcW w:type="dxa" w:w="1872"/>
          </w:tcPr>
          <w:p>
            <w:r/>
            <w:r>
              <w:rPr>
                <w:sz w:val="19"/>
              </w:rPr>
              <w:t>Business Sponsor</w:t>
            </w:r>
          </w:p>
        </w:tc>
      </w:tr>
      <w:tr>
        <w:tc>
          <w:tcPr>
            <w:tcW w:type="dxa" w:w="720"/>
          </w:tcPr>
          <w:p>
            <w:r/>
            <w:r>
              <w:rPr>
                <w:sz w:val="19"/>
              </w:rPr>
              <w:t>A3</w:t>
            </w:r>
          </w:p>
        </w:tc>
        <w:tc>
          <w:tcPr>
            <w:tcW w:type="dxa" w:w="6912"/>
          </w:tcPr>
          <w:p>
            <w:r/>
            <w:r>
              <w:rPr>
                <w:sz w:val="19"/>
              </w:rPr>
              <w:t>Enterprise SSO (SAML/OIDC) is available from IT for authentication; no standalone credential system needs to be built.</w:t>
            </w:r>
          </w:p>
        </w:tc>
        <w:tc>
          <w:tcPr>
            <w:tcW w:type="dxa" w:w="1872"/>
          </w:tcPr>
          <w:p>
            <w:r/>
            <w:r>
              <w:rPr>
                <w:sz w:val="19"/>
              </w:rPr>
              <w:t>IT Security</w:t>
            </w:r>
          </w:p>
        </w:tc>
      </w:tr>
      <w:tr>
        <w:tc>
          <w:tcPr>
            <w:tcW w:type="dxa" w:w="720"/>
          </w:tcPr>
          <w:p>
            <w:r/>
            <w:r>
              <w:rPr>
                <w:sz w:val="19"/>
              </w:rPr>
              <w:t>A4</w:t>
            </w:r>
          </w:p>
        </w:tc>
        <w:tc>
          <w:tcPr>
            <w:tcW w:type="dxa" w:w="6912"/>
          </w:tcPr>
          <w:p>
            <w:r/>
            <w:r>
              <w:rPr>
                <w:sz w:val="19"/>
              </w:rPr>
              <w:t>Users are internal employees only for the Phase 1 release (no external client/customer-facing access to the tool itself, though generated deliverables may be shared externally after human approval).</w:t>
            </w:r>
          </w:p>
        </w:tc>
        <w:tc>
          <w:tcPr>
            <w:tcW w:type="dxa" w:w="1872"/>
          </w:tcPr>
          <w:p>
            <w:r/>
            <w:r>
              <w:rPr>
                <w:sz w:val="19"/>
              </w:rPr>
              <w:t>Business Sponsor</w:t>
            </w:r>
          </w:p>
        </w:tc>
      </w:tr>
      <w:tr>
        <w:tc>
          <w:tcPr>
            <w:tcW w:type="dxa" w:w="720"/>
          </w:tcPr>
          <w:p>
            <w:r/>
            <w:r>
              <w:rPr>
                <w:sz w:val="19"/>
              </w:rPr>
              <w:t>A5</w:t>
            </w:r>
          </w:p>
        </w:tc>
        <w:tc>
          <w:tcPr>
            <w:tcW w:type="dxa" w:w="6912"/>
          </w:tcPr>
          <w:p>
            <w:r/>
            <w:r>
              <w:rPr>
                <w:sz w:val="19"/>
              </w:rPr>
              <w:t>Regulatory jurisdiction coverage for the first release is limited to what the existing four regional reference files (US, EMEA, APAC, LATAM) support; adding a new jurisdiction requires a new reference file authored/approved by Legal before engineering enables it in the UI's region selector.</w:t>
            </w:r>
          </w:p>
        </w:tc>
        <w:tc>
          <w:tcPr>
            <w:tcW w:type="dxa" w:w="1872"/>
          </w:tcPr>
          <w:p>
            <w:r/>
            <w:r>
              <w:rPr>
                <w:sz w:val="19"/>
              </w:rPr>
              <w:t>Legal</w:t>
            </w:r>
          </w:p>
        </w:tc>
      </w:tr>
      <w:tr>
        <w:tc>
          <w:tcPr>
            <w:tcW w:type="dxa" w:w="720"/>
          </w:tcPr>
          <w:p>
            <w:r/>
            <w:r>
              <w:rPr>
                <w:sz w:val="19"/>
              </w:rPr>
              <w:t>A6</w:t>
            </w:r>
          </w:p>
        </w:tc>
        <w:tc>
          <w:tcPr>
            <w:tcW w:type="dxa" w:w="6912"/>
          </w:tcPr>
          <w:p>
            <w:r/>
            <w:r>
              <w:rPr>
                <w:sz w:val="19"/>
              </w:rPr>
              <w:t>A human always reviews the Executive Summary before a deliverable is generated and approves before external distribution — full end-to-end automation with no human checkpoint is not required for release 1.</w:t>
            </w:r>
          </w:p>
        </w:tc>
        <w:tc>
          <w:tcPr>
            <w:tcW w:type="dxa" w:w="1872"/>
          </w:tcPr>
          <w:p>
            <w:r/>
            <w:r>
              <w:rPr>
                <w:sz w:val="19"/>
              </w:rPr>
              <w:t>Business Sponsor</w:t>
            </w:r>
          </w:p>
        </w:tc>
      </w:tr>
      <w:tr>
        <w:tc>
          <w:tcPr>
            <w:tcW w:type="dxa" w:w="720"/>
          </w:tcPr>
          <w:p>
            <w:r/>
            <w:r>
              <w:rPr>
                <w:sz w:val="19"/>
              </w:rPr>
              <w:t>A7</w:t>
            </w:r>
          </w:p>
        </w:tc>
        <w:tc>
          <w:tcPr>
            <w:tcW w:type="dxa" w:w="6912"/>
          </w:tcPr>
          <w:p>
            <w:r/>
            <w:r>
              <w:rPr>
                <w:sz w:val="19"/>
              </w:rPr>
              <w:t>Data residency requirements (Section 15.3) will be confirmed by IT Security/Legal before the first production deployment; the architecture supports region-pinning but a specific region has not yet been mandated.</w:t>
            </w:r>
          </w:p>
        </w:tc>
        <w:tc>
          <w:tcPr>
            <w:tcW w:type="dxa" w:w="1872"/>
          </w:tcPr>
          <w:p>
            <w:r/>
            <w:r>
              <w:rPr>
                <w:sz w:val="19"/>
              </w:rPr>
              <w:t>IT Security / Legal</w:t>
            </w:r>
          </w:p>
        </w:tc>
      </w:tr>
      <w:tr>
        <w:tc>
          <w:tcPr>
            <w:tcW w:type="dxa" w:w="720"/>
          </w:tcPr>
          <w:p>
            <w:r/>
            <w:r>
              <w:rPr>
                <w:sz w:val="19"/>
              </w:rPr>
              <w:t>A8</w:t>
            </w:r>
          </w:p>
        </w:tc>
        <w:tc>
          <w:tcPr>
            <w:tcW w:type="dxa" w:w="6912"/>
          </w:tcPr>
          <w:p>
            <w:r/>
            <w:r>
              <w:rPr>
                <w:sz w:val="19"/>
              </w:rPr>
              <w:t>Audit-log and deliverable retention period will be finalized at a minimum of 7 years pending Legal/Compliance confirmation; engineering should not build a shorter default.</w:t>
            </w:r>
          </w:p>
        </w:tc>
        <w:tc>
          <w:tcPr>
            <w:tcW w:type="dxa" w:w="1872"/>
          </w:tcPr>
          <w:p>
            <w:r/>
            <w:r>
              <w:rPr>
                <w:sz w:val="19"/>
              </w:rPr>
              <w:t>Legal / Compliance</w:t>
            </w:r>
          </w:p>
        </w:tc>
      </w:tr>
    </w:tbl>
    <w:p>
      <w:pPr>
        <w:spacing w:after="80"/>
      </w:pPr>
    </w:p>
    <w:p>
      <w:r>
        <w:br w:type="page"/>
      </w:r>
    </w:p>
    <w:p>
      <w:pPr>
        <w:pStyle w:val="Heading1"/>
      </w:pPr>
      <w:r>
        <w:t>20. Risks &amp; Mitigations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1B2A4A"/>
          </w:tcPr>
          <w:p>
            <w:r/>
            <w:r>
              <w:rPr>
                <w:b/>
                <w:color w:val="FFFFFF"/>
                <w:sz w:val="19"/>
              </w:rPr>
              <w:t>Risk</w:t>
            </w:r>
          </w:p>
        </w:tc>
        <w:tc>
          <w:tcPr>
            <w:tcW w:type="dxa" w:w="2016"/>
            <w:shd w:val="clear" w:color="auto" w:fill="1B2A4A"/>
          </w:tcPr>
          <w:p>
            <w:r/>
            <w:r>
              <w:rPr>
                <w:b/>
                <w:color w:val="FFFFFF"/>
                <w:sz w:val="19"/>
              </w:rPr>
              <w:t>Impact</w:t>
            </w:r>
          </w:p>
        </w:tc>
        <w:tc>
          <w:tcPr>
            <w:tcW w:type="dxa" w:w="4464"/>
            <w:shd w:val="clear" w:color="auto" w:fill="1B2A4A"/>
          </w:tcPr>
          <w:p>
            <w:r/>
            <w:r>
              <w:rPr>
                <w:b/>
                <w:color w:val="FFFFFF"/>
                <w:sz w:val="19"/>
              </w:rPr>
              <w:t>Mitigation</w:t>
            </w:r>
          </w:p>
        </w:tc>
      </w:tr>
      <w:tr>
        <w:tc>
          <w:tcPr>
            <w:tcW w:type="dxa" w:w="2880"/>
          </w:tcPr>
          <w:p>
            <w:r/>
            <w:r>
              <w:rPr>
                <w:sz w:val="19"/>
              </w:rPr>
              <w:t>Live web-search tool returns outdated or incorrect regulatory data without detection</w:t>
            </w:r>
          </w:p>
        </w:tc>
        <w:tc>
          <w:tcPr>
            <w:tcW w:type="dxa" w:w="2016"/>
          </w:tcPr>
          <w:p>
            <w:r/>
            <w:r>
              <w:rPr>
                <w:sz w:val="19"/>
              </w:rPr>
              <w:t>High — a wrong rate could reach a board deck</w:t>
            </w:r>
          </w:p>
        </w:tc>
        <w:tc>
          <w:tcPr>
            <w:tcW w:type="dxa" w:w="4464"/>
          </w:tcPr>
          <w:p>
            <w:r/>
            <w:r>
              <w:rPr>
                <w:sz w:val="19"/>
              </w:rPr>
              <w:t>Freshness tagging (✅/⚠️/❌) is mandatory and visible at every layer (Section 9.3); admin health dashboard (Section 12.12) monitors fetch success rate</w:t>
            </w:r>
          </w:p>
        </w:tc>
      </w:tr>
      <w:tr>
        <w:tc>
          <w:tcPr>
            <w:tcW w:type="dxa" w:w="2880"/>
          </w:tcPr>
          <w:p>
            <w:r/>
            <w:r>
              <w:rPr>
                <w:sz w:val="19"/>
              </w:rPr>
              <w:t>Model fabricates a score for a dimension it cannot support</w:t>
            </w:r>
          </w:p>
        </w:tc>
        <w:tc>
          <w:tcPr>
            <w:tcW w:type="dxa" w:w="2016"/>
          </w:tcPr>
          <w:p>
            <w:r/>
            <w:r>
              <w:rPr>
                <w:sz w:val="19"/>
              </w:rPr>
              <w:t>Critical — undermines the entire audit-readiness value proposition</w:t>
            </w:r>
          </w:p>
        </w:tc>
        <w:tc>
          <w:tcPr>
            <w:tcW w:type="dxa" w:w="4464"/>
          </w:tcPr>
          <w:p>
            <w:r/>
            <w:r>
              <w:rPr>
                <w:sz w:val="19"/>
              </w:rPr>
              <w:t>Deterministic scoring-engine validation rejects incomplete Phase 3 output before persistence (Section 9.6.1); DATA MISSING is a hard, tested contract</w:t>
            </w:r>
          </w:p>
        </w:tc>
      </w:tr>
      <w:tr>
        <w:tc>
          <w:tcPr>
            <w:tcW w:type="dxa" w:w="2880"/>
          </w:tcPr>
          <w:p>
            <w:r/>
            <w:r>
              <w:rPr>
                <w:sz w:val="19"/>
              </w:rPr>
              <w:t>Regulatory reference files fall out of date without anyone noticing</w:t>
            </w:r>
          </w:p>
        </w:tc>
        <w:tc>
          <w:tcPr>
            <w:tcW w:type="dxa" w:w="2016"/>
          </w:tcPr>
          <w:p>
            <w:r/>
            <w:r>
              <w:rPr>
                <w:sz w:val="19"/>
              </w:rPr>
              <w:t>High — silently stale ⚠️ citations</w:t>
            </w:r>
          </w:p>
        </w:tc>
        <w:tc>
          <w:tcPr>
            <w:tcW w:type="dxa" w:w="4464"/>
          </w:tcPr>
          <w:p>
            <w:r/>
            <w:r>
              <w:rPr>
                <w:sz w:val="19"/>
              </w:rPr>
              <w:t>Freshness/staleness warnings (Section 17) plus scheduled reference-library review cadence owned by Legal/Compliance</w:t>
            </w:r>
          </w:p>
        </w:tc>
      </w:tr>
      <w:tr>
        <w:tc>
          <w:tcPr>
            <w:tcW w:type="dxa" w:w="2880"/>
          </w:tcPr>
          <w:p>
            <w:r/>
            <w:r>
              <w:rPr>
                <w:sz w:val="19"/>
              </w:rPr>
              <w:t>Long-running engagements (up to 90 minutes) time out or lose state</w:t>
            </w:r>
          </w:p>
        </w:tc>
        <w:tc>
          <w:tcPr>
            <w:tcW w:type="dxa" w:w="2016"/>
          </w:tcPr>
          <w:p>
            <w:r/>
            <w:r>
              <w:rPr>
                <w:sz w:val="19"/>
              </w:rPr>
              <w:t>Medium — poor user experience, lost work</w:t>
            </w:r>
          </w:p>
        </w:tc>
        <w:tc>
          <w:tcPr>
            <w:tcW w:type="dxa" w:w="4464"/>
          </w:tcPr>
          <w:p>
            <w:r/>
            <w:r>
              <w:rPr>
                <w:sz w:val="19"/>
              </w:rPr>
              <w:t>Durable engagement state machine (Section 10.2) with autosave and resumability; email notification on completion (Section 16.6)</w:t>
            </w:r>
          </w:p>
        </w:tc>
      </w:tr>
      <w:tr>
        <w:tc>
          <w:tcPr>
            <w:tcW w:type="dxa" w:w="2880"/>
          </w:tcPr>
          <w:p>
            <w:r/>
            <w:r>
              <w:rPr>
                <w:sz w:val="19"/>
              </w:rPr>
              <w:t>Sensitive uploaded policy content (compensation bands, vendor rates) is mishandled</w:t>
            </w:r>
          </w:p>
        </w:tc>
        <w:tc>
          <w:tcPr>
            <w:tcW w:type="dxa" w:w="2016"/>
          </w:tcPr>
          <w:p>
            <w:r/>
            <w:r>
              <w:rPr>
                <w:sz w:val="19"/>
              </w:rPr>
              <w:t>Critical — data breach / confidentiality breach</w:t>
            </w:r>
          </w:p>
        </w:tc>
        <w:tc>
          <w:tcPr>
            <w:tcW w:type="dxa" w:w="4464"/>
          </w:tcPr>
          <w:p>
            <w:r/>
            <w:r>
              <w:rPr>
                <w:sz w:val="19"/>
              </w:rPr>
              <w:t>Encryption at rest/in transit, tenant isolation, no raw-content logging (Section 15.2)</w:t>
            </w:r>
          </w:p>
        </w:tc>
      </w:tr>
      <w:tr>
        <w:tc>
          <w:tcPr>
            <w:tcW w:type="dxa" w:w="2880"/>
          </w:tcPr>
          <w:p>
            <w:r/>
            <w:r>
              <w:rPr>
                <w:sz w:val="19"/>
              </w:rPr>
              <w:t>Jurisdiction coverage gaps produce misleadingly confident-looking output for an unsupported region</w:t>
            </w:r>
          </w:p>
        </w:tc>
        <w:tc>
          <w:tcPr>
            <w:tcW w:type="dxa" w:w="2016"/>
          </w:tcPr>
          <w:p>
            <w:r/>
            <w:r>
              <w:rPr>
                <w:sz w:val="19"/>
              </w:rPr>
              <w:t>High — false sense of compliance</w:t>
            </w:r>
          </w:p>
        </w:tc>
        <w:tc>
          <w:tcPr>
            <w:tcW w:type="dxa" w:w="4464"/>
          </w:tcPr>
          <w:p>
            <w:r/>
            <w:r>
              <w:rPr>
                <w:sz w:val="19"/>
              </w:rPr>
              <w:t>Region selector limited to jurisdictions with an approved reference file (Assumption A5); unsupported-region requests are blocked with an explicit message, not silently attempted</w:t>
            </w:r>
          </w:p>
        </w:tc>
      </w:tr>
      <w:tr>
        <w:tc>
          <w:tcPr>
            <w:tcW w:type="dxa" w:w="2880"/>
          </w:tcPr>
          <w:p>
            <w:r/>
            <w:r>
              <w:rPr>
                <w:sz w:val="19"/>
              </w:rPr>
              <w:t>Excel scorecard script and model-authored tabs disagree on a number</w:t>
            </w:r>
          </w:p>
        </w:tc>
        <w:tc>
          <w:tcPr>
            <w:tcW w:type="dxa" w:w="2016"/>
          </w:tcPr>
          <w:p>
            <w:r/>
            <w:r>
              <w:rPr>
                <w:sz w:val="19"/>
              </w:rPr>
              <w:t>Medium — internal inconsistency undermines credibility</w:t>
            </w:r>
          </w:p>
        </w:tc>
        <w:tc>
          <w:tcPr>
            <w:tcW w:type="dxa" w:w="4464"/>
          </w:tcPr>
          <w:p>
            <w:r/>
            <w:r>
              <w:rPr>
                <w:sz w:val="19"/>
              </w:rPr>
              <w:t>scores.json is assembled once from structured backend data and is the single source for both the script-generated and model-authored tabs (Section 9.8.5)</w:t>
            </w:r>
          </w:p>
        </w:tc>
      </w:tr>
    </w:tbl>
    <w:p>
      <w:pPr>
        <w:spacing w:after="80"/>
      </w:pPr>
    </w:p>
    <w:p>
      <w:r>
        <w:br w:type="page"/>
      </w:r>
    </w:p>
    <w:p>
      <w:pPr>
        <w:pStyle w:val="Heading1"/>
      </w:pPr>
      <w:r>
        <w:t>21. Glossary</w:t>
      </w:r>
    </w:p>
    <w:tbl>
      <w:tblPr>
        <w:tblStyle w:val="TableGrid"/>
        <w:tblW w:type="auto" w:w="0"/>
        <w:jc w:val="center"/>
        <w:tblLook w:firstColumn="1" w:firstRow="1" w:lastColumn="0" w:lastRow="0" w:noHBand="0" w:noVBand="1" w:val="04A0"/>
      </w:tblPr>
      <w:tblGrid>
        <w:gridCol w:w="4824"/>
        <w:gridCol w:w="4824"/>
      </w:tblGrid>
      <w:tr>
        <w:tc>
          <w:tcPr>
            <w:tcW w:type="dxa" w:w="2448"/>
            <w:shd w:val="clear" w:color="auto" w:fill="1B2A4A"/>
          </w:tcPr>
          <w:p>
            <w:r/>
            <w:r>
              <w:rPr>
                <w:b/>
                <w:color w:val="FFFFFF"/>
                <w:sz w:val="19"/>
              </w:rPr>
              <w:t>Term</w:t>
            </w:r>
          </w:p>
        </w:tc>
        <w:tc>
          <w:tcPr>
            <w:tcW w:type="dxa" w:w="7056"/>
            <w:shd w:val="clear" w:color="auto" w:fill="1B2A4A"/>
          </w:tcPr>
          <w:p>
            <w:r/>
            <w:r>
              <w:rPr>
                <w:b/>
                <w:color w:val="FFFFFF"/>
                <w:sz w:val="19"/>
              </w:rPr>
              <w:t>Definition</w:t>
            </w:r>
          </w:p>
        </w:tc>
      </w:tr>
      <w:tr>
        <w:tc>
          <w:tcPr>
            <w:tcW w:type="dxa" w:w="2448"/>
          </w:tcPr>
          <w:p>
            <w:r/>
            <w:r>
              <w:rPr>
                <w:sz w:val="19"/>
              </w:rPr>
              <w:t>T&amp;E</w:t>
            </w:r>
          </w:p>
        </w:tc>
        <w:tc>
          <w:tcPr>
            <w:tcW w:type="dxa" w:w="7056"/>
          </w:tcPr>
          <w:p>
            <w:r/>
            <w:r>
              <w:rPr>
                <w:sz w:val="19"/>
              </w:rPr>
              <w:t>Travel &amp; Expense</w:t>
            </w:r>
          </w:p>
        </w:tc>
      </w:tr>
      <w:tr>
        <w:tc>
          <w:tcPr>
            <w:tcW w:type="dxa" w:w="2448"/>
          </w:tcPr>
          <w:p>
            <w:r/>
            <w:r>
              <w:rPr>
                <w:sz w:val="19"/>
              </w:rPr>
              <w:t>Layer 0</w:t>
            </w:r>
          </w:p>
        </w:tc>
        <w:tc>
          <w:tcPr>
            <w:tcW w:type="dxa" w:w="7056"/>
          </w:tcPr>
          <w:p>
            <w:r/>
            <w:r>
              <w:rPr>
                <w:sz w:val="19"/>
              </w:rPr>
              <w:t>A user-supplied benchmark or regulatory document that overrides built-in reference data for the dimensions it covers</w:t>
            </w:r>
          </w:p>
        </w:tc>
      </w:tr>
      <w:tr>
        <w:tc>
          <w:tcPr>
            <w:tcW w:type="dxa" w:w="2448"/>
          </w:tcPr>
          <w:p>
            <w:r/>
            <w:r>
              <w:rPr>
                <w:sz w:val="19"/>
              </w:rPr>
              <w:t>DATA MISSING</w:t>
            </w:r>
          </w:p>
        </w:tc>
        <w:tc>
          <w:tcPr>
            <w:tcW w:type="dxa" w:w="7056"/>
          </w:tcPr>
          <w:p>
            <w:r/>
            <w:r>
              <w:rPr>
                <w:sz w:val="19"/>
              </w:rPr>
              <w:t>The required flag for a dimension that cannot be scored due to lack of policy text and lack of external data — never silently skipped or estimated</w:t>
            </w:r>
          </w:p>
        </w:tc>
      </w:tr>
      <w:tr>
        <w:tc>
          <w:tcPr>
            <w:tcW w:type="dxa" w:w="2448"/>
          </w:tcPr>
          <w:p>
            <w:r/>
            <w:r>
              <w:rPr>
                <w:sz w:val="19"/>
              </w:rPr>
              <w:t>Freshness tag</w:t>
            </w:r>
          </w:p>
        </w:tc>
        <w:tc>
          <w:tcPr>
            <w:tcW w:type="dxa" w:w="7056"/>
          </w:tcPr>
          <w:p>
            <w:r/>
            <w:r>
              <w:rPr>
                <w:sz w:val="19"/>
              </w:rPr>
              <w:t>The ✅ (live-verified) / ⚠️ (reference file) / ❌ (data missing) marker applied to every quantitative claim</w:t>
            </w:r>
          </w:p>
        </w:tc>
      </w:tr>
      <w:tr>
        <w:tc>
          <w:tcPr>
            <w:tcW w:type="dxa" w:w="2448"/>
          </w:tcPr>
          <w:p>
            <w:r/>
            <w:r>
              <w:rPr>
                <w:sz w:val="19"/>
              </w:rPr>
              <w:t>Benchmark tier</w:t>
            </w:r>
          </w:p>
        </w:tc>
        <w:tc>
          <w:tcPr>
            <w:tcW w:type="dxa" w:w="7056"/>
          </w:tcPr>
          <w:p>
            <w:r/>
            <w:r>
              <w:rPr>
                <w:sz w:val="19"/>
              </w:rPr>
              <w:t>One of SME / Mid-Market / Large Enterprise / Global Enterprise, matched to company headcount, used to select comparison data</w:t>
            </w:r>
          </w:p>
        </w:tc>
      </w:tr>
      <w:tr>
        <w:tc>
          <w:tcPr>
            <w:tcW w:type="dxa" w:w="2448"/>
          </w:tcPr>
          <w:p>
            <w:r/>
            <w:r>
              <w:rPr>
                <w:sz w:val="19"/>
              </w:rPr>
              <w:t>Skill / Claude Skill</w:t>
            </w:r>
          </w:p>
        </w:tc>
        <w:tc>
          <w:tcPr>
            <w:tcW w:type="dxa" w:w="7056"/>
          </w:tcPr>
          <w:p>
            <w:r/>
            <w:r>
              <w:rPr>
                <w:sz w:val="19"/>
              </w:rPr>
              <w:t>A packaged set of instructions, reference files, and scripts that Anthropic's Claude API can load and execute inside its agentic/code-execution environment</w:t>
            </w:r>
          </w:p>
        </w:tc>
      </w:tr>
      <w:tr>
        <w:tc>
          <w:tcPr>
            <w:tcW w:type="dxa" w:w="2448"/>
          </w:tcPr>
          <w:p>
            <w:r/>
            <w:r>
              <w:rPr>
                <w:sz w:val="19"/>
              </w:rPr>
              <w:t>ask_user_input_v0</w:t>
            </w:r>
          </w:p>
        </w:tc>
        <w:tc>
          <w:tcPr>
            <w:tcW w:type="dxa" w:w="7056"/>
          </w:tcPr>
          <w:p>
            <w:r/>
            <w:r>
              <w:rPr>
                <w:sz w:val="19"/>
              </w:rPr>
              <w:t>The custom tool contract by which the model pauses to request structured user input mid-engagement</w:t>
            </w:r>
          </w:p>
        </w:tc>
      </w:tr>
      <w:tr>
        <w:tc>
          <w:tcPr>
            <w:tcW w:type="dxa" w:w="2448"/>
          </w:tcPr>
          <w:p>
            <w:r/>
            <w:r>
              <w:rPr>
                <w:sz w:val="19"/>
              </w:rPr>
              <w:t>deliver_output</w:t>
            </w:r>
          </w:p>
        </w:tc>
        <w:tc>
          <w:tcPr>
            <w:tcW w:type="dxa" w:w="7056"/>
          </w:tcPr>
          <w:p>
            <w:r/>
            <w:r>
              <w:rPr>
                <w:sz w:val="19"/>
              </w:rPr>
              <w:t>The custom tool contract by which the model hands off generated deliverable files for persistence to durable storage</w:t>
            </w:r>
          </w:p>
        </w:tc>
      </w:tr>
      <w:tr>
        <w:tc>
          <w:tcPr>
            <w:tcW w:type="dxa" w:w="2448"/>
          </w:tcPr>
          <w:p>
            <w:r/>
            <w:r>
              <w:rPr>
                <w:sz w:val="19"/>
              </w:rPr>
              <w:t>GBTA / ACTE / BTN</w:t>
            </w:r>
          </w:p>
        </w:tc>
        <w:tc>
          <w:tcPr>
            <w:tcW w:type="dxa" w:w="7056"/>
          </w:tcPr>
          <w:p>
            <w:r/>
            <w:r>
              <w:rPr>
                <w:sz w:val="19"/>
              </w:rPr>
              <w:t>Industry associations/publications (Global Business Travel Association, Association of Corporate Travel Executives, Business Travel News) whose benchmark reports feed the advisory reference corpus</w:t>
            </w:r>
          </w:p>
        </w:tc>
      </w:tr>
      <w:tr>
        <w:tc>
          <w:tcPr>
            <w:tcW w:type="dxa" w:w="2448"/>
          </w:tcPr>
          <w:p>
            <w:r/>
            <w:r>
              <w:rPr>
                <w:sz w:val="19"/>
              </w:rPr>
              <w:t>CONUS</w:t>
            </w:r>
          </w:p>
        </w:tc>
        <w:tc>
          <w:tcPr>
            <w:tcW w:type="dxa" w:w="7056"/>
          </w:tcPr>
          <w:p>
            <w:r/>
            <w:r>
              <w:rPr>
                <w:sz w:val="19"/>
              </w:rPr>
              <w:t>Continental United States — basis for GSA per diem rate tables</w:t>
            </w:r>
          </w:p>
        </w:tc>
      </w:tr>
      <w:tr>
        <w:tc>
          <w:tcPr>
            <w:tcW w:type="dxa" w:w="2448"/>
          </w:tcPr>
          <w:p>
            <w:r/>
            <w:r>
              <w:rPr>
                <w:sz w:val="19"/>
              </w:rPr>
              <w:t>CFDI / NF-e / Fapiao</w:t>
            </w:r>
          </w:p>
        </w:tc>
        <w:tc>
          <w:tcPr>
            <w:tcW w:type="dxa" w:w="7056"/>
          </w:tcPr>
          <w:p>
            <w:r/>
            <w:r>
              <w:rPr>
                <w:sz w:val="19"/>
              </w:rPr>
              <w:t>Electronic invoicing/tax-documentation regimes for Mexico, Brazil, and China respectively</w:t>
            </w:r>
          </w:p>
        </w:tc>
      </w:tr>
    </w:tbl>
    <w:p>
      <w:pPr>
        <w:spacing w:after="80"/>
      </w:pPr>
    </w:p>
    <w:p>
      <w:r>
        <w:br w:type="page"/>
      </w:r>
    </w:p>
    <w:p>
      <w:pPr>
        <w:pStyle w:val="Heading1"/>
      </w:pPr>
      <w:r>
        <w:t>22. Appendix A — End-to-End Flow Walkthrough (Gap Analysis Example)</w:t>
      </w:r>
    </w:p>
    <w:p>
      <w:pPr>
        <w:spacing w:after="120"/>
      </w:pPr>
      <w:r>
        <w:rPr>
          <w:b w:val="0"/>
          <w:i w:val="0"/>
        </w:rPr>
        <w:t>A concrete trace through every layer of this BRD, for a mid-market company running a US + EMEA Gap Analysis on one uploaded policy, to validate that Sections 9–12 compose correctly.</w:t>
      </w:r>
    </w:p>
    <w:p>
      <w:pPr>
        <w:spacing w:after="160"/>
      </w:pPr>
      <w:r>
        <w:rPr>
          <w:b/>
          <w:color w:val="2E5C8A"/>
        </w:rPr>
        <w:t xml:space="preserve">1. Mode selection — </w:t>
      </w:r>
      <w:r>
        <w:t>User picks "Gap Analysis" on the New Engagement screen (12.3). POST /api/engagements creates a DRAFT engagement.</w:t>
      </w:r>
    </w:p>
    <w:p>
      <w:pPr>
        <w:spacing w:after="160"/>
      </w:pPr>
      <w:r>
        <w:rPr>
          <w:b/>
          <w:color w:val="2E5C8A"/>
        </w:rPr>
        <w:t xml:space="preserve">2. Intake — </w:t>
      </w:r>
      <w:r>
        <w:t>User completes the wizard (12.4): headcount 2,000–20,000, industry Financial Services, maturity Established, regions US + EMEA, audience Internal Audit, output format PDF. PATCH /api/engagements/{id}/intake persists it.</w:t>
      </w:r>
    </w:p>
    <w:p>
      <w:pPr>
        <w:spacing w:after="160"/>
      </w:pPr>
      <w:r>
        <w:rPr>
          <w:b/>
          <w:color w:val="2E5C8A"/>
        </w:rPr>
        <w:t xml:space="preserve">3. File upload — </w:t>
      </w:r>
      <w:r>
        <w:t>User uploads one file, current_policy_v3.pdf. Only one file, so Phase 0A triage (12.5) is skipped; it is auto-assigned role "Policy under review."</w:t>
      </w:r>
    </w:p>
    <w:p>
      <w:pPr>
        <w:spacing w:after="160"/>
      </w:pPr>
      <w:r>
        <w:rPr>
          <w:b/>
          <w:color w:val="2E5C8A"/>
        </w:rPr>
        <w:t xml:space="preserve">4. Submission — </w:t>
      </w:r>
      <w:r>
        <w:t>POST /api/engagements/{id}/submit moves the engagement to QUEUED, then the Orchestration Service opens a Claude API session with the PolicyIQ skill bundle loaded, code-execution and web-search tools enabled, and the intake payload plus the uploaded file in context.</w:t>
      </w:r>
    </w:p>
    <w:p>
      <w:pPr>
        <w:spacing w:after="160"/>
      </w:pPr>
      <w:r>
        <w:rPr>
          <w:b/>
          <w:color w:val="2E5C8A"/>
        </w:rPr>
        <w:t xml:space="preserve">5. Phase 1A — </w:t>
      </w:r>
      <w:r>
        <w:t>Engagement state = FETCHING_LIVE_DATA. Because regions are US + EMEA only, the system fetches GSA per diem, IRS mileage, IRS meal %, HMRC scale rates, HMRC mileage, EU VAT, and UK VAT — it does NOT fetch India GST, Fapiao, or LATAM data points, per the region-scoping rule (9.3.2). Progress UI (12.6) shows each item resolving live (✅) or falling back (⚠️).</w:t>
      </w:r>
    </w:p>
    <w:p>
      <w:pPr>
        <w:spacing w:after="160"/>
      </w:pPr>
      <w:r>
        <w:rPr>
          <w:b/>
          <w:color w:val="2E5C8A"/>
        </w:rPr>
        <w:t xml:space="preserve">6. Phase 1B — </w:t>
      </w:r>
      <w:r>
        <w:t>State = LOADING_REFERENCES. System loads policy_framework.md, regulatory_us.md, regulatory_emea.md, and scoring_rubric.md. benchmarks_corporate.md/advisory.md are not loaded because mode = gap_analysis, not benchmark/compare/build.</w:t>
      </w:r>
    </w:p>
    <w:p>
      <w:pPr>
        <w:spacing w:after="160"/>
      </w:pPr>
      <w:r>
        <w:rPr>
          <w:b/>
          <w:color w:val="2E5C8A"/>
        </w:rPr>
        <w:t xml:space="preserve">7. Phase 2 — </w:t>
      </w:r>
      <w:r>
        <w:t>State = INGESTING. PDF is parsed; clause-by-clause map produced. Dimension Coverage view (12.7) shows, e.g., "Meals &amp; Per Diems: Vague," "Sustainability, DEI, Wellness &amp; Duty of Care: Missing."</w:t>
      </w:r>
    </w:p>
    <w:p>
      <w:pPr>
        <w:spacing w:after="160"/>
      </w:pPr>
      <w:r>
        <w:rPr>
          <w:b/>
          <w:color w:val="2E5C8A"/>
        </w:rPr>
        <w:t xml:space="preserve">8. Phase 3 — </w:t>
      </w:r>
      <w:r>
        <w:t>State = ANALYZING. For "Meals &amp; Per Diems," the model cannot find a specific per-diem cap and the reference file has no exact analog either, but GSA CONUS was live-fetched, so a quantified gap is produced (not DATA MISSING). For "Sustainability, DEI, Wellness &amp; Duty of Care," the policy has zero text and no external data was supplied, so it is flagged DATA MISSING and the engagement pauses (state = AWAITING_CLARIFICATION), surfacing a targeted question via ask_user_input_v0: "Does your company have any duty-of-care or wellness travel provisions not captured in this document?"</w:t>
      </w:r>
    </w:p>
    <w:p>
      <w:pPr>
        <w:spacing w:after="160"/>
      </w:pPr>
      <w:r>
        <w:rPr>
          <w:b/>
          <w:color w:val="2E5C8A"/>
        </w:rPr>
        <w:t xml:space="preserve">9. Clarification — </w:t>
      </w:r>
      <w:r>
        <w:t>User answers via the in-app form (12.6); POST /api/engagements/{id}/clarifications resumes analysis with that input, either producing a score or confirming DATA MISSING if the answer is "no such provisions exist."</w:t>
      </w:r>
    </w:p>
    <w:p>
      <w:pPr>
        <w:spacing w:after="160"/>
      </w:pPr>
      <w:r>
        <w:rPr>
          <w:b/>
          <w:color w:val="2E5C8A"/>
        </w:rPr>
        <w:t xml:space="preserve">10. Phase 4 — </w:t>
      </w:r>
      <w:r>
        <w:t>State = SYNTHESIZING. Executive summary, overall score (flagged Provisional because one dimension remains DATA MISSING), Top 5 priorities, and a regulatory exposure estimate are produced.</w:t>
      </w:r>
    </w:p>
    <w:p>
      <w:pPr>
        <w:spacing w:after="160"/>
      </w:pPr>
      <w:r>
        <w:rPr>
          <w:b/>
          <w:color w:val="2E5C8A"/>
        </w:rPr>
        <w:t xml:space="preserve">11. Review — </w:t>
      </w:r>
      <w:r>
        <w:t>State = READY_FOR_REVIEW. User reviews the Executive Summary Dashboard (12.10), sees the Provisional badge and why, and proceeds.</w:t>
      </w:r>
    </w:p>
    <w:p>
      <w:pPr>
        <w:spacing w:after="160"/>
      </w:pPr>
      <w:r>
        <w:rPr>
          <w:b/>
          <w:color w:val="2E5C8A"/>
        </w:rPr>
        <w:t xml:space="preserve">12. Generation — </w:t>
      </w:r>
      <w:r>
        <w:t>User confirms PDF (already selected at intake). State = GENERATING_OUTPUT: the Word report is authored first, then converted to PDF (9.8.4). deliver_output persists the file to Output Storage.</w:t>
      </w:r>
    </w:p>
    <w:p>
      <w:pPr>
        <w:spacing w:after="160"/>
      </w:pPr>
      <w:r>
        <w:rPr>
          <w:b/>
          <w:color w:val="2E5C8A"/>
        </w:rPr>
        <w:t xml:space="preserve">13. Delivery — </w:t>
      </w:r>
      <w:r>
        <w:t>State = COMPLETE. File appears in the Download Center (12.11). A human (the Internal Audit Lead persona) reviews before forwarding externally, per the human-in-the-loop requirement (5.2).</w:t>
      </w:r>
    </w:p>
    <w:p>
      <w:r>
        <w:br w:type="page"/>
      </w:r>
    </w:p>
    <w:p>
      <w:pPr>
        <w:pStyle w:val="Heading1"/>
      </w:pPr>
      <w:r>
        <w:t>23. Appendix B — PolicyIQ Skill Bundle Directory Structure</w:t>
      </w:r>
    </w:p>
    <w:p>
      <w:pPr>
        <w:spacing w:after="120"/>
      </w:pPr>
      <w:r>
        <w:rPr>
          <w:b w:val="0"/>
          <w:i w:val="0"/>
        </w:rPr>
        <w:t>This is the exact file bundle the Reference Library Service (Section 9.4.1) must host, version, and hand to the Orchestration Service unmodified. It is the deployment unit for all business logic content changes.</w:t>
      </w:r>
    </w:p>
    <w:p>
      <w:pPr>
        <w:ind w:left="432"/>
      </w:pPr>
      <w:r>
        <w:rPr>
          <w:rFonts w:ascii="Consolas" w:hAnsi="Consolas"/>
          <w:sz w:val="18"/>
        </w:rPr>
        <w:t>policyiq/</w:t>
        <w:br/>
        <w:t xml:space="preserve">  SKILL.md                        # intake rules, phase workflow, quality standards</w:t>
        <w:br/>
        <w:t xml:space="preserve">  references/</w:t>
        <w:br/>
        <w:t xml:space="preserve">    policy_framework.md           # the 14-dimension framework (Section 13)</w:t>
        <w:br/>
        <w:t xml:space="preserve">    benchmarks_corporate.md       # FAANG / Big 4 / SaaS / Fortune 500 benchmark data</w:t>
        <w:br/>
        <w:t xml:space="preserve">    benchmarks_advisory.md        # GBTA / ACTE / Deloitte / AmEx / BTN data</w:t>
        <w:br/>
        <w:t xml:space="preserve">    regulatory_us.md              # IRS / FLSA / GSA</w:t>
        <w:br/>
        <w:t xml:space="preserve">    regulatory_emea.md            # HMRC / EU VAT / GDPR</w:t>
        <w:br/>
        <w:t xml:space="preserve">    regulatory_apac.md            # India GST / China Fapiao / Japan / Singapore / Australia / Korea</w:t>
        <w:br/>
        <w:t xml:space="preserve">    regulatory_latam.md           # Brazil NF-e / Mexico CFDI 4.0</w:t>
        <w:br/>
        <w:t xml:space="preserve">    scoring_rubric.md             # 100-point rubric (Section 14)</w:t>
        <w:br/>
        <w:t xml:space="preserve">    output_templates.md           # deliverable specs per format (Section 9.8)</w:t>
        <w:br/>
        <w:t xml:space="preserve">  scripts/</w:t>
        <w:br/>
        <w:t xml:space="preserve">    build_excel_scorecard.py      # generates 7 of the 12/14 Excel tabs</w:t>
        <w:br/>
        <w:t xml:space="preserve">  assets/</w:t>
        <w:br/>
        <w:t xml:space="preserve">    scores_template.json          # required shape for scores.json input to the script above</w:t>
      </w:r>
    </w:p>
    <w:p>
      <w:r>
        <w:br w:type="page"/>
      </w:r>
    </w:p>
    <w:p>
      <w:pPr>
        <w:pStyle w:val="Heading1"/>
      </w:pPr>
      <w:r>
        <w:t>24. Appendix C — Open Items Log</w:t>
      </w:r>
    </w:p>
    <w:p>
      <w:pPr>
        <w:spacing w:after="120"/>
      </w:pPr>
      <w:r>
        <w:rPr>
          <w:b w:val="0"/>
          <w:i w:val="0"/>
        </w:rPr>
        <w:t>This BRD is intended to close every question needed to begin design and build. This log exists to make that claim auditable: every open question identified during authoring was either resolved into the body of this document (with a stated assumption in Section 19 where a business decision was required) or is listed below with a named owner and target resolution date. There are no unresolved items blocking the start of engineering design.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val="clear" w:color="auto" w:fill="1B2A4A"/>
          </w:tcPr>
          <w:p>
            <w:r/>
            <w:r>
              <w:rPr>
                <w:b/>
                <w:color w:val="FFFFFF"/>
                <w:sz w:val="19"/>
              </w:rPr>
              <w:t>ID</w:t>
            </w:r>
          </w:p>
        </w:tc>
        <w:tc>
          <w:tcPr>
            <w:tcW w:type="dxa" w:w="3024"/>
            <w:shd w:val="clear" w:color="auto" w:fill="1B2A4A"/>
          </w:tcPr>
          <w:p>
            <w:r/>
            <w:r>
              <w:rPr>
                <w:b/>
                <w:color w:val="FFFFFF"/>
                <w:sz w:val="19"/>
              </w:rPr>
              <w:t>Item</w:t>
            </w:r>
          </w:p>
        </w:tc>
        <w:tc>
          <w:tcPr>
            <w:tcW w:type="dxa" w:w="1872"/>
            <w:shd w:val="clear" w:color="auto" w:fill="1B2A4A"/>
          </w:tcPr>
          <w:p>
            <w:r/>
            <w:r>
              <w:rPr>
                <w:b/>
                <w:color w:val="FFFFFF"/>
                <w:sz w:val="19"/>
              </w:rPr>
              <w:t>Status</w:t>
            </w:r>
          </w:p>
        </w:tc>
        <w:tc>
          <w:tcPr>
            <w:tcW w:type="dxa" w:w="3888"/>
            <w:shd w:val="clear" w:color="auto" w:fill="1B2A4A"/>
          </w:tcPr>
          <w:p>
            <w:r/>
            <w:r>
              <w:rPr>
                <w:b/>
                <w:color w:val="FFFFFF"/>
                <w:sz w:val="19"/>
              </w:rPr>
              <w:t>Resolution</w:t>
            </w:r>
          </w:p>
        </w:tc>
      </w:tr>
      <w:tr>
        <w:tc>
          <w:tcPr>
            <w:tcW w:type="dxa" w:w="720"/>
          </w:tcPr>
          <w:p>
            <w:r/>
            <w:r>
              <w:rPr>
                <w:sz w:val="19"/>
              </w:rPr>
              <w:t>OI-1</w:t>
            </w:r>
          </w:p>
        </w:tc>
        <w:tc>
          <w:tcPr>
            <w:tcW w:type="dxa" w:w="3024"/>
          </w:tcPr>
          <w:p>
            <w:r/>
            <w:r>
              <w:rPr>
                <w:sz w:val="19"/>
              </w:rPr>
              <w:t>Which LLM/model provider and integration mechanism to use</w:t>
            </w:r>
          </w:p>
        </w:tc>
        <w:tc>
          <w:tcPr>
            <w:tcW w:type="dxa" w:w="1872"/>
          </w:tcPr>
          <w:p>
            <w:r/>
            <w:r>
              <w:rPr>
                <w:sz w:val="19"/>
              </w:rPr>
              <w:t>Resolved</w:t>
            </w:r>
          </w:p>
        </w:tc>
        <w:tc>
          <w:tcPr>
            <w:tcW w:type="dxa" w:w="3888"/>
          </w:tcPr>
          <w:p>
            <w:r/>
            <w:r>
              <w:rPr>
                <w:sz w:val="19"/>
              </w:rPr>
              <w:t>Section 8 — Anthropic Claude API via Skills/Files/code-execution/web-search</w:t>
            </w:r>
          </w:p>
        </w:tc>
      </w:tr>
      <w:tr>
        <w:tc>
          <w:tcPr>
            <w:tcW w:type="dxa" w:w="720"/>
          </w:tcPr>
          <w:p>
            <w:r/>
            <w:r>
              <w:rPr>
                <w:sz w:val="19"/>
              </w:rPr>
              <w:t>OI-2</w:t>
            </w:r>
          </w:p>
        </w:tc>
        <w:tc>
          <w:tcPr>
            <w:tcW w:type="dxa" w:w="3024"/>
          </w:tcPr>
          <w:p>
            <w:r/>
            <w:r>
              <w:rPr>
                <w:sz w:val="19"/>
              </w:rPr>
              <w:t>How ask_user_input_v0 and present_files map to a web UI</w:t>
            </w:r>
          </w:p>
        </w:tc>
        <w:tc>
          <w:tcPr>
            <w:tcW w:type="dxa" w:w="1872"/>
          </w:tcPr>
          <w:p>
            <w:r/>
            <w:r>
              <w:rPr>
                <w:sz w:val="19"/>
              </w:rPr>
              <w:t>Resolved</w:t>
            </w:r>
          </w:p>
        </w:tc>
        <w:tc>
          <w:tcPr>
            <w:tcW w:type="dxa" w:w="3888"/>
          </w:tcPr>
          <w:p>
            <w:r/>
            <w:r>
              <w:rPr>
                <w:sz w:val="19"/>
              </w:rPr>
              <w:t>Section 8.2, 11.4 — custom tool contracts (ask_user_input_v0, deliver_output)</w:t>
            </w:r>
          </w:p>
        </w:tc>
      </w:tr>
      <w:tr>
        <w:tc>
          <w:tcPr>
            <w:tcW w:type="dxa" w:w="720"/>
          </w:tcPr>
          <w:p>
            <w:r/>
            <w:r>
              <w:rPr>
                <w:sz w:val="19"/>
              </w:rPr>
              <w:t>OI-3</w:t>
            </w:r>
          </w:p>
        </w:tc>
        <w:tc>
          <w:tcPr>
            <w:tcW w:type="dxa" w:w="3024"/>
          </w:tcPr>
          <w:p>
            <w:r/>
            <w:r>
              <w:rPr>
                <w:sz w:val="19"/>
              </w:rPr>
              <w:t>Exact data model for findings/citations</w:t>
            </w:r>
          </w:p>
        </w:tc>
        <w:tc>
          <w:tcPr>
            <w:tcW w:type="dxa" w:w="1872"/>
          </w:tcPr>
          <w:p>
            <w:r/>
            <w:r>
              <w:rPr>
                <w:sz w:val="19"/>
              </w:rPr>
              <w:t>Resolved</w:t>
            </w:r>
          </w:p>
        </w:tc>
        <w:tc>
          <w:tcPr>
            <w:tcW w:type="dxa" w:w="3888"/>
          </w:tcPr>
          <w:p>
            <w:r/>
            <w:r>
              <w:rPr>
                <w:sz w:val="19"/>
              </w:rPr>
              <w:t>Section 10.3, 10.4</w:t>
            </w:r>
          </w:p>
        </w:tc>
      </w:tr>
      <w:tr>
        <w:tc>
          <w:tcPr>
            <w:tcW w:type="dxa" w:w="720"/>
          </w:tcPr>
          <w:p>
            <w:r/>
            <w:r>
              <w:rPr>
                <w:sz w:val="19"/>
              </w:rPr>
              <w:t>OI-4</w:t>
            </w:r>
          </w:p>
        </w:tc>
        <w:tc>
          <w:tcPr>
            <w:tcW w:type="dxa" w:w="3024"/>
          </w:tcPr>
          <w:p>
            <w:r/>
            <w:r>
              <w:rPr>
                <w:sz w:val="19"/>
              </w:rPr>
              <w:t>Data residency for EU tenant content</w:t>
            </w:r>
          </w:p>
        </w:tc>
        <w:tc>
          <w:tcPr>
            <w:tcW w:type="dxa" w:w="1872"/>
          </w:tcPr>
          <w:p>
            <w:r/>
            <w:r>
              <w:rPr>
                <w:sz w:val="19"/>
              </w:rPr>
              <w:t>Open — non-blocking</w:t>
            </w:r>
          </w:p>
        </w:tc>
        <w:tc>
          <w:tcPr>
            <w:tcW w:type="dxa" w:w="3888"/>
          </w:tcPr>
          <w:p>
            <w:r/>
            <w:r>
              <w:rPr>
                <w:sz w:val="19"/>
              </w:rPr>
              <w:t>Assumption A7 (Section 19); architecture supports region-pinning; specific region pending IT Security/Legal confirmation before first production deployment</w:t>
            </w:r>
          </w:p>
        </w:tc>
      </w:tr>
      <w:tr>
        <w:tc>
          <w:tcPr>
            <w:tcW w:type="dxa" w:w="720"/>
          </w:tcPr>
          <w:p>
            <w:r/>
            <w:r>
              <w:rPr>
                <w:sz w:val="19"/>
              </w:rPr>
              <w:t>OI-5</w:t>
            </w:r>
          </w:p>
        </w:tc>
        <w:tc>
          <w:tcPr>
            <w:tcW w:type="dxa" w:w="3024"/>
          </w:tcPr>
          <w:p>
            <w:r/>
            <w:r>
              <w:rPr>
                <w:sz w:val="19"/>
              </w:rPr>
              <w:t>Exact audit-log/deliverable retention period</w:t>
            </w:r>
          </w:p>
        </w:tc>
        <w:tc>
          <w:tcPr>
            <w:tcW w:type="dxa" w:w="1872"/>
          </w:tcPr>
          <w:p>
            <w:r/>
            <w:r>
              <w:rPr>
                <w:sz w:val="19"/>
              </w:rPr>
              <w:t>Open — non-blocking</w:t>
            </w:r>
          </w:p>
        </w:tc>
        <w:tc>
          <w:tcPr>
            <w:tcW w:type="dxa" w:w="3888"/>
          </w:tcPr>
          <w:p>
            <w:r/>
            <w:r>
              <w:rPr>
                <w:sz w:val="19"/>
              </w:rPr>
              <w:t>Assumption A8 (Section 19); build against a 7-year minimum default pending Legal/Compliance sign-off</w:t>
            </w:r>
          </w:p>
        </w:tc>
      </w:tr>
      <w:tr>
        <w:tc>
          <w:tcPr>
            <w:tcW w:type="dxa" w:w="720"/>
          </w:tcPr>
          <w:p>
            <w:r/>
            <w:r>
              <w:rPr>
                <w:sz w:val="19"/>
              </w:rPr>
              <w:t>OI-6</w:t>
            </w:r>
          </w:p>
        </w:tc>
        <w:tc>
          <w:tcPr>
            <w:tcW w:type="dxa" w:w="3024"/>
          </w:tcPr>
          <w:p>
            <w:r/>
            <w:r>
              <w:rPr>
                <w:sz w:val="19"/>
              </w:rPr>
              <w:t>Named enterprise IdP for SSO</w:t>
            </w:r>
          </w:p>
        </w:tc>
        <w:tc>
          <w:tcPr>
            <w:tcW w:type="dxa" w:w="1872"/>
          </w:tcPr>
          <w:p>
            <w:r/>
            <w:r>
              <w:rPr>
                <w:sz w:val="19"/>
              </w:rPr>
              <w:t>Open — non-blocking</w:t>
            </w:r>
          </w:p>
        </w:tc>
        <w:tc>
          <w:tcPr>
            <w:tcW w:type="dxa" w:w="3888"/>
          </w:tcPr>
          <w:p>
            <w:r/>
            <w:r>
              <w:rPr>
                <w:sz w:val="19"/>
              </w:rPr>
              <w:t>Section 16.5; build to SAML 2.0/OIDC standard, IT to supply specific IdP configuration at deployment time</w:t>
            </w:r>
          </w:p>
        </w:tc>
      </w:tr>
    </w:tbl>
    <w:p>
      <w:pPr>
        <w:spacing w:after="80"/>
      </w:pPr>
    </w:p>
    <w:p>
      <w:pPr>
        <w:spacing w:after="160"/>
        <w:ind w:left="288"/>
      </w:pPr>
      <w:r>
        <w:rPr>
          <w:b/>
          <w:i/>
          <w:color w:val="2E5C8A"/>
        </w:rPr>
        <w:t xml:space="preserve">Note: </w:t>
      </w:r>
      <w:r>
        <w:rPr>
          <w:i/>
          <w:color w:val="555555"/>
        </w:rPr>
        <w:t>Items marked "Open — non-blocking" are configuration/policy confirmations, not design unknowns — engineering can build the corresponding capability (region-pinning, 7-year retention, standards-based SSO) immediately, and simply apply the final confirmed value at deployment/configuration time rather than at design time.</w:t>
      </w:r>
    </w:p>
    <w:p>
      <w:r>
        <w:br w:type="page"/>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