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59914272" w:rsidR="00365DEB" w:rsidRPr="00565DE9" w:rsidRDefault="00A92C4F" w:rsidP="00D61965">
      <w:pPr>
        <w:spacing w:after="60"/>
        <w:jc w:val="center"/>
        <w:rPr>
          <w:b/>
        </w:rPr>
      </w:pPr>
      <w:r>
        <w:rPr>
          <w:b/>
        </w:rPr>
        <w:t>200</w:t>
      </w:r>
      <w:r w:rsidR="00DE4C68">
        <w:rPr>
          <w:b/>
        </w:rPr>
        <w:t>9</w:t>
      </w:r>
      <w:r w:rsidR="00715CE6">
        <w:rPr>
          <w:b/>
        </w:rPr>
        <w:t xml:space="preserve"> S2</w:t>
      </w:r>
    </w:p>
    <w:p w14:paraId="1AF3557B" w14:textId="77777777" w:rsidR="00E36AA0" w:rsidRPr="00E36AA0" w:rsidRDefault="00BC7AE6" w:rsidP="00E36AA0">
      <w:pPr>
        <w:spacing w:after="60"/>
        <w:rPr>
          <w:color w:val="000000" w:themeColor="text1"/>
        </w:rPr>
      </w:pPr>
      <w:r w:rsidRPr="00125723">
        <w:rPr>
          <w:b/>
          <w:color w:val="000000" w:themeColor="text1"/>
        </w:rPr>
        <w:t>Q1</w:t>
      </w:r>
      <w:r>
        <w:rPr>
          <w:b/>
          <w:color w:val="000000" w:themeColor="text1"/>
        </w:rPr>
        <w:t xml:space="preserve"> </w:t>
      </w:r>
      <w:r w:rsidRPr="00CC2D97">
        <w:rPr>
          <w:color w:val="000000" w:themeColor="text1"/>
        </w:rPr>
        <w:t xml:space="preserve">a) </w:t>
      </w:r>
      <w:r w:rsidR="00E36AA0" w:rsidRPr="00E36AA0">
        <w:rPr>
          <w:color w:val="000000" w:themeColor="text1"/>
        </w:rPr>
        <w:t>The principles for determining the policy liability of investment linked business are:</w:t>
      </w:r>
    </w:p>
    <w:p w14:paraId="04230842" w14:textId="7EAE9755" w:rsidR="00E36AA0" w:rsidRPr="00B04DD9" w:rsidRDefault="00E36AA0" w:rsidP="00CF0598">
      <w:pPr>
        <w:pStyle w:val="ListParagraph"/>
        <w:numPr>
          <w:ilvl w:val="0"/>
          <w:numId w:val="1"/>
        </w:numPr>
        <w:spacing w:after="60"/>
        <w:rPr>
          <w:color w:val="000000" w:themeColor="text1"/>
        </w:rPr>
      </w:pPr>
      <w:r w:rsidRPr="00B04DD9">
        <w:rPr>
          <w:color w:val="000000" w:themeColor="text1"/>
        </w:rPr>
        <w:t>The policy liability comprises the Life Investment Contract Liab</w:t>
      </w:r>
      <w:r w:rsidR="00B04DD9" w:rsidRPr="00B04DD9">
        <w:rPr>
          <w:color w:val="000000" w:themeColor="text1"/>
        </w:rPr>
        <w:t>ility (LICL) and the Management</w:t>
      </w:r>
      <w:r w:rsidR="00B04DD9">
        <w:rPr>
          <w:color w:val="000000" w:themeColor="text1"/>
        </w:rPr>
        <w:t xml:space="preserve"> </w:t>
      </w:r>
      <w:r w:rsidRPr="00B04DD9">
        <w:rPr>
          <w:color w:val="000000" w:themeColor="text1"/>
        </w:rPr>
        <w:t>Services Element (MSE).</w:t>
      </w:r>
    </w:p>
    <w:p w14:paraId="4F0084C6" w14:textId="7F535B6A" w:rsidR="00E36AA0" w:rsidRPr="00B04DD9" w:rsidRDefault="00E36AA0" w:rsidP="00CF0598">
      <w:pPr>
        <w:pStyle w:val="ListParagraph"/>
        <w:numPr>
          <w:ilvl w:val="0"/>
          <w:numId w:val="1"/>
        </w:numPr>
        <w:spacing w:after="60"/>
        <w:rPr>
          <w:color w:val="000000" w:themeColor="text1"/>
        </w:rPr>
      </w:pPr>
      <w:r w:rsidRPr="00B04DD9">
        <w:rPr>
          <w:color w:val="000000" w:themeColor="text1"/>
        </w:rPr>
        <w:t>The LICL is determined under AASB139.</w:t>
      </w:r>
    </w:p>
    <w:p w14:paraId="61F26DA1" w14:textId="630F4E8F" w:rsidR="00E36AA0" w:rsidRPr="00B04DD9" w:rsidRDefault="00E36AA0" w:rsidP="00CF0598">
      <w:pPr>
        <w:pStyle w:val="ListParagraph"/>
        <w:numPr>
          <w:ilvl w:val="0"/>
          <w:numId w:val="1"/>
        </w:numPr>
        <w:spacing w:after="60"/>
        <w:rPr>
          <w:color w:val="000000" w:themeColor="text1"/>
        </w:rPr>
      </w:pPr>
      <w:r w:rsidRPr="0071441F">
        <w:rPr>
          <w:color w:val="000000" w:themeColor="text1"/>
          <w:u w:val="single"/>
        </w:rPr>
        <w:t>The LICL is determined at fair value</w:t>
      </w:r>
      <w:r w:rsidRPr="00B04DD9">
        <w:rPr>
          <w:color w:val="000000" w:themeColor="text1"/>
        </w:rPr>
        <w:t>.</w:t>
      </w:r>
    </w:p>
    <w:p w14:paraId="2C64A131" w14:textId="09E48094" w:rsidR="00E36AA0" w:rsidRPr="00B04DD9" w:rsidRDefault="00E36AA0" w:rsidP="00CF0598">
      <w:pPr>
        <w:pStyle w:val="ListParagraph"/>
        <w:numPr>
          <w:ilvl w:val="0"/>
          <w:numId w:val="1"/>
        </w:numPr>
        <w:spacing w:after="60"/>
        <w:rPr>
          <w:color w:val="000000" w:themeColor="text1"/>
        </w:rPr>
      </w:pPr>
      <w:r w:rsidRPr="0071441F">
        <w:rPr>
          <w:color w:val="000000" w:themeColor="text1"/>
          <w:u w:val="single"/>
        </w:rPr>
        <w:t>The LICL cannot be less than surrender value</w:t>
      </w:r>
      <w:r w:rsidRPr="00B04DD9">
        <w:rPr>
          <w:color w:val="000000" w:themeColor="text1"/>
        </w:rPr>
        <w:t>.</w:t>
      </w:r>
    </w:p>
    <w:p w14:paraId="2B889744" w14:textId="58A6A8E5" w:rsidR="00E36AA0" w:rsidRPr="00B04DD9" w:rsidRDefault="00E36AA0" w:rsidP="00CF0598">
      <w:pPr>
        <w:pStyle w:val="ListParagraph"/>
        <w:numPr>
          <w:ilvl w:val="0"/>
          <w:numId w:val="1"/>
        </w:numPr>
        <w:spacing w:after="60"/>
        <w:rPr>
          <w:color w:val="000000" w:themeColor="text1"/>
        </w:rPr>
      </w:pPr>
      <w:r w:rsidRPr="00B04DD9">
        <w:rPr>
          <w:color w:val="000000" w:themeColor="text1"/>
        </w:rPr>
        <w:t>The MSE is determined under AASB118.</w:t>
      </w:r>
    </w:p>
    <w:p w14:paraId="321FC39A" w14:textId="0783FE5C" w:rsidR="00E36AA0" w:rsidRPr="0071441F" w:rsidRDefault="00E36AA0" w:rsidP="00CF0598">
      <w:pPr>
        <w:pStyle w:val="ListParagraph"/>
        <w:numPr>
          <w:ilvl w:val="0"/>
          <w:numId w:val="1"/>
        </w:numPr>
        <w:spacing w:after="60"/>
        <w:rPr>
          <w:color w:val="000000" w:themeColor="text1"/>
          <w:u w:val="single"/>
        </w:rPr>
      </w:pPr>
      <w:r w:rsidRPr="0071441F">
        <w:rPr>
          <w:color w:val="000000" w:themeColor="text1"/>
          <w:u w:val="single"/>
        </w:rPr>
        <w:t xml:space="preserve">The MSE </w:t>
      </w:r>
      <w:r w:rsidR="0071441F">
        <w:rPr>
          <w:color w:val="000000" w:themeColor="text1"/>
          <w:u w:val="single"/>
        </w:rPr>
        <w:t xml:space="preserve">is </w:t>
      </w:r>
      <w:r w:rsidR="0071441F" w:rsidRPr="0071441F">
        <w:rPr>
          <w:color w:val="000000" w:themeColor="text1"/>
          <w:u w:val="single"/>
        </w:rPr>
        <w:t>the value of deferred entry fee revenue less deferred acquisition costs</w:t>
      </w:r>
      <w:proofErr w:type="gramStart"/>
      <w:r w:rsidR="0071441F" w:rsidRPr="0071441F">
        <w:rPr>
          <w:color w:val="000000" w:themeColor="text1"/>
          <w:u w:val="single"/>
        </w:rPr>
        <w:t>.</w:t>
      </w:r>
      <w:r w:rsidRPr="0071441F">
        <w:rPr>
          <w:color w:val="000000" w:themeColor="text1"/>
          <w:u w:val="single"/>
        </w:rPr>
        <w:t>.</w:t>
      </w:r>
      <w:proofErr w:type="gramEnd"/>
    </w:p>
    <w:p w14:paraId="0BB6CBD9" w14:textId="7EDE4267" w:rsidR="00126652" w:rsidRDefault="00E36AA0" w:rsidP="00CF0598">
      <w:pPr>
        <w:pStyle w:val="ListParagraph"/>
        <w:numPr>
          <w:ilvl w:val="0"/>
          <w:numId w:val="1"/>
        </w:numPr>
        <w:spacing w:after="60"/>
        <w:rPr>
          <w:color w:val="000000" w:themeColor="text1"/>
        </w:rPr>
      </w:pPr>
      <w:r w:rsidRPr="00B04DD9">
        <w:rPr>
          <w:color w:val="000000" w:themeColor="text1"/>
        </w:rPr>
        <w:t>Incremental acquisition costs may be deferred if they are separately identifiable and if it is likely they will be recovered.</w:t>
      </w:r>
    </w:p>
    <w:p w14:paraId="3F794285" w14:textId="77777777" w:rsidR="006F1389" w:rsidRPr="006F1389" w:rsidRDefault="007B2412" w:rsidP="006F1389">
      <w:pPr>
        <w:spacing w:after="60"/>
        <w:rPr>
          <w:color w:val="000000" w:themeColor="text1"/>
        </w:rPr>
      </w:pPr>
      <w:r>
        <w:rPr>
          <w:color w:val="000000" w:themeColor="text1"/>
        </w:rPr>
        <w:t>1d</w:t>
      </w:r>
      <w:r w:rsidR="0071441F">
        <w:rPr>
          <w:color w:val="000000" w:themeColor="text1"/>
        </w:rPr>
        <w:t xml:space="preserve">) </w:t>
      </w:r>
      <w:proofErr w:type="spellStart"/>
      <w:r w:rsidR="00C26554">
        <w:rPr>
          <w:color w:val="000000" w:themeColor="text1"/>
        </w:rPr>
        <w:t>i</w:t>
      </w:r>
      <w:proofErr w:type="spellEnd"/>
      <w:r w:rsidR="00C26554">
        <w:rPr>
          <w:color w:val="000000" w:themeColor="text1"/>
        </w:rPr>
        <w:t xml:space="preserve">. </w:t>
      </w:r>
      <w:r w:rsidR="006F1389" w:rsidRPr="006F1389">
        <w:rPr>
          <w:color w:val="000000" w:themeColor="text1"/>
        </w:rPr>
        <w:t>Profit reporting will change as follows:</w:t>
      </w:r>
    </w:p>
    <w:p w14:paraId="29F9B352" w14:textId="42FF2FC6" w:rsidR="006F1389" w:rsidRPr="006F1389" w:rsidRDefault="006F1389" w:rsidP="00CF0598">
      <w:pPr>
        <w:pStyle w:val="ListParagraph"/>
        <w:numPr>
          <w:ilvl w:val="0"/>
          <w:numId w:val="2"/>
        </w:numPr>
        <w:spacing w:after="60"/>
        <w:rPr>
          <w:color w:val="000000" w:themeColor="text1"/>
        </w:rPr>
      </w:pPr>
      <w:r w:rsidRPr="006F1389">
        <w:rPr>
          <w:color w:val="000000" w:themeColor="text1"/>
        </w:rPr>
        <w:t>Profit emergence will be unchanged as both trust managers and life investment contracts are governed by AASB139 and AASB118.</w:t>
      </w:r>
    </w:p>
    <w:p w14:paraId="14F41D0C" w14:textId="3CB064A6" w:rsidR="0071441F" w:rsidRDefault="006F1389" w:rsidP="00CF0598">
      <w:pPr>
        <w:pStyle w:val="ListParagraph"/>
        <w:numPr>
          <w:ilvl w:val="0"/>
          <w:numId w:val="2"/>
        </w:numPr>
        <w:spacing w:after="60"/>
        <w:rPr>
          <w:color w:val="000000" w:themeColor="text1"/>
        </w:rPr>
      </w:pPr>
      <w:r w:rsidRPr="006F1389">
        <w:rPr>
          <w:color w:val="000000" w:themeColor="text1"/>
        </w:rPr>
        <w:t xml:space="preserve">The format of the P&amp;L will change to </w:t>
      </w:r>
      <w:r>
        <w:rPr>
          <w:color w:val="000000" w:themeColor="text1"/>
        </w:rPr>
        <w:t>“</w:t>
      </w:r>
      <w:r w:rsidRPr="006F1389">
        <w:rPr>
          <w:color w:val="000000" w:themeColor="text1"/>
        </w:rPr>
        <w:t>fees less expenses</w:t>
      </w:r>
      <w:r>
        <w:rPr>
          <w:color w:val="000000" w:themeColor="text1"/>
        </w:rPr>
        <w:t>”</w:t>
      </w:r>
      <w:r w:rsidRPr="006F1389">
        <w:rPr>
          <w:color w:val="000000" w:themeColor="text1"/>
        </w:rPr>
        <w:t>.</w:t>
      </w:r>
    </w:p>
    <w:p w14:paraId="1706FF48" w14:textId="2AC70597" w:rsidR="002B793E" w:rsidRPr="002B793E" w:rsidRDefault="006F1389" w:rsidP="002B793E">
      <w:pPr>
        <w:spacing w:after="60"/>
        <w:rPr>
          <w:color w:val="000000" w:themeColor="text1"/>
        </w:rPr>
      </w:pPr>
      <w:r>
        <w:rPr>
          <w:color w:val="000000" w:themeColor="text1"/>
        </w:rPr>
        <w:t xml:space="preserve">ii. </w:t>
      </w:r>
      <w:r w:rsidR="002B793E" w:rsidRPr="002B793E">
        <w:rPr>
          <w:color w:val="000000" w:themeColor="text1"/>
        </w:rPr>
        <w:t>Factors</w:t>
      </w:r>
      <w:r w:rsidR="002B793E">
        <w:rPr>
          <w:color w:val="000000" w:themeColor="text1"/>
        </w:rPr>
        <w:t xml:space="preserve"> </w:t>
      </w:r>
      <w:r w:rsidR="002B793E" w:rsidRPr="002B793E">
        <w:rPr>
          <w:color w:val="000000" w:themeColor="text1"/>
        </w:rPr>
        <w:t>to</w:t>
      </w:r>
      <w:r w:rsidR="002B793E">
        <w:rPr>
          <w:color w:val="000000" w:themeColor="text1"/>
        </w:rPr>
        <w:t xml:space="preserve"> </w:t>
      </w:r>
      <w:r w:rsidR="002B793E" w:rsidRPr="002B793E">
        <w:rPr>
          <w:color w:val="000000" w:themeColor="text1"/>
        </w:rPr>
        <w:t>consider</w:t>
      </w:r>
      <w:r w:rsidR="002B793E">
        <w:rPr>
          <w:color w:val="000000" w:themeColor="text1"/>
        </w:rPr>
        <w:t xml:space="preserve"> </w:t>
      </w:r>
      <w:r w:rsidR="002B793E" w:rsidRPr="002B793E">
        <w:rPr>
          <w:color w:val="000000" w:themeColor="text1"/>
        </w:rPr>
        <w:t>in</w:t>
      </w:r>
      <w:r w:rsidR="002B793E">
        <w:rPr>
          <w:color w:val="000000" w:themeColor="text1"/>
        </w:rPr>
        <w:t xml:space="preserve"> </w:t>
      </w:r>
      <w:r w:rsidR="002B793E" w:rsidRPr="002B793E">
        <w:rPr>
          <w:color w:val="000000" w:themeColor="text1"/>
        </w:rPr>
        <w:t>determining</w:t>
      </w:r>
      <w:r w:rsidR="002B793E">
        <w:rPr>
          <w:color w:val="000000" w:themeColor="text1"/>
        </w:rPr>
        <w:t xml:space="preserve"> </w:t>
      </w:r>
      <w:r w:rsidR="002B793E" w:rsidRPr="002B793E">
        <w:rPr>
          <w:color w:val="000000" w:themeColor="text1"/>
        </w:rPr>
        <w:t>capital</w:t>
      </w:r>
      <w:r w:rsidR="002B793E">
        <w:rPr>
          <w:color w:val="000000" w:themeColor="text1"/>
        </w:rPr>
        <w:t xml:space="preserve"> </w:t>
      </w:r>
      <w:r w:rsidR="002B793E" w:rsidRPr="002B793E">
        <w:rPr>
          <w:color w:val="000000" w:themeColor="text1"/>
        </w:rPr>
        <w:t>for</w:t>
      </w:r>
      <w:r w:rsidR="002B793E">
        <w:rPr>
          <w:color w:val="000000" w:themeColor="text1"/>
        </w:rPr>
        <w:t xml:space="preserve"> </w:t>
      </w:r>
      <w:r w:rsidR="002B793E" w:rsidRPr="002B793E">
        <w:rPr>
          <w:color w:val="000000" w:themeColor="text1"/>
        </w:rPr>
        <w:t>the</w:t>
      </w:r>
      <w:r w:rsidR="002B793E">
        <w:rPr>
          <w:color w:val="000000" w:themeColor="text1"/>
        </w:rPr>
        <w:t xml:space="preserve"> </w:t>
      </w:r>
      <w:r w:rsidR="002B793E" w:rsidRPr="002B793E">
        <w:rPr>
          <w:color w:val="000000" w:themeColor="text1"/>
        </w:rPr>
        <w:t>trust</w:t>
      </w:r>
      <w:r w:rsidR="002B793E">
        <w:rPr>
          <w:color w:val="000000" w:themeColor="text1"/>
        </w:rPr>
        <w:t xml:space="preserve"> </w:t>
      </w:r>
      <w:r w:rsidR="002B793E" w:rsidRPr="002B793E">
        <w:rPr>
          <w:color w:val="000000" w:themeColor="text1"/>
        </w:rPr>
        <w:t>manager:</w:t>
      </w:r>
    </w:p>
    <w:p w14:paraId="6827C163" w14:textId="1FBBB67B" w:rsidR="002B793E" w:rsidRPr="00A76528" w:rsidRDefault="002B793E" w:rsidP="00CF0598">
      <w:pPr>
        <w:pStyle w:val="ListParagraph"/>
        <w:numPr>
          <w:ilvl w:val="0"/>
          <w:numId w:val="3"/>
        </w:numPr>
        <w:spacing w:after="60"/>
        <w:rPr>
          <w:color w:val="000000" w:themeColor="text1"/>
        </w:rPr>
      </w:pPr>
      <w:r w:rsidRPr="00A76528">
        <w:rPr>
          <w:color w:val="000000" w:themeColor="text1"/>
        </w:rPr>
        <w:t xml:space="preserve">The regulatory capital requirements will be significantly different. </w:t>
      </w:r>
      <w:r w:rsidRPr="00A76528">
        <w:rPr>
          <w:color w:val="FF0000"/>
        </w:rPr>
        <w:t>The Life</w:t>
      </w:r>
      <w:r w:rsidR="00A76528" w:rsidRPr="00A76528">
        <w:rPr>
          <w:color w:val="FF0000"/>
        </w:rPr>
        <w:t xml:space="preserve"> </w:t>
      </w:r>
      <w:r w:rsidRPr="00A76528">
        <w:rPr>
          <w:color w:val="FF0000"/>
        </w:rPr>
        <w:t>Insurance Act solvency and capital adequacy requirements will no longer</w:t>
      </w:r>
      <w:r w:rsidR="00A76528" w:rsidRPr="00A76528">
        <w:rPr>
          <w:color w:val="FF0000"/>
        </w:rPr>
        <w:t xml:space="preserve"> </w:t>
      </w:r>
      <w:r w:rsidRPr="00A76528">
        <w:rPr>
          <w:color w:val="FF0000"/>
        </w:rPr>
        <w:t>apply</w:t>
      </w:r>
      <w:r w:rsidRPr="00A76528">
        <w:rPr>
          <w:color w:val="000000" w:themeColor="text1"/>
        </w:rPr>
        <w:t>.</w:t>
      </w:r>
    </w:p>
    <w:p w14:paraId="3260300F" w14:textId="7F7E964E" w:rsidR="002B793E" w:rsidRPr="00A76528" w:rsidRDefault="002B793E" w:rsidP="00CF0598">
      <w:pPr>
        <w:pStyle w:val="ListParagraph"/>
        <w:numPr>
          <w:ilvl w:val="0"/>
          <w:numId w:val="3"/>
        </w:numPr>
        <w:spacing w:after="60"/>
        <w:rPr>
          <w:color w:val="000000" w:themeColor="text1"/>
        </w:rPr>
      </w:pPr>
      <w:r w:rsidRPr="00A76528">
        <w:rPr>
          <w:color w:val="000000" w:themeColor="text1"/>
        </w:rPr>
        <w:t>The trust management company will still need to have sufficient capital in</w:t>
      </w:r>
      <w:r w:rsidR="00A76528">
        <w:rPr>
          <w:color w:val="000000" w:themeColor="text1"/>
        </w:rPr>
        <w:t xml:space="preserve"> </w:t>
      </w:r>
      <w:r w:rsidRPr="00A76528">
        <w:rPr>
          <w:color w:val="000000" w:themeColor="text1"/>
        </w:rPr>
        <w:t>order to manage the risks it is incurring. $5 million may not be adequate.</w:t>
      </w:r>
    </w:p>
    <w:p w14:paraId="2F207090" w14:textId="5AD5256E" w:rsidR="002B793E" w:rsidRPr="002B793E" w:rsidRDefault="002B793E" w:rsidP="00CF0598">
      <w:pPr>
        <w:pStyle w:val="ListParagraph"/>
        <w:numPr>
          <w:ilvl w:val="0"/>
          <w:numId w:val="3"/>
        </w:numPr>
        <w:spacing w:after="60"/>
        <w:rPr>
          <w:color w:val="000000" w:themeColor="text1"/>
        </w:rPr>
      </w:pPr>
      <w:r w:rsidRPr="002B793E">
        <w:rPr>
          <w:color w:val="000000" w:themeColor="text1"/>
        </w:rPr>
        <w:t>The directors will need to consider what probability of ruin is acceptable.</w:t>
      </w:r>
    </w:p>
    <w:p w14:paraId="0CB05723" w14:textId="5D8ED111" w:rsidR="002B793E" w:rsidRPr="00A76528" w:rsidRDefault="002B793E" w:rsidP="00CF0598">
      <w:pPr>
        <w:pStyle w:val="ListParagraph"/>
        <w:numPr>
          <w:ilvl w:val="0"/>
          <w:numId w:val="3"/>
        </w:numPr>
        <w:spacing w:after="60"/>
        <w:rPr>
          <w:color w:val="000000" w:themeColor="text1"/>
        </w:rPr>
      </w:pPr>
      <w:r w:rsidRPr="00A76528">
        <w:rPr>
          <w:color w:val="000000" w:themeColor="text1"/>
        </w:rPr>
        <w:t xml:space="preserve">The directors will need to </w:t>
      </w:r>
      <w:r w:rsidRPr="00A76528">
        <w:rPr>
          <w:color w:val="FF0000"/>
        </w:rPr>
        <w:t xml:space="preserve">consider the time horizon </w:t>
      </w:r>
      <w:r w:rsidRPr="00A76528">
        <w:rPr>
          <w:color w:val="000000" w:themeColor="text1"/>
        </w:rPr>
        <w:t>between the occurrence</w:t>
      </w:r>
      <w:r w:rsidR="00A76528" w:rsidRPr="00A76528">
        <w:rPr>
          <w:color w:val="000000" w:themeColor="text1"/>
        </w:rPr>
        <w:t xml:space="preserve"> </w:t>
      </w:r>
      <w:r w:rsidRPr="00A76528">
        <w:rPr>
          <w:color w:val="000000" w:themeColor="text1"/>
        </w:rPr>
        <w:t>of adverse experience and management implementing actions to address the</w:t>
      </w:r>
      <w:r w:rsidR="00A76528">
        <w:rPr>
          <w:color w:val="000000" w:themeColor="text1"/>
        </w:rPr>
        <w:t xml:space="preserve"> </w:t>
      </w:r>
      <w:r w:rsidRPr="00A76528">
        <w:rPr>
          <w:color w:val="000000" w:themeColor="text1"/>
        </w:rPr>
        <w:t>problem.</w:t>
      </w:r>
    </w:p>
    <w:p w14:paraId="29C72764" w14:textId="4062FDD3" w:rsidR="002B793E" w:rsidRPr="00A76528" w:rsidRDefault="002B793E" w:rsidP="00CF0598">
      <w:pPr>
        <w:pStyle w:val="ListParagraph"/>
        <w:numPr>
          <w:ilvl w:val="0"/>
          <w:numId w:val="3"/>
        </w:numPr>
        <w:spacing w:after="60"/>
        <w:rPr>
          <w:color w:val="000000" w:themeColor="text1"/>
        </w:rPr>
      </w:pPr>
      <w:r w:rsidRPr="00A76528">
        <w:rPr>
          <w:color w:val="000000" w:themeColor="text1"/>
        </w:rPr>
        <w:t>They will need to consider the risks to the business. The most significant</w:t>
      </w:r>
      <w:r w:rsidR="00A76528">
        <w:rPr>
          <w:color w:val="000000" w:themeColor="text1"/>
        </w:rPr>
        <w:t xml:space="preserve"> </w:t>
      </w:r>
      <w:r w:rsidRPr="00A76528">
        <w:rPr>
          <w:color w:val="000000" w:themeColor="text1"/>
        </w:rPr>
        <w:t>risks to the management company are:</w:t>
      </w:r>
    </w:p>
    <w:p w14:paraId="7EC45DD9" w14:textId="6305D6A9" w:rsidR="002B793E" w:rsidRPr="00A76528" w:rsidRDefault="002B793E" w:rsidP="00CF0598">
      <w:pPr>
        <w:pStyle w:val="ListParagraph"/>
        <w:numPr>
          <w:ilvl w:val="1"/>
          <w:numId w:val="3"/>
        </w:numPr>
        <w:spacing w:after="60"/>
        <w:rPr>
          <w:color w:val="000000" w:themeColor="text1"/>
        </w:rPr>
      </w:pPr>
      <w:r w:rsidRPr="00137C86">
        <w:rPr>
          <w:color w:val="FF0000"/>
        </w:rPr>
        <w:t xml:space="preserve">Redemption risks </w:t>
      </w:r>
      <w:r w:rsidRPr="00A76528">
        <w:rPr>
          <w:color w:val="000000" w:themeColor="text1"/>
        </w:rPr>
        <w:t>in the superannuation trust which the management</w:t>
      </w:r>
      <w:r w:rsidR="00A76528">
        <w:rPr>
          <w:color w:val="000000" w:themeColor="text1"/>
        </w:rPr>
        <w:t xml:space="preserve"> </w:t>
      </w:r>
      <w:r w:rsidRPr="00A76528">
        <w:rPr>
          <w:color w:val="000000" w:themeColor="text1"/>
        </w:rPr>
        <w:t>company may be obliged to fund – e.g. asset prices below unit prices, allowance for selling costs is insufficient, allowance for deferred tax is insufficient</w:t>
      </w:r>
    </w:p>
    <w:p w14:paraId="4E5152AE" w14:textId="584F5F7B" w:rsidR="002B793E" w:rsidRPr="002B793E" w:rsidRDefault="002B793E" w:rsidP="00CF0598">
      <w:pPr>
        <w:pStyle w:val="ListParagraph"/>
        <w:numPr>
          <w:ilvl w:val="1"/>
          <w:numId w:val="3"/>
        </w:numPr>
        <w:spacing w:after="60"/>
        <w:rPr>
          <w:color w:val="000000" w:themeColor="text1"/>
        </w:rPr>
      </w:pPr>
      <w:r w:rsidRPr="00137C86">
        <w:rPr>
          <w:color w:val="FF0000"/>
        </w:rPr>
        <w:t>Expenses of the management company exceed fee revenue</w:t>
      </w:r>
      <w:r w:rsidRPr="002B793E">
        <w:rPr>
          <w:color w:val="000000" w:themeColor="text1"/>
        </w:rPr>
        <w:t>. E.g. due to new business strain or a sudden loss of existing business.</w:t>
      </w:r>
    </w:p>
    <w:p w14:paraId="20DDB900" w14:textId="038E2F0D" w:rsidR="002B793E" w:rsidRPr="002B793E" w:rsidRDefault="002B793E" w:rsidP="00CF0598">
      <w:pPr>
        <w:pStyle w:val="ListParagraph"/>
        <w:numPr>
          <w:ilvl w:val="1"/>
          <w:numId w:val="3"/>
        </w:numPr>
        <w:spacing w:after="60"/>
        <w:rPr>
          <w:color w:val="000000" w:themeColor="text1"/>
        </w:rPr>
      </w:pPr>
      <w:r w:rsidRPr="002B793E">
        <w:rPr>
          <w:color w:val="000000" w:themeColor="text1"/>
        </w:rPr>
        <w:t xml:space="preserve">Intangible assets not being </w:t>
      </w:r>
      <w:proofErr w:type="spellStart"/>
      <w:r w:rsidRPr="002B793E">
        <w:rPr>
          <w:color w:val="000000" w:themeColor="text1"/>
        </w:rPr>
        <w:t>realisable</w:t>
      </w:r>
      <w:proofErr w:type="spellEnd"/>
      <w:r w:rsidRPr="002B793E">
        <w:rPr>
          <w:color w:val="000000" w:themeColor="text1"/>
        </w:rPr>
        <w:t xml:space="preserve"> – e.g. loans to agents, computer software, future income tax benefits.</w:t>
      </w:r>
    </w:p>
    <w:p w14:paraId="750EFC07" w14:textId="0DCF73CE" w:rsidR="002B793E" w:rsidRPr="002B793E" w:rsidRDefault="002B793E" w:rsidP="00CF0598">
      <w:pPr>
        <w:pStyle w:val="ListParagraph"/>
        <w:numPr>
          <w:ilvl w:val="1"/>
          <w:numId w:val="3"/>
        </w:numPr>
        <w:spacing w:after="60"/>
        <w:rPr>
          <w:color w:val="000000" w:themeColor="text1"/>
        </w:rPr>
      </w:pPr>
      <w:r w:rsidRPr="00137C86">
        <w:rPr>
          <w:color w:val="FF0000"/>
        </w:rPr>
        <w:t xml:space="preserve">Mismatching </w:t>
      </w:r>
      <w:r w:rsidRPr="002B793E">
        <w:rPr>
          <w:color w:val="000000" w:themeColor="text1"/>
        </w:rPr>
        <w:t>of the assets held to cover other liabilities of the management company.</w:t>
      </w:r>
    </w:p>
    <w:p w14:paraId="5AE7A03D" w14:textId="45DE4D0C" w:rsidR="002B793E" w:rsidRPr="002B793E" w:rsidRDefault="002B793E" w:rsidP="00CF0598">
      <w:pPr>
        <w:pStyle w:val="ListParagraph"/>
        <w:numPr>
          <w:ilvl w:val="1"/>
          <w:numId w:val="3"/>
        </w:numPr>
        <w:spacing w:after="60"/>
        <w:rPr>
          <w:color w:val="000000" w:themeColor="text1"/>
        </w:rPr>
      </w:pPr>
      <w:r w:rsidRPr="002B793E">
        <w:rPr>
          <w:color w:val="000000" w:themeColor="text1"/>
        </w:rPr>
        <w:t>Operational risks.</w:t>
      </w:r>
    </w:p>
    <w:p w14:paraId="02FB1C34" w14:textId="5D5F2D74" w:rsidR="002B793E" w:rsidRPr="002B793E" w:rsidRDefault="002B793E" w:rsidP="00CF0598">
      <w:pPr>
        <w:pStyle w:val="ListParagraph"/>
        <w:numPr>
          <w:ilvl w:val="0"/>
          <w:numId w:val="3"/>
        </w:numPr>
        <w:spacing w:after="60"/>
        <w:rPr>
          <w:color w:val="000000" w:themeColor="text1"/>
        </w:rPr>
      </w:pPr>
      <w:r w:rsidRPr="002B793E">
        <w:rPr>
          <w:color w:val="000000" w:themeColor="text1"/>
        </w:rPr>
        <w:t xml:space="preserve">They will need to consider the </w:t>
      </w:r>
      <w:r w:rsidRPr="00A76528">
        <w:rPr>
          <w:color w:val="FF0000"/>
        </w:rPr>
        <w:t>diversification of these risks within BST</w:t>
      </w:r>
      <w:r w:rsidRPr="002B793E">
        <w:rPr>
          <w:color w:val="000000" w:themeColor="text1"/>
        </w:rPr>
        <w:t>.</w:t>
      </w:r>
    </w:p>
    <w:p w14:paraId="1D8B2D81" w14:textId="11DDA0CA" w:rsidR="002B793E" w:rsidRPr="00A76528" w:rsidRDefault="002B793E" w:rsidP="00CF0598">
      <w:pPr>
        <w:pStyle w:val="ListParagraph"/>
        <w:numPr>
          <w:ilvl w:val="0"/>
          <w:numId w:val="3"/>
        </w:numPr>
        <w:spacing w:after="60"/>
        <w:rPr>
          <w:color w:val="000000" w:themeColor="text1"/>
        </w:rPr>
      </w:pPr>
      <w:r w:rsidRPr="00A76528">
        <w:rPr>
          <w:color w:val="000000" w:themeColor="text1"/>
        </w:rPr>
        <w:t>The cost of capital should be considered. The cost of capital (above</w:t>
      </w:r>
      <w:r w:rsidR="00A76528">
        <w:rPr>
          <w:color w:val="000000" w:themeColor="text1"/>
        </w:rPr>
        <w:t xml:space="preserve"> </w:t>
      </w:r>
      <w:r w:rsidRPr="00A76528">
        <w:rPr>
          <w:color w:val="000000" w:themeColor="text1"/>
        </w:rPr>
        <w:t xml:space="preserve">regulatory requirements) is difficult to determine. As the amount of capital increases, the probability of ruin will decrease. </w:t>
      </w:r>
      <w:r w:rsidRPr="00A76528">
        <w:rPr>
          <w:color w:val="FF0000"/>
        </w:rPr>
        <w:t>On the other hand, more capital also increases the “agency” risks – management not using capital in the best interests of shareholders.</w:t>
      </w:r>
    </w:p>
    <w:p w14:paraId="7F5D63BC" w14:textId="218C5BDC" w:rsidR="002B793E" w:rsidRPr="002B793E" w:rsidRDefault="002B793E" w:rsidP="00CF0598">
      <w:pPr>
        <w:pStyle w:val="ListParagraph"/>
        <w:numPr>
          <w:ilvl w:val="0"/>
          <w:numId w:val="3"/>
        </w:numPr>
        <w:spacing w:after="60"/>
        <w:rPr>
          <w:color w:val="000000" w:themeColor="text1"/>
        </w:rPr>
      </w:pPr>
      <w:r w:rsidRPr="002B793E">
        <w:rPr>
          <w:color w:val="000000" w:themeColor="text1"/>
        </w:rPr>
        <w:lastRenderedPageBreak/>
        <w:t xml:space="preserve">They may need to consider the </w:t>
      </w:r>
      <w:r w:rsidRPr="00A76528">
        <w:rPr>
          <w:color w:val="FF0000"/>
        </w:rPr>
        <w:t xml:space="preserve">requirements of ratings agencies </w:t>
      </w:r>
      <w:r w:rsidRPr="002B793E">
        <w:rPr>
          <w:color w:val="000000" w:themeColor="text1"/>
        </w:rPr>
        <w:t>(if BST intends to issue debt).</w:t>
      </w:r>
    </w:p>
    <w:p w14:paraId="3CC81424" w14:textId="777ABBF7" w:rsidR="002B793E" w:rsidRPr="002B793E" w:rsidRDefault="002B793E" w:rsidP="00CF0598">
      <w:pPr>
        <w:pStyle w:val="ListParagraph"/>
        <w:numPr>
          <w:ilvl w:val="0"/>
          <w:numId w:val="3"/>
        </w:numPr>
        <w:spacing w:after="60"/>
        <w:rPr>
          <w:color w:val="000000" w:themeColor="text1"/>
        </w:rPr>
      </w:pPr>
      <w:r w:rsidRPr="002B793E">
        <w:rPr>
          <w:color w:val="000000" w:themeColor="text1"/>
        </w:rPr>
        <w:t xml:space="preserve">Other potential stakeholders in the superannuation funds (e.g. trustees, members, employers) may have a requirement for minimum </w:t>
      </w:r>
      <w:r w:rsidRPr="00A76528">
        <w:rPr>
          <w:color w:val="FF0000"/>
        </w:rPr>
        <w:t xml:space="preserve">financial strength </w:t>
      </w:r>
      <w:r w:rsidRPr="002B793E">
        <w:rPr>
          <w:color w:val="000000" w:themeColor="text1"/>
        </w:rPr>
        <w:t>of the trust management company.</w:t>
      </w:r>
    </w:p>
    <w:p w14:paraId="62B971D5" w14:textId="1CE7E6F5" w:rsidR="002B793E" w:rsidRPr="002B793E" w:rsidRDefault="002B793E" w:rsidP="00CF0598">
      <w:pPr>
        <w:pStyle w:val="ListParagraph"/>
        <w:numPr>
          <w:ilvl w:val="0"/>
          <w:numId w:val="3"/>
        </w:numPr>
        <w:spacing w:after="60"/>
        <w:rPr>
          <w:color w:val="000000" w:themeColor="text1"/>
        </w:rPr>
      </w:pPr>
      <w:r w:rsidRPr="00A76528">
        <w:rPr>
          <w:color w:val="FF0000"/>
        </w:rPr>
        <w:t>Sources and availability of capital need to be considered</w:t>
      </w:r>
      <w:r w:rsidRPr="002B793E">
        <w:rPr>
          <w:color w:val="000000" w:themeColor="text1"/>
        </w:rPr>
        <w:t>. The primary source is likely to be BGG. How mobile is capital within the group?</w:t>
      </w:r>
    </w:p>
    <w:p w14:paraId="5611FD6F" w14:textId="71EB5541" w:rsidR="006F1389" w:rsidRPr="002B793E" w:rsidRDefault="002B793E" w:rsidP="00CF0598">
      <w:pPr>
        <w:pStyle w:val="ListParagraph"/>
        <w:numPr>
          <w:ilvl w:val="0"/>
          <w:numId w:val="3"/>
        </w:numPr>
        <w:spacing w:after="60"/>
        <w:rPr>
          <w:color w:val="000000" w:themeColor="text1"/>
          <w:lang w:val="en-GB"/>
        </w:rPr>
      </w:pPr>
      <w:r w:rsidRPr="002B793E">
        <w:rPr>
          <w:color w:val="000000" w:themeColor="text1"/>
        </w:rPr>
        <w:t xml:space="preserve">Consider the </w:t>
      </w:r>
      <w:r w:rsidRPr="00A76528">
        <w:rPr>
          <w:color w:val="FF0000"/>
        </w:rPr>
        <w:t xml:space="preserve">diversification of risks </w:t>
      </w:r>
      <w:r w:rsidRPr="002B793E">
        <w:rPr>
          <w:color w:val="000000" w:themeColor="text1"/>
        </w:rPr>
        <w:t>within the BGG group.</w:t>
      </w:r>
    </w:p>
    <w:p w14:paraId="66C366E3" w14:textId="48B11CB1" w:rsidR="0071441F" w:rsidRDefault="0071441F" w:rsidP="007B2412">
      <w:pPr>
        <w:pStyle w:val="ListParagraph"/>
        <w:spacing w:after="60"/>
        <w:rPr>
          <w:color w:val="000000" w:themeColor="text1"/>
        </w:rPr>
      </w:pPr>
    </w:p>
    <w:p w14:paraId="206FD8CD" w14:textId="77777777" w:rsidR="00B643F8" w:rsidRPr="00B643F8" w:rsidRDefault="007941C1" w:rsidP="00B643F8">
      <w:pPr>
        <w:spacing w:after="60"/>
        <w:rPr>
          <w:color w:val="000000" w:themeColor="text1"/>
        </w:rPr>
      </w:pPr>
      <w:r>
        <w:rPr>
          <w:b/>
          <w:color w:val="000000" w:themeColor="text1"/>
        </w:rPr>
        <w:t xml:space="preserve">Q2 </w:t>
      </w:r>
      <w:r w:rsidR="00B643F8">
        <w:rPr>
          <w:color w:val="000000" w:themeColor="text1"/>
        </w:rPr>
        <w:t>b</w:t>
      </w:r>
      <w:r w:rsidRPr="00CC2D97">
        <w:rPr>
          <w:color w:val="000000" w:themeColor="text1"/>
        </w:rPr>
        <w:t xml:space="preserve">) </w:t>
      </w:r>
      <w:r w:rsidR="00B643F8" w:rsidRPr="00892C12">
        <w:rPr>
          <w:b/>
          <w:color w:val="000000" w:themeColor="text1"/>
        </w:rPr>
        <w:t>Interest rates</w:t>
      </w:r>
    </w:p>
    <w:p w14:paraId="7DDCE418" w14:textId="1C8127A3" w:rsidR="00B643F8" w:rsidRPr="00892C12" w:rsidRDefault="00B643F8" w:rsidP="00CF0598">
      <w:pPr>
        <w:pStyle w:val="ListParagraph"/>
        <w:numPr>
          <w:ilvl w:val="0"/>
          <w:numId w:val="1"/>
        </w:numPr>
        <w:spacing w:after="60"/>
        <w:rPr>
          <w:color w:val="000000" w:themeColor="text1"/>
        </w:rPr>
      </w:pPr>
      <w:r w:rsidRPr="00892C12">
        <w:rPr>
          <w:color w:val="000000" w:themeColor="text1"/>
        </w:rPr>
        <w:t>Lower interest rates will increase the VSA and hence the policy liability for both IA and Conv.</w:t>
      </w:r>
    </w:p>
    <w:p w14:paraId="1E2772B1" w14:textId="1B61B86B" w:rsidR="00B643F8" w:rsidRPr="00892C12" w:rsidRDefault="00B643F8" w:rsidP="00CF0598">
      <w:pPr>
        <w:pStyle w:val="ListParagraph"/>
        <w:numPr>
          <w:ilvl w:val="0"/>
          <w:numId w:val="1"/>
        </w:numPr>
        <w:spacing w:after="60"/>
        <w:rPr>
          <w:color w:val="000000" w:themeColor="text1"/>
        </w:rPr>
      </w:pPr>
      <w:r w:rsidRPr="00892C12">
        <w:rPr>
          <w:color w:val="000000" w:themeColor="text1"/>
        </w:rPr>
        <w:t>The policy liability will increase further if the BEL, calculated using the risk free discount rate, exceeds the VSA (the Adequacy Threshold test).</w:t>
      </w:r>
    </w:p>
    <w:p w14:paraId="6A67C172" w14:textId="35671ACD" w:rsidR="00B643F8" w:rsidRPr="00F343CE" w:rsidRDefault="00B643F8" w:rsidP="00CF0598">
      <w:pPr>
        <w:pStyle w:val="ListParagraph"/>
        <w:numPr>
          <w:ilvl w:val="0"/>
          <w:numId w:val="1"/>
        </w:numPr>
        <w:spacing w:after="60"/>
        <w:rPr>
          <w:color w:val="FF0000"/>
        </w:rPr>
      </w:pPr>
      <w:r w:rsidRPr="00F343CE">
        <w:rPr>
          <w:color w:val="FF0000"/>
        </w:rPr>
        <w:t>The PRP will increase due to the increase in value of the fixed interest assets backing it.</w:t>
      </w:r>
    </w:p>
    <w:p w14:paraId="297527C1" w14:textId="37A693BD" w:rsidR="00B643F8" w:rsidRPr="00892C12" w:rsidRDefault="00B643F8" w:rsidP="00CF0598">
      <w:pPr>
        <w:pStyle w:val="ListParagraph"/>
        <w:numPr>
          <w:ilvl w:val="0"/>
          <w:numId w:val="1"/>
        </w:numPr>
        <w:spacing w:after="60"/>
        <w:rPr>
          <w:color w:val="000000" w:themeColor="text1"/>
        </w:rPr>
      </w:pPr>
      <w:r w:rsidRPr="00F343CE">
        <w:rPr>
          <w:color w:val="FF0000"/>
        </w:rPr>
        <w:t>The capital adequacy liability increases by a large amount, probably because the value of guaranteed benefits increases</w:t>
      </w:r>
      <w:r w:rsidRPr="00892C12">
        <w:rPr>
          <w:color w:val="000000" w:themeColor="text1"/>
        </w:rPr>
        <w:t xml:space="preserve"> to such an extent that future bonuses fall to zero under the capital adequacy liability assumptions.</w:t>
      </w:r>
    </w:p>
    <w:p w14:paraId="4D382904" w14:textId="77777777" w:rsidR="00F33FA5" w:rsidRDefault="00B643F8" w:rsidP="00CF0598">
      <w:pPr>
        <w:pStyle w:val="ListParagraph"/>
        <w:numPr>
          <w:ilvl w:val="0"/>
          <w:numId w:val="1"/>
        </w:numPr>
        <w:spacing w:after="60"/>
        <w:rPr>
          <w:color w:val="000000" w:themeColor="text1"/>
        </w:rPr>
      </w:pPr>
      <w:r w:rsidRPr="00F33FA5">
        <w:rPr>
          <w:color w:val="FF0000"/>
        </w:rPr>
        <w:t xml:space="preserve">Current termination values for conventional may </w:t>
      </w:r>
      <w:r w:rsidR="00892C12" w:rsidRPr="00F33FA5">
        <w:rPr>
          <w:color w:val="FF0000"/>
        </w:rPr>
        <w:t xml:space="preserve">increase due to a change in the </w:t>
      </w:r>
      <w:r w:rsidRPr="00F33FA5">
        <w:rPr>
          <w:color w:val="FF0000"/>
        </w:rPr>
        <w:t>terminal bonus rate. This is in response to the increase in asset values resulting from the fall in interest rates.</w:t>
      </w:r>
      <w:r w:rsidRPr="00892C12">
        <w:rPr>
          <w:color w:val="000000" w:themeColor="text1"/>
        </w:rPr>
        <w:t xml:space="preserve"> </w:t>
      </w:r>
    </w:p>
    <w:p w14:paraId="0E82DBD3" w14:textId="70132423" w:rsidR="00B643F8" w:rsidRPr="00F33FA5" w:rsidRDefault="00F33FA5" w:rsidP="00CF0598">
      <w:pPr>
        <w:pStyle w:val="ListParagraph"/>
        <w:numPr>
          <w:ilvl w:val="0"/>
          <w:numId w:val="1"/>
        </w:numPr>
        <w:spacing w:after="60"/>
        <w:rPr>
          <w:color w:val="FF0000"/>
        </w:rPr>
      </w:pPr>
      <w:r w:rsidRPr="00F33FA5">
        <w:rPr>
          <w:color w:val="FF0000"/>
        </w:rPr>
        <w:t xml:space="preserve">Current termination values </w:t>
      </w:r>
      <w:r w:rsidR="00B643F8" w:rsidRPr="00F33FA5">
        <w:rPr>
          <w:color w:val="FF0000"/>
        </w:rPr>
        <w:t>may also increase if the</w:t>
      </w:r>
      <w:r w:rsidR="00892C12" w:rsidRPr="00F33FA5">
        <w:rPr>
          <w:color w:val="FF0000"/>
        </w:rPr>
        <w:t xml:space="preserve"> interest rate used to find the </w:t>
      </w:r>
      <w:r w:rsidR="00B643F8" w:rsidRPr="00F33FA5">
        <w:rPr>
          <w:color w:val="FF0000"/>
        </w:rPr>
        <w:t xml:space="preserve">surrender value of sum insured and </w:t>
      </w:r>
      <w:proofErr w:type="gramStart"/>
      <w:r w:rsidR="00B643F8" w:rsidRPr="00F33FA5">
        <w:rPr>
          <w:color w:val="FF0000"/>
        </w:rPr>
        <w:t>reversionary bonuses is</w:t>
      </w:r>
      <w:proofErr w:type="gramEnd"/>
      <w:r w:rsidR="00B643F8" w:rsidRPr="00F33FA5">
        <w:rPr>
          <w:color w:val="FF0000"/>
        </w:rPr>
        <w:t xml:space="preserve"> actively managed.</w:t>
      </w:r>
    </w:p>
    <w:p w14:paraId="4D37F6C8" w14:textId="77777777" w:rsidR="00B643F8" w:rsidRPr="00892C12" w:rsidRDefault="00B643F8" w:rsidP="00892C12">
      <w:pPr>
        <w:spacing w:after="60"/>
        <w:rPr>
          <w:b/>
          <w:color w:val="000000" w:themeColor="text1"/>
        </w:rPr>
      </w:pPr>
      <w:r w:rsidRPr="00892C12">
        <w:rPr>
          <w:b/>
          <w:color w:val="000000" w:themeColor="text1"/>
        </w:rPr>
        <w:t>Lapse rates</w:t>
      </w:r>
    </w:p>
    <w:p w14:paraId="5206372F" w14:textId="2384FBD3" w:rsidR="00B643F8" w:rsidRPr="00F343CE" w:rsidRDefault="00B643F8" w:rsidP="00CF0598">
      <w:pPr>
        <w:pStyle w:val="ListParagraph"/>
        <w:numPr>
          <w:ilvl w:val="0"/>
          <w:numId w:val="4"/>
        </w:numPr>
        <w:spacing w:after="60"/>
        <w:rPr>
          <w:color w:val="FF0000"/>
        </w:rPr>
      </w:pPr>
      <w:r w:rsidRPr="00F343CE">
        <w:rPr>
          <w:color w:val="FF0000"/>
        </w:rPr>
        <w:t xml:space="preserve">Higher lapse rates have no effect on the policy liability as </w:t>
      </w:r>
      <w:r w:rsidRPr="00342BA5">
        <w:rPr>
          <w:b/>
          <w:color w:val="FF0000"/>
        </w:rPr>
        <w:t>changes to future</w:t>
      </w:r>
      <w:r w:rsidR="00892C12" w:rsidRPr="00342BA5">
        <w:rPr>
          <w:b/>
          <w:color w:val="FF0000"/>
        </w:rPr>
        <w:t xml:space="preserve"> </w:t>
      </w:r>
      <w:r w:rsidRPr="00342BA5">
        <w:rPr>
          <w:b/>
          <w:color w:val="FF0000"/>
        </w:rPr>
        <w:t>bonus rates</w:t>
      </w:r>
      <w:r w:rsidRPr="00F343CE">
        <w:rPr>
          <w:color w:val="FF0000"/>
        </w:rPr>
        <w:t xml:space="preserve"> are absorbing their impact.</w:t>
      </w:r>
    </w:p>
    <w:p w14:paraId="537FF3FE" w14:textId="36DD1EDF" w:rsidR="00B643F8" w:rsidRPr="00342BA5" w:rsidRDefault="00B643F8" w:rsidP="00CF0598">
      <w:pPr>
        <w:pStyle w:val="ListParagraph"/>
        <w:numPr>
          <w:ilvl w:val="0"/>
          <w:numId w:val="4"/>
        </w:numPr>
        <w:spacing w:after="60"/>
        <w:rPr>
          <w:color w:val="FF0000"/>
        </w:rPr>
      </w:pPr>
      <w:r w:rsidRPr="00342BA5">
        <w:rPr>
          <w:color w:val="FF0000"/>
        </w:rPr>
        <w:t>There is no impact on the current PRP as only future profits are affected.</w:t>
      </w:r>
    </w:p>
    <w:p w14:paraId="667E8455" w14:textId="2F3F662A" w:rsidR="00061E9E" w:rsidRDefault="00B643F8" w:rsidP="00CF0598">
      <w:pPr>
        <w:pStyle w:val="ListParagraph"/>
        <w:numPr>
          <w:ilvl w:val="0"/>
          <w:numId w:val="4"/>
        </w:numPr>
        <w:spacing w:after="60"/>
        <w:rPr>
          <w:color w:val="000000" w:themeColor="text1"/>
        </w:rPr>
      </w:pPr>
      <w:r w:rsidRPr="00061E9E">
        <w:rPr>
          <w:color w:val="000000" w:themeColor="text1"/>
        </w:rPr>
        <w:t>Higher lapses increase future profits for conventional as the policy liability</w:t>
      </w:r>
      <w:r w:rsidR="00061E9E">
        <w:rPr>
          <w:color w:val="000000" w:themeColor="text1"/>
        </w:rPr>
        <w:t xml:space="preserve"> </w:t>
      </w:r>
      <w:r w:rsidRPr="00061E9E">
        <w:rPr>
          <w:color w:val="000000" w:themeColor="text1"/>
        </w:rPr>
        <w:t xml:space="preserve">exceeds the CTV. </w:t>
      </w:r>
      <w:r w:rsidR="00C517D0">
        <w:rPr>
          <w:color w:val="000000" w:themeColor="text1"/>
        </w:rPr>
        <w:t>(from the table in the question)</w:t>
      </w:r>
    </w:p>
    <w:p w14:paraId="1ED76B9E" w14:textId="49A0B75E" w:rsidR="00061E9E" w:rsidRDefault="00B643F8" w:rsidP="00CF0598">
      <w:pPr>
        <w:pStyle w:val="ListParagraph"/>
        <w:numPr>
          <w:ilvl w:val="0"/>
          <w:numId w:val="4"/>
        </w:numPr>
        <w:spacing w:after="60"/>
        <w:rPr>
          <w:color w:val="000000" w:themeColor="text1"/>
        </w:rPr>
      </w:pPr>
      <w:r w:rsidRPr="00061E9E">
        <w:rPr>
          <w:color w:val="000000" w:themeColor="text1"/>
        </w:rPr>
        <w:t>Higher lapses reduce future profits for investment account as the policy liability is less than the CTV.</w:t>
      </w:r>
      <w:r w:rsidR="00C517D0" w:rsidRPr="00061E9E">
        <w:rPr>
          <w:color w:val="000000" w:themeColor="text1"/>
        </w:rPr>
        <w:t xml:space="preserve"> </w:t>
      </w:r>
      <w:r w:rsidR="00C517D0">
        <w:rPr>
          <w:color w:val="000000" w:themeColor="text1"/>
        </w:rPr>
        <w:t>(from the table in the question)</w:t>
      </w:r>
      <w:r w:rsidRPr="00061E9E">
        <w:rPr>
          <w:color w:val="000000" w:themeColor="text1"/>
        </w:rPr>
        <w:t xml:space="preserve"> </w:t>
      </w:r>
    </w:p>
    <w:p w14:paraId="60D7F84C" w14:textId="4948589A" w:rsidR="00B643F8" w:rsidRPr="00061E9E" w:rsidRDefault="00B643F8" w:rsidP="00CF0598">
      <w:pPr>
        <w:pStyle w:val="ListParagraph"/>
        <w:numPr>
          <w:ilvl w:val="0"/>
          <w:numId w:val="4"/>
        </w:numPr>
        <w:spacing w:after="60"/>
        <w:rPr>
          <w:color w:val="000000" w:themeColor="text1"/>
        </w:rPr>
      </w:pPr>
      <w:r w:rsidRPr="00061E9E">
        <w:rPr>
          <w:color w:val="000000" w:themeColor="text1"/>
        </w:rPr>
        <w:t>The overall effect of higher lapses for the fund is likely to be higher profits in future. The Capital Adequacy Liability is likely to be equal to the policy liabilities plus PRP less the value of future shareholder profits after allowing for the effect of the adverse conditions assumed. As higher lapses increase the value of future shareholder profits then the Capital Adequacy Liability will reduce as shown.</w:t>
      </w:r>
    </w:p>
    <w:p w14:paraId="4C5F6214" w14:textId="3AFD8AC9" w:rsidR="007941C1" w:rsidRPr="00342BA5" w:rsidRDefault="00B643F8" w:rsidP="00CF0598">
      <w:pPr>
        <w:pStyle w:val="ListParagraph"/>
        <w:numPr>
          <w:ilvl w:val="0"/>
          <w:numId w:val="4"/>
        </w:numPr>
        <w:spacing w:after="60"/>
        <w:rPr>
          <w:color w:val="FF0000"/>
        </w:rPr>
      </w:pPr>
      <w:r w:rsidRPr="00342BA5">
        <w:rPr>
          <w:color w:val="FF0000"/>
        </w:rPr>
        <w:t>Future lapse rates have no effect on the CTV.</w:t>
      </w:r>
    </w:p>
    <w:p w14:paraId="5745531B" w14:textId="77777777" w:rsidR="00892C12" w:rsidRPr="00061E9E" w:rsidRDefault="00892C12" w:rsidP="00061E9E">
      <w:pPr>
        <w:spacing w:after="60"/>
        <w:rPr>
          <w:b/>
          <w:color w:val="000000" w:themeColor="text1"/>
        </w:rPr>
      </w:pPr>
      <w:r w:rsidRPr="00061E9E">
        <w:rPr>
          <w:b/>
          <w:color w:val="000000" w:themeColor="text1"/>
        </w:rPr>
        <w:t>Mortality rates</w:t>
      </w:r>
    </w:p>
    <w:p w14:paraId="15C4EDE8" w14:textId="2FD1E9DF" w:rsidR="00892C12" w:rsidRPr="00F343CE" w:rsidRDefault="00892C12" w:rsidP="00CF0598">
      <w:pPr>
        <w:pStyle w:val="ListParagraph"/>
        <w:numPr>
          <w:ilvl w:val="0"/>
          <w:numId w:val="4"/>
        </w:numPr>
        <w:spacing w:after="60"/>
        <w:rPr>
          <w:color w:val="FF0000"/>
          <w:lang w:val="en-GB"/>
        </w:rPr>
      </w:pPr>
      <w:r w:rsidRPr="00F343CE">
        <w:rPr>
          <w:color w:val="FF0000"/>
          <w:lang w:val="en-GB"/>
        </w:rPr>
        <w:t xml:space="preserve">Higher mortality rates have no effect on the policy liability as </w:t>
      </w:r>
      <w:r w:rsidRPr="00342BA5">
        <w:rPr>
          <w:b/>
          <w:color w:val="FF0000"/>
          <w:lang w:val="en-GB"/>
        </w:rPr>
        <w:t>changes to future</w:t>
      </w:r>
      <w:r w:rsidR="00061E9E" w:rsidRPr="00342BA5">
        <w:rPr>
          <w:b/>
          <w:color w:val="FF0000"/>
          <w:lang w:val="en-GB"/>
        </w:rPr>
        <w:t xml:space="preserve"> </w:t>
      </w:r>
      <w:r w:rsidRPr="00342BA5">
        <w:rPr>
          <w:b/>
          <w:color w:val="FF0000"/>
          <w:lang w:val="en-GB"/>
        </w:rPr>
        <w:t xml:space="preserve">bonus </w:t>
      </w:r>
      <w:r w:rsidRPr="00F343CE">
        <w:rPr>
          <w:color w:val="FF0000"/>
          <w:lang w:val="en-GB"/>
        </w:rPr>
        <w:t>rates are absorbing their impact.</w:t>
      </w:r>
    </w:p>
    <w:p w14:paraId="3EE79E18" w14:textId="2516EF8D" w:rsidR="00892C12" w:rsidRPr="00342BA5" w:rsidRDefault="00892C12" w:rsidP="00CF0598">
      <w:pPr>
        <w:pStyle w:val="ListParagraph"/>
        <w:numPr>
          <w:ilvl w:val="0"/>
          <w:numId w:val="4"/>
        </w:numPr>
        <w:spacing w:after="60"/>
        <w:rPr>
          <w:color w:val="FF0000"/>
          <w:lang w:val="en-GB"/>
        </w:rPr>
      </w:pPr>
      <w:r w:rsidRPr="00342BA5">
        <w:rPr>
          <w:color w:val="FF0000"/>
          <w:lang w:val="en-GB"/>
        </w:rPr>
        <w:lastRenderedPageBreak/>
        <w:t>There is no impact on the current PRP as only future profits are affected.</w:t>
      </w:r>
    </w:p>
    <w:p w14:paraId="27380FBC" w14:textId="200FB318" w:rsidR="00892C12" w:rsidRPr="00061E9E" w:rsidRDefault="00342BA5" w:rsidP="00CF0598">
      <w:pPr>
        <w:pStyle w:val="ListParagraph"/>
        <w:numPr>
          <w:ilvl w:val="0"/>
          <w:numId w:val="4"/>
        </w:numPr>
        <w:spacing w:after="60"/>
        <w:rPr>
          <w:color w:val="000000" w:themeColor="text1"/>
          <w:lang w:val="en-GB"/>
        </w:rPr>
      </w:pPr>
      <w:r>
        <w:rPr>
          <w:color w:val="000000" w:themeColor="text1"/>
          <w:lang w:val="en-GB"/>
        </w:rPr>
        <w:t xml:space="preserve">[Par] </w:t>
      </w:r>
      <w:r w:rsidR="00892C12" w:rsidRPr="00061E9E">
        <w:rPr>
          <w:color w:val="000000" w:themeColor="text1"/>
          <w:lang w:val="en-GB"/>
        </w:rPr>
        <w:t>Higher mortality rates will reduce future profits. This explains the increase in</w:t>
      </w:r>
      <w:r w:rsidR="00061E9E">
        <w:rPr>
          <w:color w:val="000000" w:themeColor="text1"/>
          <w:lang w:val="en-GB"/>
        </w:rPr>
        <w:t xml:space="preserve"> </w:t>
      </w:r>
      <w:r w:rsidR="00892C12" w:rsidRPr="00061E9E">
        <w:rPr>
          <w:color w:val="000000" w:themeColor="text1"/>
          <w:lang w:val="en-GB"/>
        </w:rPr>
        <w:t>the Capital Adequacy Liability.</w:t>
      </w:r>
    </w:p>
    <w:p w14:paraId="77FFBA9D" w14:textId="77777777" w:rsidR="00892C12" w:rsidRDefault="00892C12" w:rsidP="00B643F8">
      <w:pPr>
        <w:spacing w:after="60"/>
        <w:rPr>
          <w:color w:val="000000" w:themeColor="text1"/>
          <w:lang w:val="en-GB"/>
        </w:rPr>
      </w:pPr>
    </w:p>
    <w:p w14:paraId="71A047DA" w14:textId="3C8C05FF" w:rsidR="00875374" w:rsidRPr="00875374" w:rsidRDefault="00F33FA5" w:rsidP="00875374">
      <w:pPr>
        <w:spacing w:after="0"/>
        <w:rPr>
          <w:color w:val="000000" w:themeColor="text1"/>
          <w:lang w:val="en-GB"/>
        </w:rPr>
      </w:pPr>
      <w:r>
        <w:rPr>
          <w:color w:val="000000" w:themeColor="text1"/>
          <w:lang w:val="en-GB"/>
        </w:rPr>
        <w:t>2c)</w:t>
      </w:r>
      <w:r w:rsidR="00875374" w:rsidRPr="00875374">
        <w:t xml:space="preserve"> </w:t>
      </w:r>
      <w:r w:rsidR="00875374" w:rsidRPr="00875374">
        <w:rPr>
          <w:color w:val="000000" w:themeColor="text1"/>
          <w:lang w:val="en-GB"/>
        </w:rPr>
        <w:t>To: MD, AXL</w:t>
      </w:r>
    </w:p>
    <w:p w14:paraId="2CF17546" w14:textId="77777777" w:rsidR="00875374" w:rsidRPr="00875374" w:rsidRDefault="00875374" w:rsidP="00875374">
      <w:pPr>
        <w:spacing w:after="0"/>
        <w:rPr>
          <w:color w:val="000000" w:themeColor="text1"/>
          <w:lang w:val="en-GB"/>
        </w:rPr>
      </w:pPr>
      <w:r w:rsidRPr="00875374">
        <w:rPr>
          <w:color w:val="000000" w:themeColor="text1"/>
          <w:lang w:val="en-GB"/>
        </w:rPr>
        <w:t>From: Appointed Actuary</w:t>
      </w:r>
    </w:p>
    <w:p w14:paraId="462CDAAB" w14:textId="77777777" w:rsidR="00875374" w:rsidRPr="00875374" w:rsidRDefault="00875374" w:rsidP="00875374">
      <w:pPr>
        <w:spacing w:after="0"/>
        <w:rPr>
          <w:color w:val="000000" w:themeColor="text1"/>
          <w:lang w:val="en-GB"/>
        </w:rPr>
      </w:pPr>
      <w:r w:rsidRPr="00875374">
        <w:rPr>
          <w:color w:val="000000" w:themeColor="text1"/>
          <w:lang w:val="en-GB"/>
        </w:rPr>
        <w:t>Subject: Using No. 1 Fund PRP as capital for No. 2 Fund</w:t>
      </w:r>
    </w:p>
    <w:p w14:paraId="41CD9C9A" w14:textId="09C38C82" w:rsidR="00875374" w:rsidRPr="00875374" w:rsidRDefault="00875374" w:rsidP="00875374">
      <w:pPr>
        <w:spacing w:after="60"/>
        <w:rPr>
          <w:color w:val="000000" w:themeColor="text1"/>
          <w:lang w:val="en-GB"/>
        </w:rPr>
      </w:pPr>
      <w:r w:rsidRPr="00875374">
        <w:rPr>
          <w:color w:val="000000" w:themeColor="text1"/>
          <w:lang w:val="en-GB"/>
        </w:rPr>
        <w:t>Dear MD</w:t>
      </w:r>
      <w:r>
        <w:rPr>
          <w:color w:val="000000" w:themeColor="text1"/>
          <w:lang w:val="en-GB"/>
        </w:rPr>
        <w:t>,</w:t>
      </w:r>
    </w:p>
    <w:p w14:paraId="07FD888E" w14:textId="2DF21186" w:rsidR="00875374" w:rsidRPr="00875374" w:rsidRDefault="00875374" w:rsidP="00875374">
      <w:pPr>
        <w:spacing w:after="60"/>
        <w:rPr>
          <w:color w:val="000000" w:themeColor="text1"/>
          <w:lang w:val="en-GB"/>
        </w:rPr>
      </w:pPr>
      <w:r w:rsidRPr="00875374">
        <w:rPr>
          <w:color w:val="000000" w:themeColor="text1"/>
          <w:lang w:val="en-GB"/>
        </w:rPr>
        <w:t>I would like to make the following points in response to your proposal to grow the Policy</w:t>
      </w:r>
      <w:r>
        <w:rPr>
          <w:color w:val="000000" w:themeColor="text1"/>
          <w:lang w:val="en-GB"/>
        </w:rPr>
        <w:t xml:space="preserve"> </w:t>
      </w:r>
      <w:r w:rsidRPr="00875374">
        <w:rPr>
          <w:color w:val="000000" w:themeColor="text1"/>
          <w:lang w:val="en-GB"/>
        </w:rPr>
        <w:t>owners Retained Profits (PRP) in the No. 1 Fund by reducing bonus and crediting rates, and to transfer surplus shareholder capital from the No. 1 Fund to the No. 2 Fund.</w:t>
      </w:r>
    </w:p>
    <w:p w14:paraId="246C6370" w14:textId="3A97014B" w:rsidR="00875374" w:rsidRPr="00875374" w:rsidRDefault="00875374" w:rsidP="00875374">
      <w:pPr>
        <w:spacing w:after="60"/>
        <w:rPr>
          <w:color w:val="000000" w:themeColor="text1"/>
          <w:lang w:val="en-GB"/>
        </w:rPr>
      </w:pPr>
      <w:r w:rsidRPr="00875374">
        <w:rPr>
          <w:color w:val="FF0000"/>
          <w:lang w:val="en-GB"/>
        </w:rPr>
        <w:t xml:space="preserve">It is the responsibility of the directors of AXL to decide on how profits should be distributed. </w:t>
      </w:r>
      <w:r w:rsidRPr="00875374">
        <w:rPr>
          <w:color w:val="000000" w:themeColor="text1"/>
          <w:lang w:val="en-GB"/>
        </w:rPr>
        <w:t>However</w:t>
      </w:r>
      <w:r>
        <w:rPr>
          <w:color w:val="000000" w:themeColor="text1"/>
          <w:lang w:val="en-GB"/>
        </w:rPr>
        <w:t>,</w:t>
      </w:r>
      <w:r w:rsidRPr="00875374">
        <w:rPr>
          <w:color w:val="000000" w:themeColor="text1"/>
          <w:lang w:val="en-GB"/>
        </w:rPr>
        <w:t xml:space="preserve"> before making any distribution </w:t>
      </w:r>
      <w:r w:rsidRPr="00875374">
        <w:rPr>
          <w:color w:val="FF0000"/>
          <w:lang w:val="en-GB"/>
        </w:rPr>
        <w:t>the directors are required by the Life Insurance Act to take advice from the Appointed Actuary on the consequences of the distribution.</w:t>
      </w:r>
    </w:p>
    <w:p w14:paraId="6D2F8DD6" w14:textId="77777777" w:rsidR="00875374" w:rsidRPr="00875374" w:rsidRDefault="00875374" w:rsidP="00875374">
      <w:pPr>
        <w:spacing w:after="60"/>
        <w:rPr>
          <w:color w:val="FF0000"/>
          <w:lang w:val="en-GB"/>
        </w:rPr>
      </w:pPr>
      <w:r w:rsidRPr="00875374">
        <w:rPr>
          <w:color w:val="000000" w:themeColor="text1"/>
          <w:lang w:val="en-GB"/>
        </w:rPr>
        <w:t xml:space="preserve">The directors should also </w:t>
      </w:r>
      <w:r w:rsidRPr="00875374">
        <w:rPr>
          <w:color w:val="FF0000"/>
          <w:lang w:val="en-GB"/>
        </w:rPr>
        <w:t>consider the potential for conflicts of interest between shareholders and policyholders interests and should be aware that the Appointed Actuary’s advice in such a situation would need to give adequate protection to policyholders’ interests.</w:t>
      </w:r>
    </w:p>
    <w:p w14:paraId="546135E4" w14:textId="77777777" w:rsidR="00875374" w:rsidRPr="00875374" w:rsidRDefault="00875374" w:rsidP="00875374">
      <w:pPr>
        <w:spacing w:after="60"/>
        <w:rPr>
          <w:b/>
          <w:color w:val="000000" w:themeColor="text1"/>
          <w:lang w:val="en-GB"/>
        </w:rPr>
      </w:pPr>
      <w:r w:rsidRPr="00875374">
        <w:rPr>
          <w:color w:val="000000" w:themeColor="text1"/>
          <w:lang w:val="en-GB"/>
        </w:rPr>
        <w:t xml:space="preserve">The actuary is required to </w:t>
      </w:r>
      <w:r w:rsidRPr="00875374">
        <w:rPr>
          <w:color w:val="FF0000"/>
          <w:lang w:val="en-GB"/>
        </w:rPr>
        <w:t xml:space="preserve">consider the equity of any distribution to participating policy owners. Equity takes into account the reasonable expectations of these policy owners. </w:t>
      </w:r>
      <w:r w:rsidRPr="00875374">
        <w:rPr>
          <w:b/>
          <w:color w:val="FF0000"/>
          <w:lang w:val="en-GB"/>
        </w:rPr>
        <w:t>Reducing the crediting rate in order to build up PRP may not be considered equitable</w:t>
      </w:r>
      <w:r w:rsidRPr="00875374">
        <w:rPr>
          <w:b/>
          <w:color w:val="000000" w:themeColor="text1"/>
          <w:lang w:val="en-GB"/>
        </w:rPr>
        <w:t>.</w:t>
      </w:r>
    </w:p>
    <w:p w14:paraId="305D3C14" w14:textId="77777777" w:rsidR="00875374" w:rsidRPr="00875374" w:rsidRDefault="00875374" w:rsidP="00875374">
      <w:pPr>
        <w:spacing w:after="60"/>
        <w:rPr>
          <w:color w:val="000000" w:themeColor="text1"/>
          <w:lang w:val="en-GB"/>
        </w:rPr>
      </w:pPr>
      <w:r w:rsidRPr="00875374">
        <w:rPr>
          <w:color w:val="000000" w:themeColor="text1"/>
          <w:lang w:val="en-GB"/>
        </w:rPr>
        <w:t xml:space="preserve">The shareholder funds required to support the No.1 fund comprise Shareholders Capital and Shareholders Retained Profits (Participating). The Life Insurance Act requires that Shareholders Retained Profits (Participating) be maintained at a level of at least 25% of PRP. So </w:t>
      </w:r>
      <w:r w:rsidRPr="00875374">
        <w:rPr>
          <w:color w:val="FF0000"/>
          <w:lang w:val="en-GB"/>
        </w:rPr>
        <w:t>by reducing the distributions from PRP the distributions to shareholders from the No. 1 Fund could also potentially be reduced.</w:t>
      </w:r>
      <w:r w:rsidRPr="00875374">
        <w:rPr>
          <w:color w:val="000000" w:themeColor="text1"/>
          <w:lang w:val="en-GB"/>
        </w:rPr>
        <w:t xml:space="preserve"> However this restriction will have no impact on the total shareholder funds required in the No. 1 fund if the amount of shareholder funds required to cover the capital adequacy requirement and target surplus exceeds the Shareholders Retained Profits (Participating).</w:t>
      </w:r>
    </w:p>
    <w:p w14:paraId="03D6935A" w14:textId="4E197C40" w:rsidR="00875374" w:rsidRPr="00875374" w:rsidRDefault="00875374" w:rsidP="00875374">
      <w:pPr>
        <w:spacing w:after="60"/>
        <w:rPr>
          <w:color w:val="000000" w:themeColor="text1"/>
          <w:lang w:val="en-GB"/>
        </w:rPr>
      </w:pPr>
      <w:r w:rsidRPr="00875374">
        <w:rPr>
          <w:color w:val="FF0000"/>
          <w:lang w:val="en-GB"/>
        </w:rPr>
        <w:t>As participating business is no longer sold in Australia there is no direct competitive pressure on crediting rates or bonus rates</w:t>
      </w:r>
      <w:r w:rsidRPr="00875374">
        <w:rPr>
          <w:color w:val="000000" w:themeColor="text1"/>
          <w:lang w:val="en-GB"/>
        </w:rPr>
        <w:t>. However</w:t>
      </w:r>
      <w:r>
        <w:rPr>
          <w:color w:val="000000" w:themeColor="text1"/>
          <w:lang w:val="en-GB"/>
        </w:rPr>
        <w:t>,</w:t>
      </w:r>
      <w:r w:rsidRPr="00875374">
        <w:rPr>
          <w:color w:val="000000" w:themeColor="text1"/>
          <w:lang w:val="en-GB"/>
        </w:rPr>
        <w:t xml:space="preserve"> </w:t>
      </w:r>
      <w:r w:rsidRPr="00875374">
        <w:rPr>
          <w:color w:val="FF0000"/>
          <w:lang w:val="en-GB"/>
        </w:rPr>
        <w:t>policy owners have many alternative avenues for investment and a reduction in crediting rates and bonus rates is likely to result in an increase in lapse rates.</w:t>
      </w:r>
      <w:r w:rsidRPr="00875374">
        <w:rPr>
          <w:color w:val="000000" w:themeColor="text1"/>
          <w:lang w:val="en-GB"/>
        </w:rPr>
        <w:t xml:space="preserve"> This could increase profits in the short term for the conventional business as CTV is less than policy liability. The reverse is true for investment account. The embedded value may reduce for both classes of business due to the lower volumes of business persisting over the long term.</w:t>
      </w:r>
    </w:p>
    <w:p w14:paraId="34F7945D" w14:textId="77777777" w:rsidR="00875374" w:rsidRPr="00875374" w:rsidRDefault="00875374" w:rsidP="00875374">
      <w:pPr>
        <w:spacing w:after="60"/>
        <w:rPr>
          <w:color w:val="000000" w:themeColor="text1"/>
          <w:lang w:val="en-GB"/>
        </w:rPr>
      </w:pPr>
      <w:r w:rsidRPr="00875374">
        <w:rPr>
          <w:color w:val="000000" w:themeColor="text1"/>
          <w:lang w:val="en-GB"/>
        </w:rPr>
        <w:t>The crediting rates are likely to be quite low already as the policy liability plus PRP is significantly lower than the CTV.</w:t>
      </w:r>
    </w:p>
    <w:p w14:paraId="1903920C" w14:textId="77777777" w:rsidR="00875374" w:rsidRPr="00875374" w:rsidRDefault="00875374" w:rsidP="00875374">
      <w:pPr>
        <w:spacing w:after="60"/>
        <w:rPr>
          <w:color w:val="000000" w:themeColor="text1"/>
          <w:lang w:val="en-GB"/>
        </w:rPr>
      </w:pPr>
      <w:r w:rsidRPr="00875374">
        <w:rPr>
          <w:color w:val="000000" w:themeColor="text1"/>
          <w:lang w:val="en-GB"/>
        </w:rPr>
        <w:t>If PRP is allowed to grow indefinitely it will eventually become large compared to the remaining policy liabilities. There would be issues around what to do with it as the Life Insurance Act only permits it to be distributed to participating policy owners.</w:t>
      </w:r>
    </w:p>
    <w:p w14:paraId="39069D2B" w14:textId="77777777" w:rsidR="00875374" w:rsidRPr="00875374" w:rsidRDefault="00875374" w:rsidP="00875374">
      <w:pPr>
        <w:spacing w:after="60"/>
        <w:rPr>
          <w:color w:val="FF0000"/>
          <w:lang w:val="en-GB"/>
        </w:rPr>
      </w:pPr>
      <w:r w:rsidRPr="00875374">
        <w:rPr>
          <w:color w:val="FF0000"/>
          <w:lang w:val="en-GB"/>
        </w:rPr>
        <w:lastRenderedPageBreak/>
        <w:t>Alternative sources of capital for the No. 2 Fund include:</w:t>
      </w:r>
    </w:p>
    <w:p w14:paraId="4DC8470C" w14:textId="61466FAF" w:rsidR="00875374" w:rsidRPr="00875374" w:rsidRDefault="00875374" w:rsidP="00CF0598">
      <w:pPr>
        <w:pStyle w:val="ListParagraph"/>
        <w:numPr>
          <w:ilvl w:val="0"/>
          <w:numId w:val="5"/>
        </w:numPr>
        <w:spacing w:after="60"/>
        <w:rPr>
          <w:color w:val="FF0000"/>
          <w:lang w:val="en-GB"/>
        </w:rPr>
      </w:pPr>
      <w:r w:rsidRPr="00875374">
        <w:rPr>
          <w:color w:val="FF0000"/>
          <w:lang w:val="en-GB"/>
        </w:rPr>
        <w:t>Raising capital from external sources – either equity or subordinated debt</w:t>
      </w:r>
    </w:p>
    <w:p w14:paraId="175A7BB1" w14:textId="50924F9B" w:rsidR="00875374" w:rsidRPr="00875374" w:rsidRDefault="00875374" w:rsidP="00CF0598">
      <w:pPr>
        <w:pStyle w:val="ListParagraph"/>
        <w:numPr>
          <w:ilvl w:val="0"/>
          <w:numId w:val="5"/>
        </w:numPr>
        <w:spacing w:after="60"/>
        <w:rPr>
          <w:color w:val="FF0000"/>
          <w:lang w:val="en-GB"/>
        </w:rPr>
      </w:pPr>
      <w:r w:rsidRPr="00875374">
        <w:rPr>
          <w:color w:val="FF0000"/>
          <w:lang w:val="en-GB"/>
        </w:rPr>
        <w:t>Reducing distributions to shareholders (e.g. reducing or eliminating</w:t>
      </w:r>
    </w:p>
    <w:p w14:paraId="0547F119" w14:textId="77777777" w:rsidR="00875374" w:rsidRPr="00875374" w:rsidRDefault="00875374" w:rsidP="00CF0598">
      <w:pPr>
        <w:pStyle w:val="ListParagraph"/>
        <w:numPr>
          <w:ilvl w:val="0"/>
          <w:numId w:val="5"/>
        </w:numPr>
        <w:spacing w:after="60"/>
        <w:rPr>
          <w:color w:val="FF0000"/>
          <w:lang w:val="en-GB"/>
        </w:rPr>
      </w:pPr>
      <w:r w:rsidRPr="00875374">
        <w:rPr>
          <w:color w:val="FF0000"/>
          <w:lang w:val="en-GB"/>
        </w:rPr>
        <w:t>dividends)</w:t>
      </w:r>
    </w:p>
    <w:p w14:paraId="33F8FD9C" w14:textId="25CD9081" w:rsidR="00875374" w:rsidRPr="00875374" w:rsidRDefault="00875374" w:rsidP="00CF0598">
      <w:pPr>
        <w:pStyle w:val="ListParagraph"/>
        <w:numPr>
          <w:ilvl w:val="0"/>
          <w:numId w:val="5"/>
        </w:numPr>
        <w:spacing w:after="60"/>
        <w:rPr>
          <w:color w:val="FF0000"/>
          <w:lang w:val="en-GB"/>
        </w:rPr>
      </w:pPr>
      <w:r w:rsidRPr="00875374">
        <w:rPr>
          <w:color w:val="FF0000"/>
          <w:lang w:val="en-GB"/>
        </w:rPr>
        <w:t>Reinsurance</w:t>
      </w:r>
    </w:p>
    <w:p w14:paraId="722625FB" w14:textId="15BBAD43" w:rsidR="00875374" w:rsidRPr="00875374" w:rsidRDefault="00875374" w:rsidP="00875374">
      <w:pPr>
        <w:spacing w:after="60"/>
        <w:rPr>
          <w:color w:val="000000" w:themeColor="text1"/>
          <w:lang w:val="en-GB"/>
        </w:rPr>
      </w:pPr>
      <w:r w:rsidRPr="00875374">
        <w:rPr>
          <w:color w:val="000000" w:themeColor="text1"/>
          <w:lang w:val="en-GB"/>
        </w:rPr>
        <w:t>Yours sincerely</w:t>
      </w:r>
      <w:r>
        <w:rPr>
          <w:color w:val="000000" w:themeColor="text1"/>
          <w:lang w:val="en-GB"/>
        </w:rPr>
        <w:t>,</w:t>
      </w:r>
      <w:r w:rsidRPr="00875374">
        <w:rPr>
          <w:color w:val="000000" w:themeColor="text1"/>
          <w:lang w:val="en-GB"/>
        </w:rPr>
        <w:t xml:space="preserve"> Appointed Actuary</w:t>
      </w:r>
    </w:p>
    <w:p w14:paraId="13929201" w14:textId="77777777" w:rsidR="00D354F2" w:rsidRDefault="00D354F2" w:rsidP="00D354F2">
      <w:pPr>
        <w:spacing w:after="60"/>
        <w:rPr>
          <w:b/>
          <w:color w:val="000000" w:themeColor="text1"/>
        </w:rPr>
      </w:pPr>
    </w:p>
    <w:p w14:paraId="401ED166" w14:textId="77777777" w:rsidR="00D354F2" w:rsidRPr="00442E59" w:rsidRDefault="00D354F2" w:rsidP="00D354F2">
      <w:pPr>
        <w:spacing w:after="60"/>
        <w:rPr>
          <w:i/>
          <w:color w:val="000000" w:themeColor="text1"/>
        </w:rPr>
      </w:pPr>
      <w:r w:rsidRPr="00EE02D5">
        <w:rPr>
          <w:b/>
          <w:color w:val="000000" w:themeColor="text1"/>
        </w:rPr>
        <w:t>Q3</w:t>
      </w:r>
      <w:r>
        <w:rPr>
          <w:color w:val="000000" w:themeColor="text1"/>
        </w:rPr>
        <w:t xml:space="preserve"> a) </w:t>
      </w:r>
      <w:r w:rsidRPr="00442E59">
        <w:rPr>
          <w:i/>
          <w:color w:val="000000" w:themeColor="text1"/>
        </w:rPr>
        <w:t>The reasons for carrying out an analysis of change in embedded value are:</w:t>
      </w:r>
    </w:p>
    <w:p w14:paraId="79541CDA" w14:textId="77777777" w:rsidR="00D354F2" w:rsidRPr="00F63774" w:rsidRDefault="00D354F2" w:rsidP="00D354F2">
      <w:pPr>
        <w:pStyle w:val="ListParagraph"/>
        <w:numPr>
          <w:ilvl w:val="0"/>
          <w:numId w:val="2"/>
        </w:numPr>
        <w:spacing w:after="60"/>
        <w:rPr>
          <w:color w:val="FF0000"/>
        </w:rPr>
      </w:pPr>
      <w:r w:rsidRPr="00442E59">
        <w:rPr>
          <w:color w:val="000000" w:themeColor="text1"/>
        </w:rPr>
        <w:t xml:space="preserve">To assist in </w:t>
      </w:r>
      <w:r w:rsidRPr="00F63774">
        <w:rPr>
          <w:color w:val="FF0000"/>
        </w:rPr>
        <w:t>understanding the results</w:t>
      </w:r>
    </w:p>
    <w:p w14:paraId="2AE3DF7E" w14:textId="77777777" w:rsidR="00D354F2" w:rsidRPr="00442E59" w:rsidRDefault="00D354F2" w:rsidP="00D354F2">
      <w:pPr>
        <w:pStyle w:val="ListParagraph"/>
        <w:numPr>
          <w:ilvl w:val="0"/>
          <w:numId w:val="2"/>
        </w:numPr>
        <w:spacing w:after="60"/>
        <w:rPr>
          <w:color w:val="000000" w:themeColor="text1"/>
        </w:rPr>
      </w:pPr>
      <w:r w:rsidRPr="00442E59">
        <w:rPr>
          <w:color w:val="000000" w:themeColor="text1"/>
        </w:rPr>
        <w:t xml:space="preserve">To </w:t>
      </w:r>
      <w:r w:rsidRPr="00F63774">
        <w:rPr>
          <w:color w:val="FF0000"/>
        </w:rPr>
        <w:t xml:space="preserve">provide information </w:t>
      </w:r>
      <w:r w:rsidRPr="00442E59">
        <w:rPr>
          <w:color w:val="000000" w:themeColor="text1"/>
        </w:rPr>
        <w:t>to management and other interested parties</w:t>
      </w:r>
    </w:p>
    <w:p w14:paraId="0301A7D7" w14:textId="77777777" w:rsidR="00D354F2" w:rsidRPr="00442E59" w:rsidRDefault="00D354F2" w:rsidP="00D354F2">
      <w:pPr>
        <w:pStyle w:val="ListParagraph"/>
        <w:numPr>
          <w:ilvl w:val="0"/>
          <w:numId w:val="2"/>
        </w:numPr>
        <w:spacing w:after="60"/>
        <w:rPr>
          <w:color w:val="000000" w:themeColor="text1"/>
        </w:rPr>
      </w:pPr>
      <w:r w:rsidRPr="00F63774">
        <w:rPr>
          <w:color w:val="FF0000"/>
        </w:rPr>
        <w:t xml:space="preserve">As a check </w:t>
      </w:r>
      <w:r w:rsidRPr="00442E59">
        <w:rPr>
          <w:color w:val="000000" w:themeColor="text1"/>
        </w:rPr>
        <w:t>on the accuracy of the calculations</w:t>
      </w:r>
    </w:p>
    <w:p w14:paraId="71908605" w14:textId="77777777" w:rsidR="00D354F2" w:rsidRPr="00F63774" w:rsidRDefault="00D354F2" w:rsidP="00D354F2">
      <w:pPr>
        <w:pStyle w:val="ListParagraph"/>
        <w:numPr>
          <w:ilvl w:val="0"/>
          <w:numId w:val="2"/>
        </w:numPr>
        <w:spacing w:after="60"/>
        <w:rPr>
          <w:color w:val="FF0000"/>
        </w:rPr>
      </w:pPr>
      <w:r w:rsidRPr="00442E59">
        <w:rPr>
          <w:color w:val="000000" w:themeColor="text1"/>
        </w:rPr>
        <w:t xml:space="preserve">To relate the assumptions to experience thus indicating areas </w:t>
      </w:r>
      <w:r w:rsidRPr="00F63774">
        <w:rPr>
          <w:color w:val="FF0000"/>
        </w:rPr>
        <w:t>where the assumptions may need revising</w:t>
      </w:r>
    </w:p>
    <w:p w14:paraId="50726062" w14:textId="77777777" w:rsidR="00D354F2" w:rsidRPr="00442E59" w:rsidRDefault="00D354F2" w:rsidP="00D354F2">
      <w:pPr>
        <w:pStyle w:val="ListParagraph"/>
        <w:numPr>
          <w:ilvl w:val="0"/>
          <w:numId w:val="2"/>
        </w:numPr>
        <w:spacing w:after="60"/>
        <w:rPr>
          <w:color w:val="000000" w:themeColor="text1"/>
          <w:lang w:val="en-GB"/>
        </w:rPr>
      </w:pPr>
      <w:r w:rsidRPr="00442E59">
        <w:rPr>
          <w:color w:val="000000" w:themeColor="text1"/>
        </w:rPr>
        <w:t xml:space="preserve">To indicate to management </w:t>
      </w:r>
      <w:r w:rsidRPr="00F63774">
        <w:rPr>
          <w:color w:val="FF0000"/>
        </w:rPr>
        <w:t xml:space="preserve">where action needs to be taken </w:t>
      </w:r>
      <w:r w:rsidRPr="00442E59">
        <w:rPr>
          <w:color w:val="000000" w:themeColor="text1"/>
        </w:rPr>
        <w:t>to improve experience.</w:t>
      </w:r>
    </w:p>
    <w:p w14:paraId="4EE87607" w14:textId="77777777" w:rsidR="00D354F2" w:rsidRDefault="00D354F2" w:rsidP="00D354F2">
      <w:pPr>
        <w:spacing w:after="60"/>
        <w:rPr>
          <w:color w:val="000000" w:themeColor="text1"/>
        </w:rPr>
      </w:pPr>
    </w:p>
    <w:p w14:paraId="4704CFFF" w14:textId="77777777" w:rsidR="00D354F2" w:rsidRPr="00C424F9" w:rsidRDefault="00D354F2" w:rsidP="00D354F2">
      <w:pPr>
        <w:spacing w:after="60"/>
        <w:rPr>
          <w:color w:val="000000" w:themeColor="text1"/>
        </w:rPr>
      </w:pPr>
      <w:r>
        <w:rPr>
          <w:color w:val="000000" w:themeColor="text1"/>
        </w:rPr>
        <w:t xml:space="preserve">3b) </w:t>
      </w:r>
      <w:r w:rsidRPr="00FB62C6">
        <w:rPr>
          <w:i/>
          <w:color w:val="000000" w:themeColor="text1"/>
        </w:rPr>
        <w:t xml:space="preserve">Lapse and mortality experience under </w:t>
      </w:r>
      <w:r>
        <w:rPr>
          <w:i/>
          <w:color w:val="000000" w:themeColor="text1"/>
        </w:rPr>
        <w:t>EV</w:t>
      </w:r>
      <w:r w:rsidRPr="00FB62C6">
        <w:rPr>
          <w:i/>
          <w:color w:val="000000" w:themeColor="text1"/>
        </w:rPr>
        <w:t xml:space="preserve"> differs from the analysis of profit because:</w:t>
      </w:r>
    </w:p>
    <w:p w14:paraId="1EAC413B" w14:textId="77777777" w:rsidR="00D354F2" w:rsidRPr="0070667A" w:rsidRDefault="00D354F2" w:rsidP="00D354F2">
      <w:pPr>
        <w:pStyle w:val="ListParagraph"/>
        <w:numPr>
          <w:ilvl w:val="0"/>
          <w:numId w:val="11"/>
        </w:numPr>
        <w:spacing w:after="60"/>
        <w:rPr>
          <w:color w:val="000000" w:themeColor="text1"/>
        </w:rPr>
      </w:pPr>
      <w:r w:rsidRPr="0070667A">
        <w:rPr>
          <w:b/>
          <w:color w:val="000000" w:themeColor="text1"/>
          <w:lang w:val="en-GB"/>
        </w:rPr>
        <w:t>EV lapse experience includes future profits and capital releases while analysis of profit only includes current year experience</w:t>
      </w:r>
      <w:r>
        <w:rPr>
          <w:color w:val="000000" w:themeColor="text1"/>
          <w:lang w:val="en-GB"/>
        </w:rPr>
        <w:t xml:space="preserve">: </w:t>
      </w:r>
      <w:r w:rsidRPr="0070667A">
        <w:rPr>
          <w:color w:val="000000" w:themeColor="text1"/>
        </w:rPr>
        <w:t xml:space="preserve">Lapse and mortality experience affects the value of future profits and capital releases as well as current year profit. In the Embedded Value analysis of change, </w:t>
      </w:r>
      <w:r w:rsidRPr="0070667A">
        <w:rPr>
          <w:b/>
          <w:color w:val="FF0000"/>
        </w:rPr>
        <w:t>future impacts</w:t>
      </w:r>
      <w:r w:rsidRPr="0070667A">
        <w:rPr>
          <w:color w:val="FF0000"/>
        </w:rPr>
        <w:t xml:space="preserve"> of assumption changes are </w:t>
      </w:r>
      <w:proofErr w:type="spellStart"/>
      <w:r w:rsidRPr="0070667A">
        <w:rPr>
          <w:color w:val="FF0000"/>
        </w:rPr>
        <w:t>capitalised</w:t>
      </w:r>
      <w:proofErr w:type="spellEnd"/>
      <w:r w:rsidRPr="0070667A">
        <w:rPr>
          <w:color w:val="FF0000"/>
        </w:rPr>
        <w:t xml:space="preserve"> and reflected in the current year movement. In the analysis of profit </w:t>
      </w:r>
      <w:r w:rsidRPr="0070667A">
        <w:rPr>
          <w:b/>
          <w:color w:val="FF0000"/>
        </w:rPr>
        <w:t xml:space="preserve">only the current </w:t>
      </w:r>
      <w:proofErr w:type="spellStart"/>
      <w:r w:rsidRPr="0070667A">
        <w:rPr>
          <w:b/>
          <w:color w:val="FF0000"/>
        </w:rPr>
        <w:t>year’s experience</w:t>
      </w:r>
      <w:proofErr w:type="spellEnd"/>
      <w:r w:rsidRPr="0070667A">
        <w:rPr>
          <w:color w:val="FF0000"/>
        </w:rPr>
        <w:t xml:space="preserve"> is reflected as assumption changes are absorbed in profit margins</w:t>
      </w:r>
      <w:r w:rsidRPr="0070667A">
        <w:rPr>
          <w:color w:val="000000" w:themeColor="text1"/>
        </w:rPr>
        <w:t xml:space="preserve"> (where they exist).</w:t>
      </w:r>
    </w:p>
    <w:p w14:paraId="514F34DF" w14:textId="77777777" w:rsidR="00D354F2" w:rsidRPr="00C424F9" w:rsidRDefault="00D354F2" w:rsidP="00D354F2">
      <w:pPr>
        <w:pStyle w:val="ListParagraph"/>
        <w:numPr>
          <w:ilvl w:val="0"/>
          <w:numId w:val="11"/>
        </w:numPr>
        <w:spacing w:after="60"/>
        <w:rPr>
          <w:color w:val="000000" w:themeColor="text1"/>
        </w:rPr>
      </w:pPr>
      <w:r>
        <w:rPr>
          <w:color w:val="000000" w:themeColor="text1"/>
        </w:rPr>
        <w:t xml:space="preserve">Different tax treatment: </w:t>
      </w:r>
      <w:r w:rsidRPr="00C424F9">
        <w:rPr>
          <w:color w:val="000000" w:themeColor="text1"/>
        </w:rPr>
        <w:t xml:space="preserve">In the </w:t>
      </w:r>
      <w:r>
        <w:rPr>
          <w:color w:val="000000" w:themeColor="text1"/>
        </w:rPr>
        <w:t>EV</w:t>
      </w:r>
      <w:r w:rsidRPr="00C424F9">
        <w:rPr>
          <w:color w:val="000000" w:themeColor="text1"/>
        </w:rPr>
        <w:t xml:space="preserve"> analysis value for franking credits at a proportion of face value will be included. The analysis of profit will be either gross or net of tax.</w:t>
      </w:r>
    </w:p>
    <w:p w14:paraId="66AC30F1" w14:textId="77777777" w:rsidR="00D354F2" w:rsidRPr="00480634" w:rsidRDefault="00D354F2" w:rsidP="00D354F2">
      <w:pPr>
        <w:spacing w:after="60"/>
        <w:rPr>
          <w:i/>
          <w:color w:val="000000" w:themeColor="text1"/>
        </w:rPr>
      </w:pPr>
      <w:r w:rsidRPr="00480634">
        <w:rPr>
          <w:i/>
          <w:color w:val="000000" w:themeColor="text1"/>
        </w:rPr>
        <w:t>Mortality assumptions may have been improved despite poor experience because:</w:t>
      </w:r>
    </w:p>
    <w:p w14:paraId="76DE76E6" w14:textId="77777777" w:rsidR="00D354F2" w:rsidRPr="00C424F9" w:rsidRDefault="00D354F2" w:rsidP="00D354F2">
      <w:pPr>
        <w:pStyle w:val="ListParagraph"/>
        <w:numPr>
          <w:ilvl w:val="0"/>
          <w:numId w:val="11"/>
        </w:numPr>
        <w:spacing w:after="60"/>
        <w:rPr>
          <w:color w:val="000000" w:themeColor="text1"/>
        </w:rPr>
      </w:pPr>
      <w:r w:rsidRPr="00C424F9">
        <w:rPr>
          <w:color w:val="000000" w:themeColor="text1"/>
        </w:rPr>
        <w:t xml:space="preserve">The poor mortality experience </w:t>
      </w:r>
      <w:r w:rsidRPr="00480634">
        <w:rPr>
          <w:color w:val="FF0000"/>
        </w:rPr>
        <w:t xml:space="preserve">could be due to a small number of large claims, or random fluctuations in experience </w:t>
      </w:r>
      <w:r w:rsidRPr="00C424F9">
        <w:rPr>
          <w:color w:val="000000" w:themeColor="text1"/>
        </w:rPr>
        <w:t>from year to year.</w:t>
      </w:r>
    </w:p>
    <w:p w14:paraId="4F843E3B" w14:textId="77777777" w:rsidR="00D354F2" w:rsidRPr="00480634" w:rsidRDefault="00D354F2" w:rsidP="00D354F2">
      <w:pPr>
        <w:pStyle w:val="ListParagraph"/>
        <w:numPr>
          <w:ilvl w:val="0"/>
          <w:numId w:val="11"/>
        </w:numPr>
        <w:spacing w:after="60"/>
        <w:rPr>
          <w:color w:val="FF0000"/>
        </w:rPr>
      </w:pPr>
      <w:r w:rsidRPr="00480634">
        <w:rPr>
          <w:color w:val="FF0000"/>
        </w:rPr>
        <w:t>The period of investigation for setting the assumptions is likely to be much longer than 1 year.</w:t>
      </w:r>
    </w:p>
    <w:p w14:paraId="1F542DD5" w14:textId="77777777" w:rsidR="00D354F2" w:rsidRPr="00480634" w:rsidRDefault="00D354F2" w:rsidP="00D354F2">
      <w:pPr>
        <w:pStyle w:val="ListParagraph"/>
        <w:numPr>
          <w:ilvl w:val="0"/>
          <w:numId w:val="11"/>
        </w:numPr>
        <w:spacing w:after="60"/>
        <w:rPr>
          <w:color w:val="000000" w:themeColor="text1"/>
        </w:rPr>
      </w:pPr>
      <w:r w:rsidRPr="00480634">
        <w:rPr>
          <w:color w:val="000000" w:themeColor="text1"/>
        </w:rPr>
        <w:t>The end of the investigation period will be prior to the valuation date as the</w:t>
      </w:r>
      <w:r>
        <w:rPr>
          <w:color w:val="000000" w:themeColor="text1"/>
        </w:rPr>
        <w:t xml:space="preserve"> </w:t>
      </w:r>
      <w:r w:rsidRPr="00480634">
        <w:rPr>
          <w:color w:val="000000" w:themeColor="text1"/>
        </w:rPr>
        <w:t xml:space="preserve">assumptions are usually set in advance of the valuation, meaning that the </w:t>
      </w:r>
      <w:r w:rsidRPr="00480634">
        <w:rPr>
          <w:color w:val="FF0000"/>
        </w:rPr>
        <w:t>adverse experience may have occurred after assumptions were set</w:t>
      </w:r>
      <w:r w:rsidRPr="00480634">
        <w:rPr>
          <w:color w:val="000000" w:themeColor="text1"/>
        </w:rPr>
        <w:t>.</w:t>
      </w:r>
    </w:p>
    <w:p w14:paraId="7B6F1A65" w14:textId="77777777" w:rsidR="00D354F2" w:rsidRPr="00480634" w:rsidRDefault="00D354F2" w:rsidP="00D354F2">
      <w:pPr>
        <w:spacing w:after="60"/>
        <w:rPr>
          <w:i/>
          <w:color w:val="000000" w:themeColor="text1"/>
        </w:rPr>
      </w:pPr>
      <w:r w:rsidRPr="00480634">
        <w:rPr>
          <w:i/>
          <w:color w:val="000000" w:themeColor="text1"/>
        </w:rPr>
        <w:t>Impact of a change in asset mix on embedded value:</w:t>
      </w:r>
    </w:p>
    <w:p w14:paraId="7054829C" w14:textId="77777777" w:rsidR="00D354F2" w:rsidRPr="00A35D5C" w:rsidRDefault="00D354F2" w:rsidP="00D354F2">
      <w:pPr>
        <w:pStyle w:val="ListParagraph"/>
        <w:numPr>
          <w:ilvl w:val="0"/>
          <w:numId w:val="11"/>
        </w:numPr>
        <w:spacing w:after="60"/>
        <w:rPr>
          <w:color w:val="000000" w:themeColor="text1"/>
        </w:rPr>
      </w:pPr>
      <w:r w:rsidRPr="00A35D5C">
        <w:rPr>
          <w:color w:val="000000" w:themeColor="text1"/>
        </w:rPr>
        <w:t xml:space="preserve">The </w:t>
      </w:r>
      <w:r w:rsidRPr="00A35D5C">
        <w:rPr>
          <w:color w:val="FF0000"/>
        </w:rPr>
        <w:t xml:space="preserve">capital required will increase </w:t>
      </w:r>
      <w:r w:rsidRPr="00A35D5C">
        <w:rPr>
          <w:color w:val="000000" w:themeColor="text1"/>
        </w:rPr>
        <w:t>due to a higher resilience reserve. This will</w:t>
      </w:r>
      <w:r>
        <w:rPr>
          <w:color w:val="000000" w:themeColor="text1"/>
        </w:rPr>
        <w:t xml:space="preserve"> </w:t>
      </w:r>
      <w:r w:rsidRPr="00A35D5C">
        <w:rPr>
          <w:color w:val="000000" w:themeColor="text1"/>
        </w:rPr>
        <w:t xml:space="preserve">cause a </w:t>
      </w:r>
      <w:r w:rsidRPr="00A35D5C">
        <w:rPr>
          <w:color w:val="FF0000"/>
        </w:rPr>
        <w:t>reduction in embedded value</w:t>
      </w:r>
      <w:r w:rsidRPr="00A35D5C">
        <w:rPr>
          <w:color w:val="000000" w:themeColor="text1"/>
        </w:rPr>
        <w:t>.</w:t>
      </w:r>
    </w:p>
    <w:p w14:paraId="7523867E" w14:textId="77777777" w:rsidR="00D354F2" w:rsidRPr="00A35D5C" w:rsidRDefault="00D354F2" w:rsidP="00D354F2">
      <w:pPr>
        <w:pStyle w:val="ListParagraph"/>
        <w:numPr>
          <w:ilvl w:val="0"/>
          <w:numId w:val="11"/>
        </w:numPr>
        <w:spacing w:after="60"/>
        <w:rPr>
          <w:color w:val="000000" w:themeColor="text1"/>
        </w:rPr>
      </w:pPr>
      <w:r w:rsidRPr="00A35D5C">
        <w:rPr>
          <w:color w:val="000000" w:themeColor="text1"/>
        </w:rPr>
        <w:t xml:space="preserve">The </w:t>
      </w:r>
      <w:r w:rsidRPr="0070667A">
        <w:rPr>
          <w:color w:val="FF0000"/>
        </w:rPr>
        <w:t>investment assumption will increase causing an increase in embedded value</w:t>
      </w:r>
      <w:r w:rsidRPr="00A35D5C">
        <w:rPr>
          <w:color w:val="000000" w:themeColor="text1"/>
        </w:rPr>
        <w:t>.</w:t>
      </w:r>
    </w:p>
    <w:p w14:paraId="6EEB784C" w14:textId="77777777" w:rsidR="00D354F2" w:rsidRPr="0070667A" w:rsidRDefault="00D354F2" w:rsidP="00D354F2">
      <w:pPr>
        <w:pStyle w:val="ListParagraph"/>
        <w:numPr>
          <w:ilvl w:val="0"/>
          <w:numId w:val="11"/>
        </w:numPr>
        <w:spacing w:after="60"/>
        <w:rPr>
          <w:color w:val="FF0000"/>
        </w:rPr>
      </w:pPr>
      <w:r w:rsidRPr="00C424F9">
        <w:rPr>
          <w:color w:val="000000" w:themeColor="text1"/>
        </w:rPr>
        <w:t xml:space="preserve">The </w:t>
      </w:r>
      <w:r w:rsidRPr="0070667A">
        <w:rPr>
          <w:color w:val="FF0000"/>
        </w:rPr>
        <w:t>discount rate should increase as the riskiness of the business will increase</w:t>
      </w:r>
      <w:r w:rsidRPr="00C424F9">
        <w:rPr>
          <w:color w:val="000000" w:themeColor="text1"/>
        </w:rPr>
        <w:t>.</w:t>
      </w:r>
      <w:r w:rsidRPr="00A35D5C">
        <w:rPr>
          <w:color w:val="000000" w:themeColor="text1"/>
        </w:rPr>
        <w:t xml:space="preserve"> This would cause </w:t>
      </w:r>
      <w:r w:rsidRPr="0070667A">
        <w:rPr>
          <w:color w:val="FF0000"/>
        </w:rPr>
        <w:t>a reduction in embedded value (in theory this should offset the higher investment assumption).</w:t>
      </w:r>
    </w:p>
    <w:p w14:paraId="5A72E46F" w14:textId="77777777" w:rsidR="00D354F2" w:rsidRPr="0070667A" w:rsidRDefault="00D354F2" w:rsidP="00D354F2">
      <w:pPr>
        <w:pStyle w:val="ListParagraph"/>
        <w:numPr>
          <w:ilvl w:val="0"/>
          <w:numId w:val="11"/>
        </w:numPr>
        <w:spacing w:after="60"/>
        <w:rPr>
          <w:color w:val="FF0000"/>
          <w:lang w:val="en-GB"/>
        </w:rPr>
      </w:pPr>
      <w:r w:rsidRPr="0070667A">
        <w:rPr>
          <w:color w:val="FF0000"/>
        </w:rPr>
        <w:lastRenderedPageBreak/>
        <w:t>The net impact should be small and negative.</w:t>
      </w:r>
    </w:p>
    <w:p w14:paraId="04B254AA" w14:textId="77777777" w:rsidR="00D354F2" w:rsidRDefault="00D354F2" w:rsidP="00D354F2">
      <w:pPr>
        <w:spacing w:after="60"/>
        <w:rPr>
          <w:color w:val="000000" w:themeColor="text1"/>
        </w:rPr>
      </w:pPr>
    </w:p>
    <w:p w14:paraId="4866A52B" w14:textId="77777777" w:rsidR="00D354F2" w:rsidRPr="0076586F" w:rsidRDefault="00D354F2" w:rsidP="00D354F2">
      <w:pPr>
        <w:spacing w:after="60"/>
        <w:rPr>
          <w:color w:val="000000" w:themeColor="text1"/>
        </w:rPr>
      </w:pPr>
      <w:r>
        <w:rPr>
          <w:color w:val="000000" w:themeColor="text1"/>
        </w:rPr>
        <w:t xml:space="preserve">3c) </w:t>
      </w:r>
      <w:r w:rsidRPr="0076586F">
        <w:rPr>
          <w:color w:val="000000" w:themeColor="text1"/>
        </w:rPr>
        <w:t>(</w:t>
      </w:r>
      <w:proofErr w:type="spellStart"/>
      <w:r w:rsidRPr="0076586F">
        <w:rPr>
          <w:color w:val="000000" w:themeColor="text1"/>
        </w:rPr>
        <w:t>i</w:t>
      </w:r>
      <w:proofErr w:type="spellEnd"/>
      <w:r w:rsidRPr="0076586F">
        <w:rPr>
          <w:color w:val="000000" w:themeColor="text1"/>
        </w:rPr>
        <w:t xml:space="preserve">) </w:t>
      </w:r>
      <w:proofErr w:type="gramStart"/>
      <w:r w:rsidRPr="000E59D7">
        <w:rPr>
          <w:i/>
          <w:color w:val="000000" w:themeColor="text1"/>
        </w:rPr>
        <w:t>It</w:t>
      </w:r>
      <w:proofErr w:type="gramEnd"/>
      <w:r w:rsidRPr="000E59D7">
        <w:rPr>
          <w:i/>
          <w:color w:val="000000" w:themeColor="text1"/>
        </w:rPr>
        <w:t xml:space="preserve"> is wrong to calculate the second half VNB by subtraction</w:t>
      </w:r>
      <w:r>
        <w:rPr>
          <w:i/>
          <w:color w:val="000000" w:themeColor="text1"/>
        </w:rPr>
        <w:t>:</w:t>
      </w:r>
      <w:r w:rsidRPr="0076586F">
        <w:rPr>
          <w:color w:val="000000" w:themeColor="text1"/>
        </w:rPr>
        <w:t xml:space="preserve"> as the assumptions for the full year VNB are different to those used for the first half. This means the 2nd half VNB includes the impact of assumption changes on the 1st half’s new business.</w:t>
      </w:r>
    </w:p>
    <w:p w14:paraId="24DB514B" w14:textId="77777777" w:rsidR="00D354F2" w:rsidRPr="0076586F" w:rsidRDefault="00D354F2" w:rsidP="00D354F2">
      <w:pPr>
        <w:spacing w:after="60"/>
        <w:rPr>
          <w:color w:val="000000" w:themeColor="text1"/>
        </w:rPr>
      </w:pPr>
      <w:r w:rsidRPr="0076586F">
        <w:rPr>
          <w:color w:val="000000" w:themeColor="text1"/>
        </w:rPr>
        <w:t xml:space="preserve">(ii) </w:t>
      </w:r>
      <w:r w:rsidRPr="000E59D7">
        <w:rPr>
          <w:i/>
          <w:color w:val="000000" w:themeColor="text1"/>
        </w:rPr>
        <w:t>An approximate value for the second half VNB can be obtained</w:t>
      </w:r>
      <w:r>
        <w:rPr>
          <w:i/>
          <w:color w:val="000000" w:themeColor="text1"/>
        </w:rPr>
        <w:t>:</w:t>
      </w:r>
      <w:r w:rsidRPr="0076586F">
        <w:rPr>
          <w:color w:val="000000" w:themeColor="text1"/>
        </w:rPr>
        <w:t xml:space="preserve"> by pro-rating the full year VNB by sales volumes. 70/120 x 27.4 = 16.0m</w:t>
      </w:r>
    </w:p>
    <w:p w14:paraId="0CCA6897" w14:textId="77777777" w:rsidR="00D354F2" w:rsidRPr="0076586F" w:rsidRDefault="00D354F2" w:rsidP="00D354F2">
      <w:pPr>
        <w:spacing w:after="60"/>
        <w:rPr>
          <w:color w:val="000000" w:themeColor="text1"/>
        </w:rPr>
      </w:pPr>
      <w:r w:rsidRPr="0076586F">
        <w:rPr>
          <w:color w:val="000000" w:themeColor="text1"/>
        </w:rPr>
        <w:t>Note: this is equivalent to applying the full year new business margin (full year VNB / full year new business volume) to the 2nd half year new business volume.</w:t>
      </w:r>
    </w:p>
    <w:p w14:paraId="4C1B2120" w14:textId="77777777" w:rsidR="00D354F2" w:rsidRPr="0076586F" w:rsidRDefault="00D354F2" w:rsidP="00D354F2">
      <w:pPr>
        <w:spacing w:after="60"/>
        <w:rPr>
          <w:color w:val="000000" w:themeColor="text1"/>
        </w:rPr>
      </w:pPr>
      <w:r w:rsidRPr="0076586F">
        <w:rPr>
          <w:color w:val="000000" w:themeColor="text1"/>
        </w:rPr>
        <w:t xml:space="preserve">(iii) This table is showing a split of the full year VNB by 1st and 2nd halves. </w:t>
      </w:r>
      <w:r w:rsidRPr="000E59D7">
        <w:rPr>
          <w:b/>
          <w:color w:val="000000" w:themeColor="text1"/>
        </w:rPr>
        <w:t>The 1st half needs to be recalculated using end of year assumptions.</w:t>
      </w:r>
      <w:r w:rsidRPr="0076586F">
        <w:rPr>
          <w:color w:val="000000" w:themeColor="text1"/>
        </w:rPr>
        <w:t xml:space="preserve"> </w:t>
      </w:r>
      <w:r w:rsidRPr="00D934EA">
        <w:rPr>
          <w:color w:val="000000" w:themeColor="text1"/>
          <w:u w:val="single"/>
        </w:rPr>
        <w:t xml:space="preserve">The most accurate way of producing this table would be to run first half new business data separately using end of year assumptions. The second half value of new business can be found by subtraction, </w:t>
      </w:r>
      <w:r w:rsidRPr="0076586F">
        <w:rPr>
          <w:color w:val="000000" w:themeColor="text1"/>
        </w:rPr>
        <w:t>or by detailed calculations.</w:t>
      </w:r>
    </w:p>
    <w:p w14:paraId="47D2B246" w14:textId="77777777" w:rsidR="00D354F2" w:rsidRPr="0076586F" w:rsidRDefault="00D354F2" w:rsidP="00D354F2">
      <w:pPr>
        <w:spacing w:after="60"/>
        <w:rPr>
          <w:color w:val="000000" w:themeColor="text1"/>
          <w:lang w:val="en-GB"/>
        </w:rPr>
      </w:pPr>
    </w:p>
    <w:p w14:paraId="790E059D" w14:textId="77777777" w:rsidR="00D354F2" w:rsidRPr="00D91448" w:rsidRDefault="00D354F2" w:rsidP="00D354F2">
      <w:pPr>
        <w:spacing w:after="60"/>
        <w:rPr>
          <w:i/>
          <w:color w:val="000000" w:themeColor="text1"/>
          <w:lang w:val="en-GB"/>
        </w:rPr>
      </w:pPr>
      <w:r>
        <w:rPr>
          <w:color w:val="000000" w:themeColor="text1"/>
        </w:rPr>
        <w:t xml:space="preserve">3d) </w:t>
      </w:r>
      <w:r w:rsidRPr="00D91448">
        <w:rPr>
          <w:i/>
          <w:color w:val="000000" w:themeColor="text1"/>
        </w:rPr>
        <w:t>YRT market will triple in size over the next 15 years.</w:t>
      </w:r>
      <w:r w:rsidRPr="00D91448">
        <w:rPr>
          <w:color w:val="000000" w:themeColor="text1"/>
        </w:rPr>
        <w:t xml:space="preserve"> </w:t>
      </w:r>
      <w:r w:rsidRPr="00D91448">
        <w:rPr>
          <w:i/>
          <w:color w:val="000000" w:themeColor="text1"/>
        </w:rPr>
        <w:t>What factors would you consider in calculating this appraisal value?</w:t>
      </w:r>
    </w:p>
    <w:p w14:paraId="29FA3E3D" w14:textId="77777777" w:rsidR="00D354F2" w:rsidRPr="00D91448" w:rsidRDefault="00D354F2" w:rsidP="00D354F2">
      <w:pPr>
        <w:pStyle w:val="ListParagraph"/>
        <w:numPr>
          <w:ilvl w:val="0"/>
          <w:numId w:val="12"/>
        </w:numPr>
        <w:spacing w:after="60"/>
        <w:rPr>
          <w:color w:val="000000" w:themeColor="text1"/>
        </w:rPr>
      </w:pPr>
      <w:r w:rsidRPr="00D91448">
        <w:rPr>
          <w:color w:val="000000" w:themeColor="text1"/>
        </w:rPr>
        <w:t>The appraisal value would be based on the embedded value plus a multiple of</w:t>
      </w:r>
      <w:r>
        <w:rPr>
          <w:color w:val="000000" w:themeColor="text1"/>
        </w:rPr>
        <w:t xml:space="preserve"> </w:t>
      </w:r>
      <w:r w:rsidRPr="00D91448">
        <w:rPr>
          <w:color w:val="000000" w:themeColor="text1"/>
        </w:rPr>
        <w:t>last year’s value of new business.</w:t>
      </w:r>
    </w:p>
    <w:p w14:paraId="00327AB6" w14:textId="77777777" w:rsidR="00D354F2" w:rsidRPr="00D91448" w:rsidRDefault="00D354F2" w:rsidP="00D354F2">
      <w:pPr>
        <w:pStyle w:val="ListParagraph"/>
        <w:numPr>
          <w:ilvl w:val="0"/>
          <w:numId w:val="12"/>
        </w:numPr>
        <w:spacing w:after="60"/>
        <w:rPr>
          <w:color w:val="000000" w:themeColor="text1"/>
        </w:rPr>
      </w:pPr>
      <w:r w:rsidRPr="00D91448">
        <w:rPr>
          <w:color w:val="000000" w:themeColor="text1"/>
        </w:rPr>
        <w:t>Franking credits should be excluded as they have no value to an overseas</w:t>
      </w:r>
      <w:r>
        <w:rPr>
          <w:color w:val="000000" w:themeColor="text1"/>
        </w:rPr>
        <w:t xml:space="preserve"> </w:t>
      </w:r>
      <w:r w:rsidRPr="00D91448">
        <w:rPr>
          <w:color w:val="000000" w:themeColor="text1"/>
        </w:rPr>
        <w:t xml:space="preserve">parent.  </w:t>
      </w:r>
    </w:p>
    <w:p w14:paraId="2B9A55B6" w14:textId="77777777" w:rsidR="00D354F2" w:rsidRPr="00D91448" w:rsidRDefault="00D354F2" w:rsidP="00D354F2">
      <w:pPr>
        <w:pStyle w:val="ListParagraph"/>
        <w:numPr>
          <w:ilvl w:val="0"/>
          <w:numId w:val="12"/>
        </w:numPr>
        <w:spacing w:after="60"/>
        <w:rPr>
          <w:color w:val="000000" w:themeColor="text1"/>
          <w:lang w:val="en-GB"/>
        </w:rPr>
      </w:pPr>
      <w:r w:rsidRPr="00D91448">
        <w:rPr>
          <w:color w:val="000000" w:themeColor="text1"/>
        </w:rPr>
        <w:t>The value of last year’s new business may need to be adjusted so that it fully</w:t>
      </w:r>
      <w:r>
        <w:rPr>
          <w:color w:val="000000" w:themeColor="text1"/>
        </w:rPr>
        <w:t xml:space="preserve"> </w:t>
      </w:r>
      <w:r w:rsidRPr="00D91448">
        <w:rPr>
          <w:color w:val="000000" w:themeColor="text1"/>
        </w:rPr>
        <w:t>reflects the new premium rates (particularly for level premium business).</w:t>
      </w:r>
    </w:p>
    <w:p w14:paraId="5AD6E66F" w14:textId="77777777" w:rsidR="00D354F2" w:rsidRPr="00D91448" w:rsidRDefault="00D354F2" w:rsidP="00D354F2">
      <w:pPr>
        <w:pStyle w:val="ListParagraph"/>
        <w:numPr>
          <w:ilvl w:val="0"/>
          <w:numId w:val="12"/>
        </w:numPr>
        <w:spacing w:after="60"/>
        <w:rPr>
          <w:color w:val="000000" w:themeColor="text1"/>
          <w:lang w:val="en-GB"/>
        </w:rPr>
      </w:pPr>
      <w:r w:rsidRPr="00D91448">
        <w:rPr>
          <w:color w:val="000000" w:themeColor="text1"/>
          <w:lang w:val="en-GB"/>
        </w:rPr>
        <w:t xml:space="preserve">Both EV and value of future new business could be adjusted to </w:t>
      </w:r>
      <w:r w:rsidRPr="00D91448">
        <w:rPr>
          <w:color w:val="FF0000"/>
          <w:lang w:val="en-GB"/>
        </w:rPr>
        <w:t>allow for lower overhead expenses</w:t>
      </w:r>
      <w:r w:rsidRPr="00D91448">
        <w:rPr>
          <w:color w:val="000000" w:themeColor="text1"/>
          <w:lang w:val="en-GB"/>
        </w:rPr>
        <w:t>. These will come from 2 sources – the tripling of new business, and the potential synergies with QTF.</w:t>
      </w:r>
    </w:p>
    <w:p w14:paraId="015304D9" w14:textId="77777777" w:rsidR="00D354F2" w:rsidRPr="00D91448" w:rsidRDefault="00D354F2" w:rsidP="00D354F2">
      <w:pPr>
        <w:pStyle w:val="ListParagraph"/>
        <w:numPr>
          <w:ilvl w:val="0"/>
          <w:numId w:val="12"/>
        </w:numPr>
        <w:spacing w:after="60"/>
        <w:rPr>
          <w:color w:val="000000" w:themeColor="text1"/>
          <w:lang w:val="en-GB"/>
        </w:rPr>
      </w:pPr>
      <w:r w:rsidRPr="00D91448">
        <w:rPr>
          <w:color w:val="000000" w:themeColor="text1"/>
          <w:lang w:val="en-GB"/>
        </w:rPr>
        <w:t xml:space="preserve">The new business multiplier will be calculated </w:t>
      </w:r>
      <w:r w:rsidRPr="00D91448">
        <w:rPr>
          <w:color w:val="FF0000"/>
          <w:lang w:val="en-GB"/>
        </w:rPr>
        <w:t xml:space="preserve">allowing for growth in sales </w:t>
      </w:r>
      <w:r w:rsidRPr="00D91448">
        <w:rPr>
          <w:color w:val="000000" w:themeColor="text1"/>
          <w:lang w:val="en-GB"/>
        </w:rPr>
        <w:t>so they triple over 15 years. The growth rate thereafter should be inflation plus a modest margin allowing for long term economic growth.</w:t>
      </w:r>
    </w:p>
    <w:p w14:paraId="68EDA81C" w14:textId="77777777" w:rsidR="00D354F2" w:rsidRPr="00D91448" w:rsidRDefault="00D354F2" w:rsidP="00D354F2">
      <w:pPr>
        <w:pStyle w:val="ListParagraph"/>
        <w:numPr>
          <w:ilvl w:val="0"/>
          <w:numId w:val="12"/>
        </w:numPr>
        <w:spacing w:after="60"/>
        <w:rPr>
          <w:color w:val="000000" w:themeColor="text1"/>
          <w:lang w:val="en-GB"/>
        </w:rPr>
      </w:pPr>
      <w:r w:rsidRPr="00D91448">
        <w:rPr>
          <w:color w:val="000000" w:themeColor="text1"/>
          <w:lang w:val="en-GB"/>
        </w:rPr>
        <w:t xml:space="preserve">The </w:t>
      </w:r>
      <w:r w:rsidRPr="00D91448">
        <w:rPr>
          <w:color w:val="FF0000"/>
          <w:lang w:val="en-GB"/>
        </w:rPr>
        <w:t>discount rate used in calculating the new business multiplier should be higher than the EV discount rate to allow for the greater risk</w:t>
      </w:r>
      <w:r w:rsidRPr="00D91448">
        <w:rPr>
          <w:color w:val="000000" w:themeColor="text1"/>
          <w:lang w:val="en-GB"/>
        </w:rPr>
        <w:t>.</w:t>
      </w:r>
    </w:p>
    <w:p w14:paraId="00572B9E" w14:textId="77777777" w:rsidR="00D354F2" w:rsidRPr="00D91448" w:rsidRDefault="00D354F2" w:rsidP="00D354F2">
      <w:pPr>
        <w:pStyle w:val="ListParagraph"/>
        <w:numPr>
          <w:ilvl w:val="0"/>
          <w:numId w:val="12"/>
        </w:numPr>
        <w:spacing w:after="60"/>
        <w:rPr>
          <w:color w:val="000000" w:themeColor="text1"/>
          <w:lang w:val="en-GB"/>
        </w:rPr>
      </w:pPr>
      <w:r w:rsidRPr="00D91448">
        <w:rPr>
          <w:color w:val="FF0000"/>
          <w:lang w:val="en-GB"/>
        </w:rPr>
        <w:t xml:space="preserve">Lapse rates </w:t>
      </w:r>
      <w:r w:rsidRPr="00D91448">
        <w:rPr>
          <w:color w:val="000000" w:themeColor="text1"/>
          <w:lang w:val="en-GB"/>
        </w:rPr>
        <w:t>for both inforce and future new business could be affected by the sale of the business.</w:t>
      </w:r>
    </w:p>
    <w:p w14:paraId="2B310B7D" w14:textId="77777777" w:rsidR="00D354F2" w:rsidRPr="00D91448" w:rsidRDefault="00D354F2" w:rsidP="00D354F2">
      <w:pPr>
        <w:pStyle w:val="ListParagraph"/>
        <w:numPr>
          <w:ilvl w:val="0"/>
          <w:numId w:val="12"/>
        </w:numPr>
        <w:spacing w:after="60"/>
        <w:rPr>
          <w:color w:val="000000" w:themeColor="text1"/>
          <w:lang w:val="en-GB"/>
        </w:rPr>
      </w:pPr>
      <w:r w:rsidRPr="00D91448">
        <w:rPr>
          <w:color w:val="000000" w:themeColor="text1"/>
          <w:lang w:val="en-GB"/>
        </w:rPr>
        <w:t>There could be some allowance for future margin squeeze.</w:t>
      </w:r>
    </w:p>
    <w:p w14:paraId="17D111CA" w14:textId="77777777" w:rsidR="00884ED1" w:rsidRDefault="00884ED1" w:rsidP="007941C1">
      <w:pPr>
        <w:spacing w:after="60"/>
        <w:rPr>
          <w:color w:val="000000" w:themeColor="text1"/>
        </w:rPr>
      </w:pPr>
    </w:p>
    <w:p w14:paraId="3D68AE4C" w14:textId="77777777" w:rsidR="00CE6A0D" w:rsidRDefault="00884ED1" w:rsidP="00CE6A0D">
      <w:pPr>
        <w:spacing w:after="60"/>
        <w:rPr>
          <w:color w:val="000000" w:themeColor="text1"/>
        </w:rPr>
      </w:pPr>
      <w:r>
        <w:rPr>
          <w:b/>
          <w:color w:val="000000" w:themeColor="text1"/>
        </w:rPr>
        <w:t xml:space="preserve">Q4 </w:t>
      </w:r>
      <w:r>
        <w:rPr>
          <w:color w:val="000000" w:themeColor="text1"/>
        </w:rPr>
        <w:t>a</w:t>
      </w:r>
      <w:r w:rsidRPr="00CC2D97">
        <w:rPr>
          <w:color w:val="000000" w:themeColor="text1"/>
        </w:rPr>
        <w:t>)</w:t>
      </w:r>
      <w:r w:rsidR="00CF0367">
        <w:rPr>
          <w:color w:val="000000" w:themeColor="text1"/>
        </w:rPr>
        <w:t xml:space="preserve"> </w:t>
      </w:r>
      <w:proofErr w:type="gramStart"/>
      <w:r w:rsidR="00CE6A0D" w:rsidRPr="00535573">
        <w:rPr>
          <w:i/>
          <w:color w:val="000000" w:themeColor="text1"/>
        </w:rPr>
        <w:t>The</w:t>
      </w:r>
      <w:proofErr w:type="gramEnd"/>
      <w:r w:rsidR="00CE6A0D" w:rsidRPr="00535573">
        <w:rPr>
          <w:i/>
          <w:color w:val="000000" w:themeColor="text1"/>
        </w:rPr>
        <w:t xml:space="preserve"> actual claims loss ratio will be</w:t>
      </w:r>
      <w:r w:rsidR="00CE6A0D" w:rsidRPr="00CE6A0D">
        <w:rPr>
          <w:color w:val="000000" w:themeColor="text1"/>
        </w:rPr>
        <w:t xml:space="preserve"> </w:t>
      </w:r>
      <w:r w:rsidR="00CE6A0D" w:rsidRPr="00535573">
        <w:rPr>
          <w:color w:val="FF0000"/>
        </w:rPr>
        <w:t xml:space="preserve">cost of claims incurred / premiums </w:t>
      </w:r>
      <w:r w:rsidR="00CE6A0D" w:rsidRPr="00535573">
        <w:rPr>
          <w:b/>
          <w:color w:val="FF0000"/>
        </w:rPr>
        <w:t>earned</w:t>
      </w:r>
      <w:r w:rsidR="00CE6A0D" w:rsidRPr="00535573">
        <w:rPr>
          <w:color w:val="FF0000"/>
        </w:rPr>
        <w:t>.</w:t>
      </w:r>
      <w:r w:rsidR="00CE6A0D" w:rsidRPr="00CE6A0D">
        <w:rPr>
          <w:color w:val="000000" w:themeColor="text1"/>
        </w:rPr>
        <w:t xml:space="preserve"> </w:t>
      </w:r>
    </w:p>
    <w:p w14:paraId="08D13D64" w14:textId="73F35C71" w:rsidR="00CE6A0D" w:rsidRPr="00CE6A0D" w:rsidRDefault="00CE6A0D" w:rsidP="00051323">
      <w:pPr>
        <w:spacing w:after="0"/>
        <w:rPr>
          <w:color w:val="000000" w:themeColor="text1"/>
        </w:rPr>
      </w:pPr>
      <w:r w:rsidRPr="00CE6A0D">
        <w:rPr>
          <w:color w:val="000000" w:themeColor="text1"/>
        </w:rPr>
        <w:t>The cost of claims incurred for the year can be calculated as:</w:t>
      </w:r>
    </w:p>
    <w:p w14:paraId="326D1502" w14:textId="77777777" w:rsidR="002C1970" w:rsidRDefault="002C1970" w:rsidP="00CF0598">
      <w:pPr>
        <w:pStyle w:val="ListParagraph"/>
        <w:numPr>
          <w:ilvl w:val="0"/>
          <w:numId w:val="5"/>
        </w:numPr>
        <w:spacing w:after="60"/>
        <w:rPr>
          <w:color w:val="000000" w:themeColor="text1"/>
        </w:rPr>
      </w:pPr>
      <w:r w:rsidRPr="002C1970">
        <w:rPr>
          <w:color w:val="FF0000"/>
        </w:rPr>
        <w:t>IBNR + RBNA + CICP</w:t>
      </w:r>
      <w:r>
        <w:rPr>
          <w:color w:val="000000" w:themeColor="text1"/>
        </w:rPr>
        <w:t>:</w:t>
      </w:r>
      <w:r w:rsidR="00CE6A0D" w:rsidRPr="00CE6A0D">
        <w:rPr>
          <w:color w:val="000000" w:themeColor="text1"/>
        </w:rPr>
        <w:t xml:space="preserve"> </w:t>
      </w:r>
    </w:p>
    <w:p w14:paraId="2E9F8CBF" w14:textId="77777777" w:rsidR="002C1970" w:rsidRDefault="00CE6A0D" w:rsidP="002C1970">
      <w:pPr>
        <w:pStyle w:val="ListParagraph"/>
        <w:spacing w:after="60"/>
        <w:rPr>
          <w:color w:val="000000" w:themeColor="text1"/>
        </w:rPr>
      </w:pPr>
      <w:r w:rsidRPr="00CE6A0D">
        <w:rPr>
          <w:color w:val="000000" w:themeColor="text1"/>
        </w:rPr>
        <w:t xml:space="preserve">- </w:t>
      </w:r>
      <w:proofErr w:type="gramStart"/>
      <w:r w:rsidRPr="00CE6A0D">
        <w:rPr>
          <w:color w:val="000000" w:themeColor="text1"/>
        </w:rPr>
        <w:t>where</w:t>
      </w:r>
      <w:proofErr w:type="gramEnd"/>
      <w:r w:rsidRPr="00CE6A0D">
        <w:rPr>
          <w:color w:val="000000" w:themeColor="text1"/>
        </w:rPr>
        <w:t xml:space="preserve"> all items are calculated at the valuation date on current best estimate assumptions; </w:t>
      </w:r>
    </w:p>
    <w:p w14:paraId="76061A0E" w14:textId="77777777" w:rsidR="002C1970" w:rsidRDefault="00CE6A0D" w:rsidP="002C1970">
      <w:pPr>
        <w:pStyle w:val="ListParagraph"/>
        <w:spacing w:after="60"/>
        <w:rPr>
          <w:color w:val="000000" w:themeColor="text1"/>
        </w:rPr>
      </w:pPr>
      <w:r w:rsidRPr="00CE6A0D">
        <w:rPr>
          <w:color w:val="000000" w:themeColor="text1"/>
        </w:rPr>
        <w:t xml:space="preserve">- </w:t>
      </w:r>
      <w:proofErr w:type="gramStart"/>
      <w:r w:rsidRPr="003F39C1">
        <w:rPr>
          <w:color w:val="000000" w:themeColor="text1"/>
          <w:u w:val="single"/>
        </w:rPr>
        <w:t>only</w:t>
      </w:r>
      <w:proofErr w:type="gramEnd"/>
      <w:r w:rsidRPr="003F39C1">
        <w:rPr>
          <w:color w:val="000000" w:themeColor="text1"/>
          <w:u w:val="single"/>
        </w:rPr>
        <w:t xml:space="preserve"> claims incurred during the year are included</w:t>
      </w:r>
      <w:r w:rsidRPr="00CE6A0D">
        <w:rPr>
          <w:color w:val="000000" w:themeColor="text1"/>
        </w:rPr>
        <w:t xml:space="preserve">; </w:t>
      </w:r>
    </w:p>
    <w:p w14:paraId="5E2CDA3A" w14:textId="3FE1A0A5" w:rsidR="00CE6A0D" w:rsidRPr="00CE6A0D" w:rsidRDefault="00CE6A0D" w:rsidP="002C1970">
      <w:pPr>
        <w:pStyle w:val="ListParagraph"/>
        <w:spacing w:after="60"/>
        <w:rPr>
          <w:color w:val="000000" w:themeColor="text1"/>
        </w:rPr>
      </w:pPr>
      <w:r w:rsidRPr="00CE6A0D">
        <w:rPr>
          <w:color w:val="000000" w:themeColor="text1"/>
        </w:rPr>
        <w:lastRenderedPageBreak/>
        <w:t xml:space="preserve">- </w:t>
      </w:r>
      <w:proofErr w:type="gramStart"/>
      <w:r w:rsidRPr="00CE6A0D">
        <w:rPr>
          <w:color w:val="000000" w:themeColor="text1"/>
        </w:rPr>
        <w:t>all</w:t>
      </w:r>
      <w:proofErr w:type="gramEnd"/>
      <w:r w:rsidRPr="00CE6A0D">
        <w:rPr>
          <w:color w:val="000000" w:themeColor="text1"/>
        </w:rPr>
        <w:t xml:space="preserve"> items are discounted to date incurred (probably mid</w:t>
      </w:r>
      <w:r w:rsidR="002C1970">
        <w:rPr>
          <w:color w:val="000000" w:themeColor="text1"/>
        </w:rPr>
        <w:t>-</w:t>
      </w:r>
      <w:r w:rsidRPr="00CE6A0D">
        <w:rPr>
          <w:color w:val="000000" w:themeColor="text1"/>
        </w:rPr>
        <w:t>year on average) using the risk free interest rate applying at the valuation date.</w:t>
      </w:r>
    </w:p>
    <w:p w14:paraId="79BCC60C" w14:textId="7A21640B" w:rsidR="00CE6A0D" w:rsidRPr="00CE6A0D" w:rsidRDefault="00CE6A0D" w:rsidP="00CF0598">
      <w:pPr>
        <w:pStyle w:val="ListParagraph"/>
        <w:numPr>
          <w:ilvl w:val="0"/>
          <w:numId w:val="5"/>
        </w:numPr>
        <w:spacing w:after="60"/>
        <w:rPr>
          <w:color w:val="000000" w:themeColor="text1"/>
        </w:rPr>
      </w:pPr>
      <w:proofErr w:type="gramStart"/>
      <w:r w:rsidRPr="002C1970">
        <w:rPr>
          <w:color w:val="FF0000"/>
        </w:rPr>
        <w:t>plus</w:t>
      </w:r>
      <w:proofErr w:type="gramEnd"/>
      <w:r w:rsidRPr="002C1970">
        <w:rPr>
          <w:color w:val="FF0000"/>
        </w:rPr>
        <w:t xml:space="preserve"> actual claim payments </w:t>
      </w:r>
      <w:r w:rsidRPr="00CE6A0D">
        <w:rPr>
          <w:color w:val="000000" w:themeColor="text1"/>
        </w:rPr>
        <w:t>made during the year for claims incurred during the year, again discounted back to date incurred.</w:t>
      </w:r>
    </w:p>
    <w:p w14:paraId="5A06B88A" w14:textId="77777777" w:rsidR="00CE6A0D" w:rsidRPr="00CE6A0D" w:rsidRDefault="00CE6A0D" w:rsidP="00051323">
      <w:pPr>
        <w:spacing w:after="0"/>
        <w:rPr>
          <w:color w:val="000000" w:themeColor="text1"/>
        </w:rPr>
      </w:pPr>
      <w:r w:rsidRPr="00CE6A0D">
        <w:rPr>
          <w:color w:val="000000" w:themeColor="text1"/>
        </w:rPr>
        <w:t>The premiums earned for the year can be calculated as:</w:t>
      </w:r>
    </w:p>
    <w:p w14:paraId="388F18D3" w14:textId="3DACF40B" w:rsidR="007941C1" w:rsidRDefault="00CE6A0D" w:rsidP="00CF0598">
      <w:pPr>
        <w:pStyle w:val="ListParagraph"/>
        <w:numPr>
          <w:ilvl w:val="0"/>
          <w:numId w:val="5"/>
        </w:numPr>
        <w:spacing w:after="60"/>
        <w:rPr>
          <w:color w:val="000000" w:themeColor="text1"/>
        </w:rPr>
      </w:pPr>
      <w:r w:rsidRPr="002C1970">
        <w:rPr>
          <w:color w:val="FF0000"/>
        </w:rPr>
        <w:t xml:space="preserve">premiums received less increase in unearned premium reserve </w:t>
      </w:r>
      <w:r w:rsidRPr="00CE6A0D">
        <w:rPr>
          <w:color w:val="000000" w:themeColor="text1"/>
        </w:rPr>
        <w:t>(which could be expressed as the expected premiums earned on the schemes exposed over the year)</w:t>
      </w:r>
    </w:p>
    <w:p w14:paraId="2D7A23CD" w14:textId="77777777" w:rsidR="002C1970" w:rsidRDefault="002C1970" w:rsidP="002C1970">
      <w:pPr>
        <w:spacing w:after="60"/>
      </w:pPr>
    </w:p>
    <w:p w14:paraId="6CD0B191" w14:textId="3E08049F" w:rsidR="008046BD" w:rsidRDefault="002C1970" w:rsidP="00DD1CA7">
      <w:pPr>
        <w:spacing w:after="0"/>
      </w:pPr>
      <w:r>
        <w:t xml:space="preserve">4b) </w:t>
      </w:r>
      <w:r w:rsidR="00DD1CA7" w:rsidRPr="00DD1CA7">
        <w:rPr>
          <w:i/>
        </w:rPr>
        <w:t xml:space="preserve">Additional steps to take to calculate </w:t>
      </w:r>
      <w:r w:rsidR="00535573" w:rsidRPr="00DD1CA7">
        <w:rPr>
          <w:i/>
        </w:rPr>
        <w:t>B</w:t>
      </w:r>
      <w:r w:rsidR="008046BD" w:rsidRPr="00DD1CA7">
        <w:rPr>
          <w:i/>
        </w:rPr>
        <w:t>est estimate claims loss ratio</w:t>
      </w:r>
      <w:r w:rsidR="008046BD">
        <w:t>:</w:t>
      </w:r>
    </w:p>
    <w:p w14:paraId="1D38ECAE" w14:textId="63520EC6" w:rsidR="008046BD" w:rsidRDefault="008046BD" w:rsidP="00CF0598">
      <w:pPr>
        <w:pStyle w:val="ListParagraph"/>
        <w:numPr>
          <w:ilvl w:val="0"/>
          <w:numId w:val="4"/>
        </w:numPr>
        <w:spacing w:after="60"/>
      </w:pPr>
      <w:r>
        <w:t>Use a longer investigation period as one year is unlikely to be credible</w:t>
      </w:r>
    </w:p>
    <w:p w14:paraId="2BDCA35B" w14:textId="137169BE" w:rsidR="008046BD" w:rsidRDefault="008046BD" w:rsidP="00CF0598">
      <w:pPr>
        <w:pStyle w:val="ListParagraph"/>
        <w:numPr>
          <w:ilvl w:val="0"/>
          <w:numId w:val="4"/>
        </w:numPr>
        <w:spacing w:after="60"/>
      </w:pPr>
      <w:r>
        <w:t>Consider trends in the experience</w:t>
      </w:r>
    </w:p>
    <w:p w14:paraId="4A73B339" w14:textId="2B16350D" w:rsidR="008046BD" w:rsidRDefault="008046BD" w:rsidP="00CF0598">
      <w:pPr>
        <w:pStyle w:val="ListParagraph"/>
        <w:numPr>
          <w:ilvl w:val="0"/>
          <w:numId w:val="4"/>
        </w:numPr>
        <w:spacing w:after="60"/>
      </w:pPr>
      <w:r>
        <w:t>Consider probable future trends (e.g. changes in experience due to the economic downturn)</w:t>
      </w:r>
    </w:p>
    <w:p w14:paraId="53AF7164" w14:textId="24B8527E" w:rsidR="008046BD" w:rsidRDefault="008046BD" w:rsidP="00CF0598">
      <w:pPr>
        <w:pStyle w:val="ListParagraph"/>
        <w:numPr>
          <w:ilvl w:val="0"/>
          <w:numId w:val="4"/>
        </w:numPr>
        <w:spacing w:after="60"/>
      </w:pPr>
      <w:r>
        <w:t>Other sources of information could be considered (e.g. industry analyses, reinsurers).</w:t>
      </w:r>
    </w:p>
    <w:p w14:paraId="584FBF54" w14:textId="7AA412D2" w:rsidR="00AE6D85" w:rsidRPr="00AE6D85" w:rsidRDefault="008046BD" w:rsidP="00CF0598">
      <w:pPr>
        <w:pStyle w:val="ListParagraph"/>
        <w:numPr>
          <w:ilvl w:val="0"/>
          <w:numId w:val="4"/>
        </w:numPr>
        <w:spacing w:after="60"/>
        <w:rPr>
          <w:color w:val="000000" w:themeColor="text1"/>
        </w:rPr>
      </w:pPr>
      <w:r>
        <w:t>Any change in premium rates during the investigation period needs to be allowed for.</w:t>
      </w:r>
    </w:p>
    <w:p w14:paraId="0373026C" w14:textId="77777777" w:rsidR="00AE6D85" w:rsidRDefault="00AE6D85" w:rsidP="00AE6D85">
      <w:pPr>
        <w:spacing w:after="60"/>
        <w:rPr>
          <w:color w:val="000000" w:themeColor="text1"/>
        </w:rPr>
      </w:pPr>
    </w:p>
    <w:p w14:paraId="53BEF118" w14:textId="77777777" w:rsidR="00A41768" w:rsidRPr="00DD1CA7" w:rsidRDefault="00AE6D85" w:rsidP="00DD1CA7">
      <w:pPr>
        <w:spacing w:after="0"/>
        <w:rPr>
          <w:i/>
          <w:color w:val="000000" w:themeColor="text1"/>
        </w:rPr>
      </w:pPr>
      <w:r>
        <w:rPr>
          <w:color w:val="000000" w:themeColor="text1"/>
        </w:rPr>
        <w:t xml:space="preserve">4c) </w:t>
      </w:r>
      <w:proofErr w:type="gramStart"/>
      <w:r w:rsidR="00A41768" w:rsidRPr="00DD1CA7">
        <w:rPr>
          <w:i/>
          <w:color w:val="000000" w:themeColor="text1"/>
        </w:rPr>
        <w:t>Other</w:t>
      </w:r>
      <w:proofErr w:type="gramEnd"/>
      <w:r w:rsidR="00A41768" w:rsidRPr="00DD1CA7">
        <w:rPr>
          <w:i/>
          <w:color w:val="000000" w:themeColor="text1"/>
        </w:rPr>
        <w:t xml:space="preserve"> information required to calculate the deficiency reserve include best estimates of:</w:t>
      </w:r>
    </w:p>
    <w:p w14:paraId="421496D2" w14:textId="489A29A6" w:rsidR="00AE6D85" w:rsidRPr="00A41768" w:rsidRDefault="00A41768" w:rsidP="00CF0598">
      <w:pPr>
        <w:pStyle w:val="ListParagraph"/>
        <w:numPr>
          <w:ilvl w:val="0"/>
          <w:numId w:val="6"/>
        </w:numPr>
        <w:spacing w:after="60"/>
        <w:rPr>
          <w:color w:val="000000" w:themeColor="text1"/>
        </w:rPr>
      </w:pPr>
      <w:r w:rsidRPr="00A41768">
        <w:rPr>
          <w:color w:val="000000" w:themeColor="text1"/>
        </w:rPr>
        <w:t>renewal expenses (including claims expenses)</w:t>
      </w:r>
    </w:p>
    <w:p w14:paraId="0DE616EE" w14:textId="77777777" w:rsidR="00A41768" w:rsidRPr="00A41768" w:rsidRDefault="00A41768" w:rsidP="00CF0598">
      <w:pPr>
        <w:pStyle w:val="ListParagraph"/>
        <w:numPr>
          <w:ilvl w:val="0"/>
          <w:numId w:val="6"/>
        </w:numPr>
        <w:spacing w:after="60"/>
        <w:rPr>
          <w:color w:val="000000" w:themeColor="text1"/>
        </w:rPr>
      </w:pPr>
      <w:r w:rsidRPr="00A41768">
        <w:rPr>
          <w:color w:val="000000" w:themeColor="text1"/>
        </w:rPr>
        <w:t>risk free interest rates</w:t>
      </w:r>
    </w:p>
    <w:p w14:paraId="4F0A598A" w14:textId="0390A791" w:rsidR="00A41768" w:rsidRPr="00A41768" w:rsidRDefault="00A41768" w:rsidP="00CF0598">
      <w:pPr>
        <w:pStyle w:val="ListParagraph"/>
        <w:numPr>
          <w:ilvl w:val="0"/>
          <w:numId w:val="6"/>
        </w:numPr>
        <w:spacing w:after="60"/>
        <w:rPr>
          <w:color w:val="000000" w:themeColor="text1"/>
        </w:rPr>
      </w:pPr>
      <w:r w:rsidRPr="00A41768">
        <w:rPr>
          <w:color w:val="000000" w:themeColor="text1"/>
        </w:rPr>
        <w:t>lapse rates</w:t>
      </w:r>
    </w:p>
    <w:p w14:paraId="5B19DBFF" w14:textId="3D9B44D0" w:rsidR="00A41768" w:rsidRPr="00A41768" w:rsidRDefault="00A41768" w:rsidP="00CF0598">
      <w:pPr>
        <w:pStyle w:val="ListParagraph"/>
        <w:numPr>
          <w:ilvl w:val="0"/>
          <w:numId w:val="6"/>
        </w:numPr>
        <w:spacing w:after="60"/>
        <w:rPr>
          <w:color w:val="000000" w:themeColor="text1"/>
        </w:rPr>
      </w:pPr>
      <w:r w:rsidRPr="00A41768">
        <w:rPr>
          <w:color w:val="000000" w:themeColor="text1"/>
        </w:rPr>
        <w:t>premiums inforce at the valuation date</w:t>
      </w:r>
    </w:p>
    <w:p w14:paraId="0A19AFD0" w14:textId="09E731BD" w:rsidR="00A41768" w:rsidRPr="00A41768" w:rsidRDefault="00A41768" w:rsidP="00CF0598">
      <w:pPr>
        <w:pStyle w:val="ListParagraph"/>
        <w:numPr>
          <w:ilvl w:val="0"/>
          <w:numId w:val="6"/>
        </w:numPr>
        <w:spacing w:after="60"/>
        <w:rPr>
          <w:color w:val="000000" w:themeColor="text1"/>
        </w:rPr>
      </w:pPr>
      <w:r w:rsidRPr="00A41768">
        <w:rPr>
          <w:color w:val="000000" w:themeColor="text1"/>
        </w:rPr>
        <w:t>unearned premiums at the valuation date</w:t>
      </w:r>
    </w:p>
    <w:p w14:paraId="167A80CD" w14:textId="43A08EF8" w:rsidR="00A41768" w:rsidRPr="00A41768" w:rsidRDefault="00A41768" w:rsidP="00CF0598">
      <w:pPr>
        <w:pStyle w:val="ListParagraph"/>
        <w:numPr>
          <w:ilvl w:val="0"/>
          <w:numId w:val="6"/>
        </w:numPr>
        <w:spacing w:after="60"/>
        <w:rPr>
          <w:color w:val="000000" w:themeColor="text1"/>
        </w:rPr>
      </w:pPr>
      <w:r w:rsidRPr="00A41768">
        <w:rPr>
          <w:color w:val="000000" w:themeColor="text1"/>
        </w:rPr>
        <w:t>the period until premium rate guarantees expire</w:t>
      </w:r>
    </w:p>
    <w:p w14:paraId="67EE6D7B" w14:textId="74AC01D3" w:rsidR="00A41768" w:rsidRPr="00AE6D85" w:rsidRDefault="00A41768" w:rsidP="00A41768">
      <w:pPr>
        <w:spacing w:after="60"/>
        <w:rPr>
          <w:color w:val="000000" w:themeColor="text1"/>
        </w:rPr>
      </w:pPr>
      <w:r w:rsidRPr="00A41768">
        <w:rPr>
          <w:color w:val="000000" w:themeColor="text1"/>
        </w:rPr>
        <w:t>There will also have to be an allowance for the asymmetry in the profit sharing. Profit shares for some policies will be greater than zero, even though the disability business as a whole may be in loss recognition.</w:t>
      </w:r>
    </w:p>
    <w:p w14:paraId="6574A2DF" w14:textId="77777777" w:rsidR="00255F32" w:rsidRDefault="00255F32">
      <w:pPr>
        <w:spacing w:after="60"/>
        <w:rPr>
          <w:color w:val="000000" w:themeColor="text1"/>
        </w:rPr>
      </w:pPr>
    </w:p>
    <w:p w14:paraId="477D311E" w14:textId="77777777" w:rsidR="00060346" w:rsidRPr="00060346" w:rsidRDefault="00255F32" w:rsidP="00060346">
      <w:pPr>
        <w:spacing w:after="0"/>
        <w:rPr>
          <w:color w:val="000000" w:themeColor="text1"/>
        </w:rPr>
      </w:pPr>
      <w:r>
        <w:rPr>
          <w:color w:val="000000" w:themeColor="text1"/>
        </w:rPr>
        <w:t xml:space="preserve">4d) </w:t>
      </w:r>
      <w:r w:rsidR="00060346" w:rsidRPr="00060346">
        <w:rPr>
          <w:color w:val="000000" w:themeColor="text1"/>
        </w:rPr>
        <w:t>To: CFO, AJAX Life</w:t>
      </w:r>
    </w:p>
    <w:p w14:paraId="28D237CC" w14:textId="77777777" w:rsidR="00060346" w:rsidRPr="00060346" w:rsidRDefault="00060346" w:rsidP="00060346">
      <w:pPr>
        <w:spacing w:after="0"/>
        <w:rPr>
          <w:color w:val="000000" w:themeColor="text1"/>
        </w:rPr>
      </w:pPr>
      <w:r w:rsidRPr="00060346">
        <w:rPr>
          <w:color w:val="000000" w:themeColor="text1"/>
        </w:rPr>
        <w:t>From: Appointed Actuary</w:t>
      </w:r>
    </w:p>
    <w:p w14:paraId="23B3562B" w14:textId="77777777" w:rsidR="00060346" w:rsidRPr="00060346" w:rsidRDefault="00060346" w:rsidP="00060346">
      <w:pPr>
        <w:spacing w:after="0"/>
        <w:rPr>
          <w:color w:val="000000" w:themeColor="text1"/>
        </w:rPr>
      </w:pPr>
      <w:r w:rsidRPr="00060346">
        <w:rPr>
          <w:color w:val="000000" w:themeColor="text1"/>
        </w:rPr>
        <w:t>Subject: New Group Disability Contract</w:t>
      </w:r>
    </w:p>
    <w:p w14:paraId="31FD66EB" w14:textId="77777777" w:rsidR="00060346" w:rsidRPr="00060346" w:rsidRDefault="00060346" w:rsidP="00060346">
      <w:pPr>
        <w:spacing w:after="0"/>
        <w:rPr>
          <w:color w:val="000000" w:themeColor="text1"/>
        </w:rPr>
      </w:pPr>
      <w:r w:rsidRPr="00060346">
        <w:rPr>
          <w:color w:val="000000" w:themeColor="text1"/>
        </w:rPr>
        <w:t>Dear CFO</w:t>
      </w:r>
    </w:p>
    <w:p w14:paraId="61622128" w14:textId="57796346" w:rsidR="00060346" w:rsidRPr="00060346" w:rsidRDefault="00060346" w:rsidP="00060346">
      <w:pPr>
        <w:spacing w:after="60"/>
        <w:rPr>
          <w:color w:val="000000" w:themeColor="text1"/>
        </w:rPr>
      </w:pPr>
      <w:r w:rsidRPr="00060346">
        <w:rPr>
          <w:color w:val="000000" w:themeColor="text1"/>
        </w:rPr>
        <w:t>I understand your concerns about the potential volatility of</w:t>
      </w:r>
      <w:r>
        <w:rPr>
          <w:color w:val="000000" w:themeColor="text1"/>
        </w:rPr>
        <w:t xml:space="preserve"> profit from the new disability </w:t>
      </w:r>
      <w:r w:rsidRPr="00060346">
        <w:rPr>
          <w:color w:val="000000" w:themeColor="text1"/>
        </w:rPr>
        <w:t>contract and your desire to smooth profits. However there are a number of restrictions which limit the ability of the company to smooth profits.</w:t>
      </w:r>
    </w:p>
    <w:p w14:paraId="0C9EE8EE" w14:textId="77777777" w:rsidR="00060346" w:rsidRPr="00060346" w:rsidRDefault="00060346" w:rsidP="00060346">
      <w:pPr>
        <w:spacing w:after="60"/>
        <w:rPr>
          <w:color w:val="000000" w:themeColor="text1"/>
        </w:rPr>
      </w:pPr>
      <w:r w:rsidRPr="00060346">
        <w:rPr>
          <w:color w:val="000000" w:themeColor="text1"/>
        </w:rPr>
        <w:t>The Life Act requires Appointed Actuaries to comply with actuarial standards including AS1.04.</w:t>
      </w:r>
    </w:p>
    <w:p w14:paraId="475AAD6E" w14:textId="77777777" w:rsidR="00060346" w:rsidRPr="00060346" w:rsidRDefault="00060346" w:rsidP="00060346">
      <w:pPr>
        <w:spacing w:after="60"/>
        <w:rPr>
          <w:color w:val="000000" w:themeColor="text1"/>
        </w:rPr>
      </w:pPr>
      <w:r w:rsidRPr="00060346">
        <w:rPr>
          <w:color w:val="FF0000"/>
        </w:rPr>
        <w:t>AS1.04 requires best estimate assumptions to be used in determining policy liabilities</w:t>
      </w:r>
      <w:r w:rsidRPr="00060346">
        <w:rPr>
          <w:color w:val="000000" w:themeColor="text1"/>
        </w:rPr>
        <w:t>, so deliberately lowering (or overstating) the results is prohibited. It is not possible to smooth the profits by using other than best estimate assumptions.</w:t>
      </w:r>
    </w:p>
    <w:p w14:paraId="7CBC2CEC" w14:textId="77777777" w:rsidR="00060346" w:rsidRPr="00060346" w:rsidRDefault="00060346" w:rsidP="00060346">
      <w:pPr>
        <w:spacing w:after="60"/>
        <w:rPr>
          <w:color w:val="000000" w:themeColor="text1"/>
        </w:rPr>
      </w:pPr>
      <w:r w:rsidRPr="00060346">
        <w:rPr>
          <w:color w:val="000000" w:themeColor="text1"/>
        </w:rPr>
        <w:lastRenderedPageBreak/>
        <w:t>There will naturally be some smoothing of the best estimate assumptions since the assumptions are based on experience over several years and extremes of experience tend to be ignored in setting assumptions for the future.</w:t>
      </w:r>
    </w:p>
    <w:p w14:paraId="5A146360" w14:textId="77777777" w:rsidR="00060346" w:rsidRPr="00060346" w:rsidRDefault="00060346" w:rsidP="00060346">
      <w:pPr>
        <w:spacing w:after="60"/>
        <w:rPr>
          <w:color w:val="000000" w:themeColor="text1"/>
        </w:rPr>
      </w:pPr>
      <w:r w:rsidRPr="00060346">
        <w:rPr>
          <w:color w:val="FF0000"/>
        </w:rPr>
        <w:t xml:space="preserve">The auditors / actuarial auditors </w:t>
      </w:r>
      <w:r w:rsidRPr="00060346">
        <w:rPr>
          <w:color w:val="000000" w:themeColor="text1"/>
        </w:rPr>
        <w:t>will be auditing my valuation and any deliberate bias in the valuation will most likely be detected.</w:t>
      </w:r>
    </w:p>
    <w:p w14:paraId="5B354DA3" w14:textId="77777777" w:rsidR="00060346" w:rsidRPr="00060346" w:rsidRDefault="00060346" w:rsidP="00060346">
      <w:pPr>
        <w:spacing w:after="60"/>
        <w:rPr>
          <w:color w:val="000000" w:themeColor="text1"/>
        </w:rPr>
      </w:pPr>
      <w:r w:rsidRPr="00060346">
        <w:rPr>
          <w:color w:val="000000" w:themeColor="text1"/>
        </w:rPr>
        <w:t>My advice to the Board is to assist them in signing off that the financial statements give a true and fair view of Book Life’s financial position and that they comply with relevant accounting and professional standards.</w:t>
      </w:r>
    </w:p>
    <w:p w14:paraId="5CDE839B" w14:textId="77777777" w:rsidR="00060346" w:rsidRPr="00060346" w:rsidRDefault="00060346" w:rsidP="00060346">
      <w:pPr>
        <w:spacing w:after="60"/>
        <w:rPr>
          <w:color w:val="000000" w:themeColor="text1"/>
        </w:rPr>
      </w:pPr>
      <w:r w:rsidRPr="00060346">
        <w:rPr>
          <w:color w:val="000000" w:themeColor="text1"/>
        </w:rPr>
        <w:t xml:space="preserve">AS1.04 includes a concept called a </w:t>
      </w:r>
      <w:r w:rsidRPr="00060346">
        <w:rPr>
          <w:color w:val="FF0000"/>
        </w:rPr>
        <w:t>Related Product Group (RPG)</w:t>
      </w:r>
      <w:r w:rsidRPr="00060346">
        <w:rPr>
          <w:color w:val="000000" w:themeColor="text1"/>
        </w:rPr>
        <w:t>. The requirements for establishing a separate RPG for the new contract are subjective – it depends on how similar the benefit characteristics and pricing structures are to the</w:t>
      </w:r>
      <w:r>
        <w:rPr>
          <w:color w:val="000000" w:themeColor="text1"/>
        </w:rPr>
        <w:t xml:space="preserve"> </w:t>
      </w:r>
      <w:r w:rsidRPr="00060346">
        <w:rPr>
          <w:color w:val="000000" w:themeColor="text1"/>
        </w:rPr>
        <w:t>existing group disability contracts. The new contract has some differences with the existing disability portfolio but the differences are not obviously sufficient to require a separate RPG.</w:t>
      </w:r>
    </w:p>
    <w:p w14:paraId="5F6BAD8B" w14:textId="77777777" w:rsidR="00060346" w:rsidRPr="00060346" w:rsidRDefault="00060346" w:rsidP="00060346">
      <w:pPr>
        <w:spacing w:after="60"/>
        <w:rPr>
          <w:color w:val="000000" w:themeColor="text1"/>
        </w:rPr>
      </w:pPr>
      <w:r w:rsidRPr="00060346">
        <w:rPr>
          <w:color w:val="000000" w:themeColor="text1"/>
        </w:rPr>
        <w:t xml:space="preserve">The Standard requires that </w:t>
      </w:r>
      <w:proofErr w:type="spellStart"/>
      <w:r w:rsidRPr="00060346">
        <w:rPr>
          <w:color w:val="000000" w:themeColor="text1"/>
        </w:rPr>
        <w:t>capitalised</w:t>
      </w:r>
      <w:proofErr w:type="spellEnd"/>
      <w:r w:rsidRPr="00060346">
        <w:rPr>
          <w:color w:val="000000" w:themeColor="text1"/>
        </w:rPr>
        <w:t xml:space="preserve"> losses must be assessed at the RPG level.</w:t>
      </w:r>
    </w:p>
    <w:p w14:paraId="40ED9E57" w14:textId="77777777" w:rsidR="00060346" w:rsidRPr="00060346" w:rsidRDefault="00060346" w:rsidP="00060346">
      <w:pPr>
        <w:spacing w:after="60"/>
        <w:rPr>
          <w:color w:val="000000" w:themeColor="text1"/>
        </w:rPr>
      </w:pPr>
      <w:r w:rsidRPr="00060346">
        <w:rPr>
          <w:color w:val="FF0000"/>
        </w:rPr>
        <w:t xml:space="preserve">If the new contract is combined with the existing contracts in a single RPG, the profits from the new contract will be </w:t>
      </w:r>
      <w:proofErr w:type="spellStart"/>
      <w:r w:rsidRPr="00060346">
        <w:rPr>
          <w:color w:val="FF0000"/>
        </w:rPr>
        <w:t>capitalised</w:t>
      </w:r>
      <w:proofErr w:type="spellEnd"/>
      <w:r w:rsidRPr="00060346">
        <w:rPr>
          <w:color w:val="FF0000"/>
        </w:rPr>
        <w:t xml:space="preserve"> to the extent that they can be offset against the </w:t>
      </w:r>
      <w:proofErr w:type="spellStart"/>
      <w:r w:rsidRPr="00060346">
        <w:rPr>
          <w:color w:val="FF0000"/>
        </w:rPr>
        <w:t>capitalised</w:t>
      </w:r>
      <w:proofErr w:type="spellEnd"/>
      <w:r w:rsidRPr="00060346">
        <w:rPr>
          <w:color w:val="FF0000"/>
        </w:rPr>
        <w:t xml:space="preserve"> losses from the existing contracts.</w:t>
      </w:r>
      <w:r w:rsidRPr="00060346">
        <w:rPr>
          <w:color w:val="000000" w:themeColor="text1"/>
        </w:rPr>
        <w:t xml:space="preserve"> This will cause a jump in profits for this reporting year followed by a fall in expected profit next year.</w:t>
      </w:r>
    </w:p>
    <w:p w14:paraId="76E03835" w14:textId="77777777" w:rsidR="00060346" w:rsidRPr="00060346" w:rsidRDefault="00060346" w:rsidP="00060346">
      <w:pPr>
        <w:spacing w:after="60"/>
        <w:rPr>
          <w:color w:val="000000" w:themeColor="text1"/>
        </w:rPr>
      </w:pPr>
      <w:r w:rsidRPr="00060346">
        <w:rPr>
          <w:color w:val="000000" w:themeColor="text1"/>
        </w:rPr>
        <w:t xml:space="preserve">In future years I would expect profit to be more stable with a single RPG as further </w:t>
      </w:r>
      <w:proofErr w:type="spellStart"/>
      <w:r w:rsidRPr="00060346">
        <w:rPr>
          <w:color w:val="000000" w:themeColor="text1"/>
        </w:rPr>
        <w:t>capitalised</w:t>
      </w:r>
      <w:proofErr w:type="spellEnd"/>
      <w:r w:rsidRPr="00060346">
        <w:rPr>
          <w:color w:val="000000" w:themeColor="text1"/>
        </w:rPr>
        <w:t xml:space="preserve"> losses are less likely to occur with a single RPG. Losses in one part of the RPG can be offset against profits in other parts.</w:t>
      </w:r>
    </w:p>
    <w:p w14:paraId="12D949D5" w14:textId="77777777" w:rsidR="00060346" w:rsidRPr="00060346" w:rsidRDefault="00060346" w:rsidP="00060346">
      <w:pPr>
        <w:spacing w:after="60"/>
        <w:rPr>
          <w:color w:val="000000" w:themeColor="text1"/>
        </w:rPr>
      </w:pPr>
      <w:r w:rsidRPr="00060346">
        <w:rPr>
          <w:color w:val="000000" w:themeColor="text1"/>
        </w:rPr>
        <w:t>One problem with having two RPGs is that the solvency and capital adequacy requirements may be higher. If there are two RPGs the MTV / CTV minimum will apply at a finer subdivision of the business. In addition the solvency liability must not be less than the BEL for each RPG.</w:t>
      </w:r>
    </w:p>
    <w:p w14:paraId="34F23E88" w14:textId="77777777" w:rsidR="00060346" w:rsidRPr="00060346" w:rsidRDefault="00060346" w:rsidP="00060346">
      <w:pPr>
        <w:spacing w:after="60"/>
        <w:rPr>
          <w:color w:val="000000" w:themeColor="text1"/>
        </w:rPr>
      </w:pPr>
      <w:r w:rsidRPr="00060346">
        <w:rPr>
          <w:color w:val="000000" w:themeColor="text1"/>
        </w:rPr>
        <w:t>Under the method used for determining policy liabilities for the existing contracts profit margins emerge as claims are incurred. An alternative is to changes the method so that profit emerges as claims are paid. Under the current method changes in CICP, IBNR and RBNA flow directly to profit. It would be possible to add profit margins to each of these reserves, effectively spreading the emergence of profit over a longer period. The profit margins would act as a dampener – absorbing the changes in CICP, IBNR and RBNA which are due to changes in non-economic assumptions. This would reduce the profit emergence from the new contract in the first year or two as these profit margins accumulate.</w:t>
      </w:r>
    </w:p>
    <w:p w14:paraId="4C55AC31" w14:textId="77777777" w:rsidR="00060346" w:rsidRPr="00060346" w:rsidRDefault="00060346" w:rsidP="00060346">
      <w:pPr>
        <w:spacing w:after="60"/>
        <w:rPr>
          <w:color w:val="000000" w:themeColor="text1"/>
        </w:rPr>
      </w:pPr>
      <w:r w:rsidRPr="00060346">
        <w:rPr>
          <w:color w:val="000000" w:themeColor="text1"/>
        </w:rPr>
        <w:t>There would not be any impact on the solvency or capital adequacy requirements as profit margins do not form part of these requirements.</w:t>
      </w:r>
    </w:p>
    <w:p w14:paraId="0DBBA3E7" w14:textId="77777777" w:rsidR="00060346" w:rsidRPr="005C3183" w:rsidRDefault="00060346" w:rsidP="00060346">
      <w:pPr>
        <w:spacing w:after="60"/>
        <w:rPr>
          <w:color w:val="FF0000"/>
        </w:rPr>
      </w:pPr>
      <w:r w:rsidRPr="005C3183">
        <w:rPr>
          <w:color w:val="FF0000"/>
        </w:rPr>
        <w:t xml:space="preserve">In order to </w:t>
      </w:r>
      <w:proofErr w:type="spellStart"/>
      <w:r w:rsidRPr="005C3183">
        <w:rPr>
          <w:color w:val="FF0000"/>
        </w:rPr>
        <w:t>minimise</w:t>
      </w:r>
      <w:proofErr w:type="spellEnd"/>
      <w:r w:rsidRPr="005C3183">
        <w:rPr>
          <w:color w:val="FF0000"/>
        </w:rPr>
        <w:t xml:space="preserve"> profit volatility the assets backing the group disability business should be highly rated fixed interest securities matched to the term of the liabilities.</w:t>
      </w:r>
    </w:p>
    <w:p w14:paraId="728B8F0F" w14:textId="77777777" w:rsidR="00060346" w:rsidRPr="00060346" w:rsidRDefault="00060346" w:rsidP="00060346">
      <w:pPr>
        <w:spacing w:after="60"/>
        <w:rPr>
          <w:color w:val="000000" w:themeColor="text1"/>
        </w:rPr>
      </w:pPr>
      <w:r w:rsidRPr="005C3183">
        <w:rPr>
          <w:color w:val="00B050"/>
        </w:rPr>
        <w:t>Further reduction in volatility could be achieved through reinsurance</w:t>
      </w:r>
      <w:r w:rsidRPr="00060346">
        <w:rPr>
          <w:color w:val="000000" w:themeColor="text1"/>
        </w:rPr>
        <w:t xml:space="preserve">. This would reduce the profits expected from the business but would also reduce the capital requirements. A stop loss </w:t>
      </w:r>
      <w:r w:rsidRPr="00060346">
        <w:rPr>
          <w:color w:val="000000" w:themeColor="text1"/>
        </w:rPr>
        <w:lastRenderedPageBreak/>
        <w:t>arrangement could be used to put a limit on potential losses. Alternatively a quota share arrangement could be used.</w:t>
      </w:r>
    </w:p>
    <w:p w14:paraId="7A5699B7" w14:textId="7A6620D6" w:rsidR="00255F32" w:rsidRDefault="005C3183" w:rsidP="00060346">
      <w:pPr>
        <w:spacing w:after="60"/>
        <w:rPr>
          <w:color w:val="000000" w:themeColor="text1"/>
        </w:rPr>
      </w:pPr>
      <w:r>
        <w:rPr>
          <w:color w:val="000000" w:themeColor="text1"/>
        </w:rPr>
        <w:t xml:space="preserve">Regards, </w:t>
      </w:r>
      <w:r w:rsidR="00060346" w:rsidRPr="00060346">
        <w:rPr>
          <w:color w:val="000000" w:themeColor="text1"/>
        </w:rPr>
        <w:t>Appointed Actuary</w:t>
      </w:r>
    </w:p>
    <w:p w14:paraId="3B069878" w14:textId="77777777" w:rsidR="005C3183" w:rsidRDefault="005C3183" w:rsidP="00060346">
      <w:pPr>
        <w:spacing w:after="60"/>
        <w:rPr>
          <w:color w:val="000000" w:themeColor="text1"/>
        </w:rPr>
      </w:pPr>
    </w:p>
    <w:p w14:paraId="7E6439A3" w14:textId="5029D6FE" w:rsidR="00155154" w:rsidRPr="00155154" w:rsidRDefault="005C3183" w:rsidP="00155154">
      <w:pPr>
        <w:spacing w:after="60"/>
        <w:rPr>
          <w:color w:val="000000" w:themeColor="text1"/>
        </w:rPr>
      </w:pPr>
      <w:r>
        <w:rPr>
          <w:b/>
          <w:color w:val="000000" w:themeColor="text1"/>
        </w:rPr>
        <w:t xml:space="preserve">Q5 </w:t>
      </w:r>
      <w:r>
        <w:rPr>
          <w:color w:val="000000" w:themeColor="text1"/>
        </w:rPr>
        <w:t>a)</w:t>
      </w:r>
      <w:r w:rsidR="00174B73">
        <w:rPr>
          <w:color w:val="000000" w:themeColor="text1"/>
        </w:rPr>
        <w:t xml:space="preserve"> </w:t>
      </w:r>
      <w:proofErr w:type="gramStart"/>
      <w:r w:rsidR="00155154" w:rsidRPr="00155154">
        <w:rPr>
          <w:color w:val="000000" w:themeColor="text1"/>
        </w:rPr>
        <w:t>The</w:t>
      </w:r>
      <w:proofErr w:type="gramEnd"/>
      <w:r w:rsidR="00155154" w:rsidRPr="00155154">
        <w:rPr>
          <w:color w:val="000000" w:themeColor="text1"/>
        </w:rPr>
        <w:t xml:space="preserve"> </w:t>
      </w:r>
      <w:r w:rsidR="00EF532E">
        <w:rPr>
          <w:color w:val="000000" w:themeColor="text1"/>
        </w:rPr>
        <w:t>sections</w:t>
      </w:r>
      <w:r w:rsidR="00155154" w:rsidRPr="00155154">
        <w:rPr>
          <w:color w:val="000000" w:themeColor="text1"/>
        </w:rPr>
        <w:t xml:space="preserve"> included in the FCR where comments about the impact of the pandemic will be appropriate are:</w:t>
      </w:r>
    </w:p>
    <w:p w14:paraId="660414B4" w14:textId="5BFCA403" w:rsidR="00155154" w:rsidRPr="00EF532E" w:rsidRDefault="00155154" w:rsidP="00CF0598">
      <w:pPr>
        <w:pStyle w:val="ListParagraph"/>
        <w:numPr>
          <w:ilvl w:val="0"/>
          <w:numId w:val="7"/>
        </w:numPr>
        <w:spacing w:after="60"/>
        <w:rPr>
          <w:color w:val="000000" w:themeColor="text1"/>
        </w:rPr>
      </w:pPr>
      <w:r w:rsidRPr="00EF532E">
        <w:rPr>
          <w:color w:val="000000" w:themeColor="text1"/>
        </w:rPr>
        <w:t>Policy liabilities and profit</w:t>
      </w:r>
    </w:p>
    <w:p w14:paraId="459B3A99" w14:textId="255D2488" w:rsidR="00155154" w:rsidRPr="00EF532E" w:rsidRDefault="00155154" w:rsidP="00CF0598">
      <w:pPr>
        <w:pStyle w:val="ListParagraph"/>
        <w:numPr>
          <w:ilvl w:val="0"/>
          <w:numId w:val="7"/>
        </w:numPr>
        <w:spacing w:after="60"/>
        <w:rPr>
          <w:color w:val="000000" w:themeColor="text1"/>
        </w:rPr>
      </w:pPr>
      <w:r w:rsidRPr="00EF532E">
        <w:rPr>
          <w:color w:val="000000" w:themeColor="text1"/>
        </w:rPr>
        <w:t>Embedded or appraisal value</w:t>
      </w:r>
    </w:p>
    <w:p w14:paraId="6F23C710" w14:textId="22D69A8C" w:rsidR="00155154" w:rsidRPr="00EF532E" w:rsidRDefault="00155154" w:rsidP="00CF0598">
      <w:pPr>
        <w:pStyle w:val="ListParagraph"/>
        <w:numPr>
          <w:ilvl w:val="0"/>
          <w:numId w:val="7"/>
        </w:numPr>
        <w:spacing w:after="60"/>
        <w:rPr>
          <w:color w:val="000000" w:themeColor="text1"/>
        </w:rPr>
      </w:pPr>
      <w:r w:rsidRPr="00EF532E">
        <w:rPr>
          <w:color w:val="000000" w:themeColor="text1"/>
        </w:rPr>
        <w:t>Pricing – premium rates for new and existing business, and conditions for accepting new business.</w:t>
      </w:r>
    </w:p>
    <w:p w14:paraId="4A989597" w14:textId="67EEE026" w:rsidR="00155154" w:rsidRPr="00EF532E" w:rsidRDefault="00155154" w:rsidP="00CF0598">
      <w:pPr>
        <w:pStyle w:val="ListParagraph"/>
        <w:numPr>
          <w:ilvl w:val="0"/>
          <w:numId w:val="7"/>
        </w:numPr>
        <w:spacing w:after="60"/>
        <w:rPr>
          <w:color w:val="000000" w:themeColor="text1"/>
        </w:rPr>
      </w:pPr>
      <w:r w:rsidRPr="00EF532E">
        <w:rPr>
          <w:color w:val="000000" w:themeColor="text1"/>
        </w:rPr>
        <w:t>Solvency and capital adequacy requirements</w:t>
      </w:r>
    </w:p>
    <w:p w14:paraId="5AAFA788" w14:textId="3302B097" w:rsidR="00155154" w:rsidRPr="00EF532E" w:rsidRDefault="00155154" w:rsidP="00CF0598">
      <w:pPr>
        <w:pStyle w:val="ListParagraph"/>
        <w:numPr>
          <w:ilvl w:val="0"/>
          <w:numId w:val="7"/>
        </w:numPr>
        <w:spacing w:after="60"/>
        <w:rPr>
          <w:color w:val="000000" w:themeColor="text1"/>
        </w:rPr>
      </w:pPr>
      <w:r w:rsidRPr="00EF532E">
        <w:rPr>
          <w:color w:val="000000" w:themeColor="text1"/>
        </w:rPr>
        <w:t>Target surplus</w:t>
      </w:r>
    </w:p>
    <w:p w14:paraId="1FBAF8E8" w14:textId="62E78ACF" w:rsidR="00155154" w:rsidRPr="00EF532E" w:rsidRDefault="00155154" w:rsidP="00CF0598">
      <w:pPr>
        <w:pStyle w:val="ListParagraph"/>
        <w:numPr>
          <w:ilvl w:val="0"/>
          <w:numId w:val="7"/>
        </w:numPr>
        <w:spacing w:after="60"/>
        <w:rPr>
          <w:color w:val="000000" w:themeColor="text1"/>
        </w:rPr>
      </w:pPr>
      <w:r w:rsidRPr="00EF532E">
        <w:rPr>
          <w:color w:val="000000" w:themeColor="text1"/>
        </w:rPr>
        <w:t>Additional capital requirements</w:t>
      </w:r>
    </w:p>
    <w:p w14:paraId="62EB905B" w14:textId="7C75D388" w:rsidR="00155154" w:rsidRPr="00EF532E" w:rsidRDefault="00155154" w:rsidP="00CF0598">
      <w:pPr>
        <w:pStyle w:val="ListParagraph"/>
        <w:numPr>
          <w:ilvl w:val="0"/>
          <w:numId w:val="7"/>
        </w:numPr>
        <w:spacing w:after="60"/>
        <w:rPr>
          <w:color w:val="000000" w:themeColor="text1"/>
        </w:rPr>
      </w:pPr>
      <w:r w:rsidRPr="00EF532E">
        <w:rPr>
          <w:color w:val="000000" w:themeColor="text1"/>
        </w:rPr>
        <w:t>Sources of additional capital</w:t>
      </w:r>
    </w:p>
    <w:p w14:paraId="020DD61E" w14:textId="5391FA89" w:rsidR="00155154" w:rsidRPr="00EF532E" w:rsidRDefault="00155154" w:rsidP="00CF0598">
      <w:pPr>
        <w:pStyle w:val="ListParagraph"/>
        <w:numPr>
          <w:ilvl w:val="0"/>
          <w:numId w:val="7"/>
        </w:numPr>
        <w:spacing w:after="60"/>
        <w:rPr>
          <w:color w:val="000000" w:themeColor="text1"/>
        </w:rPr>
      </w:pPr>
      <w:r w:rsidRPr="00EF532E">
        <w:rPr>
          <w:color w:val="000000" w:themeColor="text1"/>
        </w:rPr>
        <w:t>Distributions to shareholders and participating policy owners</w:t>
      </w:r>
    </w:p>
    <w:p w14:paraId="67DBF551" w14:textId="0C66917C" w:rsidR="00155154" w:rsidRPr="00EF532E" w:rsidRDefault="00155154" w:rsidP="00CF0598">
      <w:pPr>
        <w:pStyle w:val="ListParagraph"/>
        <w:numPr>
          <w:ilvl w:val="0"/>
          <w:numId w:val="7"/>
        </w:numPr>
        <w:spacing w:after="60"/>
        <w:rPr>
          <w:color w:val="000000" w:themeColor="text1"/>
        </w:rPr>
      </w:pPr>
      <w:r w:rsidRPr="00EF532E">
        <w:rPr>
          <w:color w:val="000000" w:themeColor="text1"/>
        </w:rPr>
        <w:t>Adequacy of reinsurance</w:t>
      </w:r>
    </w:p>
    <w:p w14:paraId="7C5F1C03" w14:textId="46D19846" w:rsidR="00155154" w:rsidRPr="00EF532E" w:rsidRDefault="00155154" w:rsidP="00CF0598">
      <w:pPr>
        <w:pStyle w:val="ListParagraph"/>
        <w:numPr>
          <w:ilvl w:val="0"/>
          <w:numId w:val="7"/>
        </w:numPr>
        <w:spacing w:after="60"/>
        <w:rPr>
          <w:color w:val="000000" w:themeColor="text1"/>
        </w:rPr>
      </w:pPr>
      <w:r w:rsidRPr="00EF532E">
        <w:rPr>
          <w:color w:val="000000" w:themeColor="text1"/>
        </w:rPr>
        <w:t>Operational risks (e.g. impact on unit pricing if staff are all sick)</w:t>
      </w:r>
    </w:p>
    <w:p w14:paraId="07140EA3" w14:textId="0BCBA306" w:rsidR="005C3183" w:rsidRDefault="00155154" w:rsidP="00CF0598">
      <w:pPr>
        <w:pStyle w:val="ListParagraph"/>
        <w:numPr>
          <w:ilvl w:val="0"/>
          <w:numId w:val="7"/>
        </w:numPr>
        <w:spacing w:after="60"/>
        <w:rPr>
          <w:color w:val="000000" w:themeColor="text1"/>
        </w:rPr>
      </w:pPr>
      <w:r w:rsidRPr="00EF532E">
        <w:rPr>
          <w:color w:val="000000" w:themeColor="text1"/>
        </w:rPr>
        <w:t>Suitability of investments – liquidity requirements for increased outflows</w:t>
      </w:r>
    </w:p>
    <w:p w14:paraId="584CCC1D" w14:textId="77777777" w:rsidR="001B41C9" w:rsidRDefault="001B41C9" w:rsidP="001B41C9">
      <w:pPr>
        <w:spacing w:after="60"/>
        <w:rPr>
          <w:color w:val="000000" w:themeColor="text1"/>
        </w:rPr>
      </w:pPr>
    </w:p>
    <w:p w14:paraId="2A566847" w14:textId="77777777" w:rsidR="00AF2A58" w:rsidRDefault="001B41C9" w:rsidP="001B41C9">
      <w:pPr>
        <w:spacing w:after="60"/>
        <w:rPr>
          <w:color w:val="000000" w:themeColor="text1"/>
        </w:rPr>
      </w:pPr>
      <w:r>
        <w:rPr>
          <w:color w:val="000000" w:themeColor="text1"/>
        </w:rPr>
        <w:t>5b)</w:t>
      </w:r>
    </w:p>
    <w:tbl>
      <w:tblPr>
        <w:tblW w:w="86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5"/>
        <w:gridCol w:w="1460"/>
        <w:gridCol w:w="3830"/>
      </w:tblGrid>
      <w:tr w:rsidR="00E6500B" w:rsidRPr="00E6500B" w14:paraId="5F0F3F71" w14:textId="77777777" w:rsidTr="002246F5">
        <w:trPr>
          <w:trHeight w:val="300"/>
        </w:trPr>
        <w:tc>
          <w:tcPr>
            <w:tcW w:w="3365" w:type="dxa"/>
            <w:shd w:val="clear" w:color="auto" w:fill="auto"/>
            <w:vAlign w:val="center"/>
            <w:hideMark/>
          </w:tcPr>
          <w:p w14:paraId="195D212A" w14:textId="0F8C14C3" w:rsidR="00E6500B" w:rsidRPr="00E6500B" w:rsidRDefault="001B41C9" w:rsidP="00E6500B">
            <w:pPr>
              <w:spacing w:after="0" w:line="240" w:lineRule="auto"/>
              <w:rPr>
                <w:rFonts w:ascii="Calibri" w:eastAsia="Times New Roman" w:hAnsi="Calibri" w:cs="Times New Roman"/>
                <w:color w:val="000000"/>
              </w:rPr>
            </w:pPr>
            <w:r>
              <w:rPr>
                <w:color w:val="000000" w:themeColor="text1"/>
              </w:rPr>
              <w:t xml:space="preserve"> </w:t>
            </w:r>
            <w:r w:rsidR="00E6500B" w:rsidRPr="00E6500B">
              <w:rPr>
                <w:rFonts w:ascii="Calibri" w:eastAsia="Times New Roman" w:hAnsi="Calibri" w:cs="Times New Roman"/>
                <w:color w:val="000000"/>
              </w:rPr>
              <w:t>Step 1 – value of future profits for in-force</w:t>
            </w:r>
          </w:p>
        </w:tc>
        <w:tc>
          <w:tcPr>
            <w:tcW w:w="1460" w:type="dxa"/>
            <w:shd w:val="clear" w:color="auto" w:fill="auto"/>
            <w:noWrap/>
            <w:vAlign w:val="center"/>
            <w:hideMark/>
          </w:tcPr>
          <w:p w14:paraId="24CE0819" w14:textId="77777777" w:rsidR="00E6500B" w:rsidRPr="00E6500B" w:rsidRDefault="00E6500B" w:rsidP="00E6500B">
            <w:pPr>
              <w:spacing w:after="0" w:line="240" w:lineRule="auto"/>
              <w:jc w:val="center"/>
              <w:rPr>
                <w:rFonts w:ascii="Calibri" w:eastAsia="Times New Roman" w:hAnsi="Calibri" w:cs="Times New Roman"/>
                <w:b/>
                <w:bCs/>
                <w:color w:val="000000"/>
              </w:rPr>
            </w:pPr>
            <w:r w:rsidRPr="00E6500B">
              <w:rPr>
                <w:rFonts w:ascii="Calibri" w:eastAsia="Times New Roman" w:hAnsi="Calibri" w:cs="Times New Roman"/>
                <w:b/>
                <w:bCs/>
                <w:color w:val="000000"/>
              </w:rPr>
              <w:t>VFP</w:t>
            </w:r>
          </w:p>
        </w:tc>
        <w:tc>
          <w:tcPr>
            <w:tcW w:w="3830" w:type="dxa"/>
            <w:shd w:val="clear" w:color="auto" w:fill="auto"/>
            <w:noWrap/>
            <w:vAlign w:val="center"/>
            <w:hideMark/>
          </w:tcPr>
          <w:p w14:paraId="0F1977A2" w14:textId="77777777" w:rsidR="00E6500B" w:rsidRPr="00E6500B" w:rsidRDefault="00E6500B" w:rsidP="002246F5">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 BEL (basis B) + value future profits (basis B) – BEL (basis C or D)</w:t>
            </w:r>
          </w:p>
        </w:tc>
      </w:tr>
      <w:tr w:rsidR="00E6500B" w:rsidRPr="00E6500B" w14:paraId="0D853718" w14:textId="77777777" w:rsidTr="002246F5">
        <w:trPr>
          <w:trHeight w:val="300"/>
        </w:trPr>
        <w:tc>
          <w:tcPr>
            <w:tcW w:w="3365" w:type="dxa"/>
            <w:shd w:val="clear" w:color="auto" w:fill="auto"/>
            <w:vAlign w:val="bottom"/>
            <w:hideMark/>
          </w:tcPr>
          <w:p w14:paraId="6701B7BA" w14:textId="77777777" w:rsidR="00E6500B" w:rsidRPr="00E6500B" w:rsidRDefault="00E6500B"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old mortality</w:t>
            </w:r>
          </w:p>
        </w:tc>
        <w:tc>
          <w:tcPr>
            <w:tcW w:w="1460" w:type="dxa"/>
            <w:shd w:val="clear" w:color="auto" w:fill="auto"/>
            <w:noWrap/>
            <w:vAlign w:val="center"/>
            <w:hideMark/>
          </w:tcPr>
          <w:p w14:paraId="47F24711" w14:textId="1177A52A" w:rsidR="00E6500B" w:rsidRPr="00E6500B" w:rsidRDefault="00E6500B"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152.7</w:t>
            </w:r>
            <w:r w:rsidR="002246F5">
              <w:rPr>
                <w:rFonts w:ascii="Calibri" w:eastAsia="Times New Roman" w:hAnsi="Calibri" w:cs="Times New Roman"/>
                <w:color w:val="000000"/>
              </w:rPr>
              <w:t xml:space="preserve"> [A]</w:t>
            </w:r>
          </w:p>
        </w:tc>
        <w:tc>
          <w:tcPr>
            <w:tcW w:w="3830" w:type="dxa"/>
            <w:shd w:val="clear" w:color="auto" w:fill="auto"/>
            <w:noWrap/>
            <w:vAlign w:val="center"/>
            <w:hideMark/>
          </w:tcPr>
          <w:p w14:paraId="349D319E" w14:textId="7E13A0F0" w:rsidR="00E6500B" w:rsidRPr="002246F5" w:rsidRDefault="002246F5" w:rsidP="002246F5">
            <w:pPr>
              <w:spacing w:after="0" w:line="240" w:lineRule="auto"/>
              <w:rPr>
                <w:rFonts w:ascii="Calibri" w:eastAsia="Times New Roman" w:hAnsi="Calibri" w:cs="Times New Roman"/>
                <w:i/>
                <w:color w:val="000000"/>
              </w:rPr>
            </w:pPr>
            <w:r w:rsidRPr="002246F5">
              <w:rPr>
                <w:rFonts w:ascii="Calibri" w:eastAsia="Times New Roman" w:hAnsi="Calibri" w:cs="Times New Roman"/>
                <w:i/>
                <w:color w:val="000000"/>
              </w:rPr>
              <w:t>=-55+499*30%-(-58)</w:t>
            </w:r>
          </w:p>
        </w:tc>
      </w:tr>
      <w:tr w:rsidR="002246F5" w:rsidRPr="00E6500B" w14:paraId="1ACB5CF6" w14:textId="77777777" w:rsidTr="002246F5">
        <w:trPr>
          <w:trHeight w:val="300"/>
        </w:trPr>
        <w:tc>
          <w:tcPr>
            <w:tcW w:w="3365" w:type="dxa"/>
            <w:shd w:val="clear" w:color="auto" w:fill="auto"/>
            <w:vAlign w:val="bottom"/>
            <w:hideMark/>
          </w:tcPr>
          <w:p w14:paraId="4A9F4C24"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new mortality</w:t>
            </w:r>
          </w:p>
        </w:tc>
        <w:tc>
          <w:tcPr>
            <w:tcW w:w="1460" w:type="dxa"/>
            <w:shd w:val="clear" w:color="auto" w:fill="auto"/>
            <w:noWrap/>
            <w:vAlign w:val="center"/>
            <w:hideMark/>
          </w:tcPr>
          <w:p w14:paraId="5C38D24D" w14:textId="3607EA44"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135.7</w:t>
            </w:r>
            <w:r>
              <w:rPr>
                <w:rFonts w:ascii="Calibri" w:eastAsia="Times New Roman" w:hAnsi="Calibri" w:cs="Times New Roman"/>
                <w:color w:val="000000"/>
              </w:rPr>
              <w:t xml:space="preserve"> [B]</w:t>
            </w:r>
          </w:p>
        </w:tc>
        <w:tc>
          <w:tcPr>
            <w:tcW w:w="3830" w:type="dxa"/>
            <w:shd w:val="clear" w:color="auto" w:fill="auto"/>
            <w:noWrap/>
            <w:vAlign w:val="center"/>
            <w:hideMark/>
          </w:tcPr>
          <w:p w14:paraId="0AE8A9EB" w14:textId="5DEE69E5" w:rsidR="002246F5" w:rsidRPr="00E6500B" w:rsidRDefault="002246F5" w:rsidP="002246F5">
            <w:pPr>
              <w:spacing w:after="0" w:line="240" w:lineRule="auto"/>
              <w:rPr>
                <w:rFonts w:ascii="Calibri" w:eastAsia="Times New Roman" w:hAnsi="Calibri" w:cs="Times New Roman"/>
                <w:color w:val="000000"/>
              </w:rPr>
            </w:pPr>
            <w:r w:rsidRPr="002246F5">
              <w:rPr>
                <w:rFonts w:ascii="Calibri" w:eastAsia="Times New Roman" w:hAnsi="Calibri" w:cs="Times New Roman"/>
                <w:i/>
                <w:color w:val="000000"/>
              </w:rPr>
              <w:t>=-55+499*30%-(-41)</w:t>
            </w:r>
          </w:p>
        </w:tc>
      </w:tr>
      <w:tr w:rsidR="002246F5" w:rsidRPr="00E6500B" w14:paraId="1504076F" w14:textId="77777777" w:rsidTr="002246F5">
        <w:trPr>
          <w:trHeight w:val="300"/>
        </w:trPr>
        <w:tc>
          <w:tcPr>
            <w:tcW w:w="3365" w:type="dxa"/>
            <w:shd w:val="clear" w:color="auto" w:fill="auto"/>
            <w:vAlign w:val="bottom"/>
            <w:hideMark/>
          </w:tcPr>
          <w:p w14:paraId="06BA12E0" w14:textId="77777777" w:rsidR="002246F5" w:rsidRPr="00E6500B" w:rsidRDefault="002246F5" w:rsidP="00E6500B">
            <w:pPr>
              <w:spacing w:after="0" w:line="240" w:lineRule="auto"/>
              <w:rPr>
                <w:rFonts w:ascii="Calibri" w:eastAsia="Times New Roman" w:hAnsi="Calibri" w:cs="Times New Roman"/>
                <w:color w:val="000000"/>
              </w:rPr>
            </w:pPr>
          </w:p>
        </w:tc>
        <w:tc>
          <w:tcPr>
            <w:tcW w:w="1460" w:type="dxa"/>
            <w:shd w:val="clear" w:color="auto" w:fill="auto"/>
            <w:noWrap/>
            <w:vAlign w:val="center"/>
            <w:hideMark/>
          </w:tcPr>
          <w:p w14:paraId="2B72D61F" w14:textId="77777777" w:rsidR="002246F5" w:rsidRPr="00E6500B" w:rsidRDefault="002246F5" w:rsidP="00E6500B">
            <w:pPr>
              <w:spacing w:after="0" w:line="240" w:lineRule="auto"/>
              <w:jc w:val="center"/>
              <w:rPr>
                <w:rFonts w:ascii="Calibri" w:eastAsia="Times New Roman" w:hAnsi="Calibri" w:cs="Times New Roman"/>
                <w:color w:val="000000"/>
              </w:rPr>
            </w:pPr>
          </w:p>
        </w:tc>
        <w:tc>
          <w:tcPr>
            <w:tcW w:w="3830" w:type="dxa"/>
            <w:shd w:val="clear" w:color="auto" w:fill="auto"/>
            <w:noWrap/>
            <w:vAlign w:val="center"/>
            <w:hideMark/>
          </w:tcPr>
          <w:p w14:paraId="6F8D2652" w14:textId="77777777" w:rsidR="002246F5" w:rsidRPr="00E6500B" w:rsidRDefault="002246F5" w:rsidP="002246F5">
            <w:pPr>
              <w:spacing w:after="0" w:line="240" w:lineRule="auto"/>
              <w:rPr>
                <w:rFonts w:ascii="Calibri" w:eastAsia="Times New Roman" w:hAnsi="Calibri" w:cs="Times New Roman"/>
                <w:color w:val="000000"/>
              </w:rPr>
            </w:pPr>
          </w:p>
        </w:tc>
      </w:tr>
      <w:tr w:rsidR="002246F5" w:rsidRPr="00E6500B" w14:paraId="04392A85" w14:textId="77777777" w:rsidTr="002246F5">
        <w:trPr>
          <w:trHeight w:val="600"/>
        </w:trPr>
        <w:tc>
          <w:tcPr>
            <w:tcW w:w="3365" w:type="dxa"/>
            <w:shd w:val="clear" w:color="auto" w:fill="auto"/>
            <w:vAlign w:val="center"/>
            <w:hideMark/>
          </w:tcPr>
          <w:p w14:paraId="569DF986" w14:textId="77777777" w:rsidR="002246F5" w:rsidRPr="00E6500B" w:rsidRDefault="002246F5" w:rsidP="00E6500B">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Step 2 – calculate profit margins on new business at inception.</w:t>
            </w:r>
          </w:p>
        </w:tc>
        <w:tc>
          <w:tcPr>
            <w:tcW w:w="1460" w:type="dxa"/>
            <w:shd w:val="clear" w:color="auto" w:fill="auto"/>
            <w:noWrap/>
            <w:vAlign w:val="center"/>
            <w:hideMark/>
          </w:tcPr>
          <w:p w14:paraId="057A7F79" w14:textId="77777777" w:rsidR="002246F5" w:rsidRPr="00E6500B" w:rsidRDefault="002246F5" w:rsidP="00E6500B">
            <w:pPr>
              <w:spacing w:after="0" w:line="240" w:lineRule="auto"/>
              <w:jc w:val="center"/>
              <w:rPr>
                <w:rFonts w:ascii="Calibri" w:eastAsia="Times New Roman" w:hAnsi="Calibri" w:cs="Times New Roman"/>
                <w:b/>
                <w:bCs/>
                <w:color w:val="000000"/>
              </w:rPr>
            </w:pPr>
            <w:r w:rsidRPr="00E6500B">
              <w:rPr>
                <w:rFonts w:ascii="Calibri" w:eastAsia="Times New Roman" w:hAnsi="Calibri" w:cs="Times New Roman"/>
                <w:b/>
                <w:bCs/>
                <w:color w:val="000000"/>
              </w:rPr>
              <w:t>Profit margin</w:t>
            </w:r>
          </w:p>
        </w:tc>
        <w:tc>
          <w:tcPr>
            <w:tcW w:w="3830" w:type="dxa"/>
            <w:shd w:val="clear" w:color="auto" w:fill="auto"/>
            <w:noWrap/>
            <w:vAlign w:val="center"/>
            <w:hideMark/>
          </w:tcPr>
          <w:p w14:paraId="4778E6C0" w14:textId="77777777" w:rsidR="002246F5" w:rsidRPr="00E6500B" w:rsidRDefault="002246F5" w:rsidP="002246F5">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 -BEL / PV claims</w:t>
            </w:r>
          </w:p>
        </w:tc>
      </w:tr>
      <w:tr w:rsidR="002246F5" w:rsidRPr="00E6500B" w14:paraId="2AF7C9D9" w14:textId="77777777" w:rsidTr="002246F5">
        <w:trPr>
          <w:trHeight w:val="300"/>
        </w:trPr>
        <w:tc>
          <w:tcPr>
            <w:tcW w:w="3365" w:type="dxa"/>
            <w:shd w:val="clear" w:color="auto" w:fill="auto"/>
            <w:vAlign w:val="bottom"/>
            <w:hideMark/>
          </w:tcPr>
          <w:p w14:paraId="2020F0D5"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old mortality</w:t>
            </w:r>
          </w:p>
        </w:tc>
        <w:tc>
          <w:tcPr>
            <w:tcW w:w="1460" w:type="dxa"/>
            <w:shd w:val="clear" w:color="auto" w:fill="auto"/>
            <w:noWrap/>
            <w:vAlign w:val="center"/>
            <w:hideMark/>
          </w:tcPr>
          <w:p w14:paraId="2AC3DDEB" w14:textId="68B2FA68"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23.6%</w:t>
            </w:r>
            <w:r>
              <w:rPr>
                <w:rFonts w:ascii="Calibri" w:eastAsia="Times New Roman" w:hAnsi="Calibri" w:cs="Times New Roman"/>
                <w:color w:val="000000"/>
              </w:rPr>
              <w:t xml:space="preserve"> [C]</w:t>
            </w:r>
          </w:p>
        </w:tc>
        <w:tc>
          <w:tcPr>
            <w:tcW w:w="3830" w:type="dxa"/>
            <w:shd w:val="clear" w:color="auto" w:fill="auto"/>
            <w:noWrap/>
            <w:vAlign w:val="center"/>
            <w:hideMark/>
          </w:tcPr>
          <w:p w14:paraId="37253F3D" w14:textId="18F497E3" w:rsidR="002246F5" w:rsidRPr="002246F5" w:rsidRDefault="002246F5" w:rsidP="002246F5">
            <w:pPr>
              <w:spacing w:after="0" w:line="240" w:lineRule="auto"/>
              <w:rPr>
                <w:rFonts w:ascii="Calibri" w:eastAsia="Times New Roman" w:hAnsi="Calibri" w:cs="Times New Roman"/>
                <w:i/>
                <w:color w:val="000000"/>
              </w:rPr>
            </w:pPr>
            <w:r w:rsidRPr="002246F5">
              <w:rPr>
                <w:rFonts w:ascii="Calibri" w:eastAsia="Times New Roman" w:hAnsi="Calibri" w:cs="Times New Roman"/>
                <w:i/>
                <w:color w:val="000000"/>
              </w:rPr>
              <w:t>=-(-21)/89</w:t>
            </w:r>
          </w:p>
        </w:tc>
      </w:tr>
      <w:tr w:rsidR="002246F5" w:rsidRPr="00E6500B" w14:paraId="10160AAE" w14:textId="77777777" w:rsidTr="002246F5">
        <w:trPr>
          <w:trHeight w:val="300"/>
        </w:trPr>
        <w:tc>
          <w:tcPr>
            <w:tcW w:w="3365" w:type="dxa"/>
            <w:shd w:val="clear" w:color="auto" w:fill="auto"/>
            <w:vAlign w:val="bottom"/>
            <w:hideMark/>
          </w:tcPr>
          <w:p w14:paraId="7F0756A1"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new mortality</w:t>
            </w:r>
          </w:p>
        </w:tc>
        <w:tc>
          <w:tcPr>
            <w:tcW w:w="1460" w:type="dxa"/>
            <w:shd w:val="clear" w:color="auto" w:fill="auto"/>
            <w:noWrap/>
            <w:vAlign w:val="center"/>
            <w:hideMark/>
          </w:tcPr>
          <w:p w14:paraId="579365A8" w14:textId="353D6177"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20.9%</w:t>
            </w:r>
            <w:r>
              <w:rPr>
                <w:rFonts w:ascii="Calibri" w:eastAsia="Times New Roman" w:hAnsi="Calibri" w:cs="Times New Roman"/>
                <w:color w:val="000000"/>
              </w:rPr>
              <w:t xml:space="preserve"> [D]</w:t>
            </w:r>
          </w:p>
        </w:tc>
        <w:tc>
          <w:tcPr>
            <w:tcW w:w="3830" w:type="dxa"/>
            <w:shd w:val="clear" w:color="auto" w:fill="auto"/>
            <w:noWrap/>
            <w:vAlign w:val="center"/>
            <w:hideMark/>
          </w:tcPr>
          <w:p w14:paraId="4CAFD1F2" w14:textId="43E7ABBA" w:rsidR="002246F5" w:rsidRPr="002246F5" w:rsidRDefault="002246F5" w:rsidP="002246F5">
            <w:pPr>
              <w:spacing w:after="0" w:line="240" w:lineRule="auto"/>
              <w:rPr>
                <w:rFonts w:ascii="Calibri" w:eastAsia="Times New Roman" w:hAnsi="Calibri" w:cs="Times New Roman"/>
                <w:i/>
                <w:color w:val="000000"/>
              </w:rPr>
            </w:pPr>
            <w:r w:rsidRPr="002246F5">
              <w:rPr>
                <w:rFonts w:ascii="Calibri" w:eastAsia="Times New Roman" w:hAnsi="Calibri" w:cs="Times New Roman"/>
                <w:i/>
                <w:color w:val="000000"/>
              </w:rPr>
              <w:t>=-(-19)/91</w:t>
            </w:r>
          </w:p>
        </w:tc>
      </w:tr>
      <w:tr w:rsidR="002246F5" w:rsidRPr="00E6500B" w14:paraId="6AA5E5E5" w14:textId="77777777" w:rsidTr="002246F5">
        <w:trPr>
          <w:trHeight w:val="300"/>
        </w:trPr>
        <w:tc>
          <w:tcPr>
            <w:tcW w:w="3365" w:type="dxa"/>
            <w:shd w:val="clear" w:color="auto" w:fill="auto"/>
            <w:vAlign w:val="bottom"/>
            <w:hideMark/>
          </w:tcPr>
          <w:p w14:paraId="38A47FEA" w14:textId="77777777" w:rsidR="002246F5" w:rsidRPr="00E6500B" w:rsidRDefault="002246F5" w:rsidP="00E6500B">
            <w:pPr>
              <w:spacing w:after="0" w:line="240" w:lineRule="auto"/>
              <w:rPr>
                <w:rFonts w:ascii="Calibri" w:eastAsia="Times New Roman" w:hAnsi="Calibri" w:cs="Times New Roman"/>
                <w:color w:val="000000"/>
              </w:rPr>
            </w:pPr>
          </w:p>
        </w:tc>
        <w:tc>
          <w:tcPr>
            <w:tcW w:w="1460" w:type="dxa"/>
            <w:shd w:val="clear" w:color="auto" w:fill="auto"/>
            <w:noWrap/>
            <w:vAlign w:val="center"/>
            <w:hideMark/>
          </w:tcPr>
          <w:p w14:paraId="19CC1185" w14:textId="77777777" w:rsidR="002246F5" w:rsidRPr="00E6500B" w:rsidRDefault="002246F5" w:rsidP="00E6500B">
            <w:pPr>
              <w:spacing w:after="0" w:line="240" w:lineRule="auto"/>
              <w:jc w:val="center"/>
              <w:rPr>
                <w:rFonts w:ascii="Calibri" w:eastAsia="Times New Roman" w:hAnsi="Calibri" w:cs="Times New Roman"/>
                <w:color w:val="000000"/>
              </w:rPr>
            </w:pPr>
          </w:p>
        </w:tc>
        <w:tc>
          <w:tcPr>
            <w:tcW w:w="3830" w:type="dxa"/>
            <w:shd w:val="clear" w:color="auto" w:fill="auto"/>
            <w:noWrap/>
            <w:vAlign w:val="center"/>
            <w:hideMark/>
          </w:tcPr>
          <w:p w14:paraId="44C8E92B" w14:textId="77777777" w:rsidR="002246F5" w:rsidRPr="00E6500B" w:rsidRDefault="002246F5" w:rsidP="002246F5">
            <w:pPr>
              <w:spacing w:after="0" w:line="240" w:lineRule="auto"/>
              <w:rPr>
                <w:rFonts w:ascii="Calibri" w:eastAsia="Times New Roman" w:hAnsi="Calibri" w:cs="Times New Roman"/>
                <w:color w:val="000000"/>
              </w:rPr>
            </w:pPr>
          </w:p>
        </w:tc>
      </w:tr>
      <w:tr w:rsidR="002246F5" w:rsidRPr="00E6500B" w14:paraId="28B67A02" w14:textId="77777777" w:rsidTr="002246F5">
        <w:trPr>
          <w:trHeight w:val="600"/>
        </w:trPr>
        <w:tc>
          <w:tcPr>
            <w:tcW w:w="3365" w:type="dxa"/>
            <w:shd w:val="clear" w:color="auto" w:fill="auto"/>
            <w:vAlign w:val="center"/>
            <w:hideMark/>
          </w:tcPr>
          <w:p w14:paraId="797162C5" w14:textId="77777777" w:rsidR="002246F5" w:rsidRPr="00E6500B" w:rsidRDefault="002246F5" w:rsidP="00E6500B">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Step 3 – calculate value of future profits for new business at the valuation date</w:t>
            </w:r>
          </w:p>
        </w:tc>
        <w:tc>
          <w:tcPr>
            <w:tcW w:w="1460" w:type="dxa"/>
            <w:shd w:val="clear" w:color="auto" w:fill="auto"/>
            <w:noWrap/>
            <w:vAlign w:val="center"/>
            <w:hideMark/>
          </w:tcPr>
          <w:p w14:paraId="0DE724F1" w14:textId="77777777" w:rsidR="002246F5" w:rsidRPr="00E6500B" w:rsidRDefault="002246F5" w:rsidP="00E6500B">
            <w:pPr>
              <w:spacing w:after="0" w:line="240" w:lineRule="auto"/>
              <w:jc w:val="center"/>
              <w:rPr>
                <w:rFonts w:ascii="Calibri" w:eastAsia="Times New Roman" w:hAnsi="Calibri" w:cs="Times New Roman"/>
                <w:b/>
                <w:bCs/>
                <w:color w:val="000000"/>
              </w:rPr>
            </w:pPr>
            <w:r w:rsidRPr="00E6500B">
              <w:rPr>
                <w:rFonts w:ascii="Calibri" w:eastAsia="Times New Roman" w:hAnsi="Calibri" w:cs="Times New Roman"/>
                <w:b/>
                <w:bCs/>
                <w:color w:val="000000"/>
              </w:rPr>
              <w:t>VFP</w:t>
            </w:r>
          </w:p>
        </w:tc>
        <w:tc>
          <w:tcPr>
            <w:tcW w:w="3830" w:type="dxa"/>
            <w:shd w:val="clear" w:color="auto" w:fill="auto"/>
            <w:noWrap/>
            <w:vAlign w:val="center"/>
            <w:hideMark/>
          </w:tcPr>
          <w:p w14:paraId="7780F150" w14:textId="77777777" w:rsidR="002246F5" w:rsidRPr="00E6500B" w:rsidRDefault="002246F5" w:rsidP="002246F5">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 profit margin x PV Claims</w:t>
            </w:r>
          </w:p>
        </w:tc>
      </w:tr>
      <w:tr w:rsidR="002246F5" w:rsidRPr="00E6500B" w14:paraId="7B25FD23" w14:textId="77777777" w:rsidTr="002246F5">
        <w:trPr>
          <w:trHeight w:val="300"/>
        </w:trPr>
        <w:tc>
          <w:tcPr>
            <w:tcW w:w="3365" w:type="dxa"/>
            <w:shd w:val="clear" w:color="auto" w:fill="auto"/>
            <w:vAlign w:val="bottom"/>
            <w:hideMark/>
          </w:tcPr>
          <w:p w14:paraId="7B73606F"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old mortality</w:t>
            </w:r>
          </w:p>
        </w:tc>
        <w:tc>
          <w:tcPr>
            <w:tcW w:w="1460" w:type="dxa"/>
            <w:shd w:val="clear" w:color="auto" w:fill="auto"/>
            <w:noWrap/>
            <w:vAlign w:val="center"/>
            <w:hideMark/>
          </w:tcPr>
          <w:p w14:paraId="14478DFE" w14:textId="5BCFA5C4"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21.5</w:t>
            </w:r>
            <w:r>
              <w:rPr>
                <w:rFonts w:ascii="Calibri" w:eastAsia="Times New Roman" w:hAnsi="Calibri" w:cs="Times New Roman"/>
                <w:color w:val="000000"/>
              </w:rPr>
              <w:t xml:space="preserve"> [E]</w:t>
            </w:r>
          </w:p>
        </w:tc>
        <w:tc>
          <w:tcPr>
            <w:tcW w:w="3830" w:type="dxa"/>
            <w:shd w:val="clear" w:color="auto" w:fill="auto"/>
            <w:noWrap/>
            <w:vAlign w:val="center"/>
            <w:hideMark/>
          </w:tcPr>
          <w:p w14:paraId="181F12EE" w14:textId="0A78EC41" w:rsidR="002246F5" w:rsidRPr="002246F5" w:rsidRDefault="002246F5" w:rsidP="002246F5">
            <w:pPr>
              <w:spacing w:after="0" w:line="240" w:lineRule="auto"/>
              <w:rPr>
                <w:rFonts w:ascii="Calibri" w:eastAsia="Times New Roman" w:hAnsi="Calibri" w:cs="Times New Roman"/>
                <w:i/>
                <w:color w:val="000000"/>
              </w:rPr>
            </w:pPr>
            <w:r w:rsidRPr="002246F5">
              <w:rPr>
                <w:rFonts w:ascii="Calibri" w:eastAsia="Times New Roman" w:hAnsi="Calibri" w:cs="Times New Roman"/>
                <w:i/>
                <w:color w:val="000000"/>
              </w:rPr>
              <w:t>=[C]*91</w:t>
            </w:r>
          </w:p>
        </w:tc>
      </w:tr>
      <w:tr w:rsidR="002246F5" w:rsidRPr="00E6500B" w14:paraId="22AF98D3" w14:textId="77777777" w:rsidTr="002246F5">
        <w:trPr>
          <w:trHeight w:val="300"/>
        </w:trPr>
        <w:tc>
          <w:tcPr>
            <w:tcW w:w="3365" w:type="dxa"/>
            <w:shd w:val="clear" w:color="auto" w:fill="auto"/>
            <w:vAlign w:val="bottom"/>
            <w:hideMark/>
          </w:tcPr>
          <w:p w14:paraId="7B6D2F42"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new mortality</w:t>
            </w:r>
          </w:p>
        </w:tc>
        <w:tc>
          <w:tcPr>
            <w:tcW w:w="1460" w:type="dxa"/>
            <w:shd w:val="clear" w:color="auto" w:fill="auto"/>
            <w:noWrap/>
            <w:vAlign w:val="center"/>
            <w:hideMark/>
          </w:tcPr>
          <w:p w14:paraId="26BAE772" w14:textId="48173907"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19.4</w:t>
            </w:r>
            <w:r>
              <w:rPr>
                <w:rFonts w:ascii="Calibri" w:eastAsia="Times New Roman" w:hAnsi="Calibri" w:cs="Times New Roman"/>
                <w:color w:val="000000"/>
              </w:rPr>
              <w:t xml:space="preserve"> [F]</w:t>
            </w:r>
          </w:p>
        </w:tc>
        <w:tc>
          <w:tcPr>
            <w:tcW w:w="3830" w:type="dxa"/>
            <w:shd w:val="clear" w:color="auto" w:fill="auto"/>
            <w:noWrap/>
            <w:vAlign w:val="center"/>
            <w:hideMark/>
          </w:tcPr>
          <w:p w14:paraId="6B4DCC9D" w14:textId="28659346" w:rsidR="002246F5" w:rsidRPr="00E6500B" w:rsidRDefault="002246F5" w:rsidP="002246F5">
            <w:pPr>
              <w:spacing w:after="0" w:line="240" w:lineRule="auto"/>
              <w:rPr>
                <w:rFonts w:ascii="Calibri" w:eastAsia="Times New Roman" w:hAnsi="Calibri" w:cs="Times New Roman"/>
                <w:color w:val="000000"/>
              </w:rPr>
            </w:pPr>
            <w:r w:rsidRPr="002246F5">
              <w:rPr>
                <w:rFonts w:ascii="Calibri" w:eastAsia="Times New Roman" w:hAnsi="Calibri" w:cs="Times New Roman"/>
                <w:i/>
                <w:color w:val="000000"/>
              </w:rPr>
              <w:t>=[D]</w:t>
            </w:r>
            <w:r>
              <w:rPr>
                <w:rFonts w:ascii="Calibri" w:eastAsia="Times New Roman" w:hAnsi="Calibri" w:cs="Times New Roman"/>
                <w:i/>
                <w:color w:val="000000"/>
              </w:rPr>
              <w:t>*93</w:t>
            </w:r>
          </w:p>
        </w:tc>
      </w:tr>
      <w:tr w:rsidR="002246F5" w:rsidRPr="00E6500B" w14:paraId="41312E35" w14:textId="77777777" w:rsidTr="002246F5">
        <w:trPr>
          <w:trHeight w:val="300"/>
        </w:trPr>
        <w:tc>
          <w:tcPr>
            <w:tcW w:w="3365" w:type="dxa"/>
            <w:shd w:val="clear" w:color="auto" w:fill="auto"/>
            <w:vAlign w:val="bottom"/>
            <w:hideMark/>
          </w:tcPr>
          <w:p w14:paraId="45869ECF" w14:textId="77777777" w:rsidR="002246F5" w:rsidRPr="00E6500B" w:rsidRDefault="002246F5" w:rsidP="00E6500B">
            <w:pPr>
              <w:spacing w:after="0" w:line="240" w:lineRule="auto"/>
              <w:rPr>
                <w:rFonts w:ascii="Calibri" w:eastAsia="Times New Roman" w:hAnsi="Calibri" w:cs="Times New Roman"/>
                <w:color w:val="000000"/>
              </w:rPr>
            </w:pPr>
          </w:p>
        </w:tc>
        <w:tc>
          <w:tcPr>
            <w:tcW w:w="1460" w:type="dxa"/>
            <w:shd w:val="clear" w:color="auto" w:fill="auto"/>
            <w:noWrap/>
            <w:vAlign w:val="center"/>
            <w:hideMark/>
          </w:tcPr>
          <w:p w14:paraId="588741F7" w14:textId="77777777" w:rsidR="002246F5" w:rsidRPr="00E6500B" w:rsidRDefault="002246F5" w:rsidP="00E6500B">
            <w:pPr>
              <w:spacing w:after="0" w:line="240" w:lineRule="auto"/>
              <w:jc w:val="center"/>
              <w:rPr>
                <w:rFonts w:ascii="Calibri" w:eastAsia="Times New Roman" w:hAnsi="Calibri" w:cs="Times New Roman"/>
                <w:color w:val="000000"/>
              </w:rPr>
            </w:pPr>
          </w:p>
        </w:tc>
        <w:tc>
          <w:tcPr>
            <w:tcW w:w="3830" w:type="dxa"/>
            <w:shd w:val="clear" w:color="auto" w:fill="auto"/>
            <w:noWrap/>
            <w:vAlign w:val="center"/>
            <w:hideMark/>
          </w:tcPr>
          <w:p w14:paraId="57FA879B" w14:textId="77777777" w:rsidR="002246F5" w:rsidRPr="00E6500B" w:rsidRDefault="002246F5" w:rsidP="002246F5">
            <w:pPr>
              <w:spacing w:after="0" w:line="240" w:lineRule="auto"/>
              <w:rPr>
                <w:rFonts w:ascii="Calibri" w:eastAsia="Times New Roman" w:hAnsi="Calibri" w:cs="Times New Roman"/>
                <w:color w:val="000000"/>
              </w:rPr>
            </w:pPr>
          </w:p>
        </w:tc>
      </w:tr>
      <w:tr w:rsidR="002246F5" w:rsidRPr="00E6500B" w14:paraId="59001FE3" w14:textId="77777777" w:rsidTr="002246F5">
        <w:trPr>
          <w:trHeight w:val="600"/>
        </w:trPr>
        <w:tc>
          <w:tcPr>
            <w:tcW w:w="3365" w:type="dxa"/>
            <w:shd w:val="clear" w:color="auto" w:fill="auto"/>
            <w:vAlign w:val="center"/>
            <w:hideMark/>
          </w:tcPr>
          <w:p w14:paraId="16C68C7C" w14:textId="77777777" w:rsidR="002246F5" w:rsidRPr="00E6500B" w:rsidRDefault="002246F5" w:rsidP="00E6500B">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Step 4 – calculate profit margin for in-force and new business combined</w:t>
            </w:r>
          </w:p>
        </w:tc>
        <w:tc>
          <w:tcPr>
            <w:tcW w:w="1460" w:type="dxa"/>
            <w:shd w:val="clear" w:color="auto" w:fill="auto"/>
            <w:noWrap/>
            <w:vAlign w:val="center"/>
            <w:hideMark/>
          </w:tcPr>
          <w:p w14:paraId="5A0833BB" w14:textId="77777777" w:rsidR="002246F5" w:rsidRPr="00E6500B" w:rsidRDefault="002246F5" w:rsidP="00E6500B">
            <w:pPr>
              <w:spacing w:after="0" w:line="240" w:lineRule="auto"/>
              <w:jc w:val="center"/>
              <w:rPr>
                <w:rFonts w:ascii="Calibri" w:eastAsia="Times New Roman" w:hAnsi="Calibri" w:cs="Times New Roman"/>
                <w:b/>
                <w:bCs/>
                <w:color w:val="000000"/>
              </w:rPr>
            </w:pPr>
            <w:r w:rsidRPr="00E6500B">
              <w:rPr>
                <w:rFonts w:ascii="Calibri" w:eastAsia="Times New Roman" w:hAnsi="Calibri" w:cs="Times New Roman"/>
                <w:b/>
                <w:bCs/>
                <w:color w:val="000000"/>
              </w:rPr>
              <w:t>Profit margin</w:t>
            </w:r>
          </w:p>
        </w:tc>
        <w:tc>
          <w:tcPr>
            <w:tcW w:w="3830" w:type="dxa"/>
            <w:shd w:val="clear" w:color="auto" w:fill="auto"/>
            <w:noWrap/>
            <w:vAlign w:val="center"/>
            <w:hideMark/>
          </w:tcPr>
          <w:p w14:paraId="07B5801A" w14:textId="77777777" w:rsidR="002246F5" w:rsidRPr="00E6500B" w:rsidRDefault="002246F5" w:rsidP="002246F5">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 VFP / PV Claims</w:t>
            </w:r>
          </w:p>
        </w:tc>
      </w:tr>
      <w:tr w:rsidR="002246F5" w:rsidRPr="00E6500B" w14:paraId="6F5DD8AF" w14:textId="77777777" w:rsidTr="002246F5">
        <w:trPr>
          <w:trHeight w:val="300"/>
        </w:trPr>
        <w:tc>
          <w:tcPr>
            <w:tcW w:w="3365" w:type="dxa"/>
            <w:shd w:val="clear" w:color="auto" w:fill="auto"/>
            <w:vAlign w:val="bottom"/>
            <w:hideMark/>
          </w:tcPr>
          <w:p w14:paraId="74D43B60"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old mortality</w:t>
            </w:r>
          </w:p>
        </w:tc>
        <w:tc>
          <w:tcPr>
            <w:tcW w:w="1460" w:type="dxa"/>
            <w:shd w:val="clear" w:color="auto" w:fill="auto"/>
            <w:noWrap/>
            <w:vAlign w:val="center"/>
            <w:hideMark/>
          </w:tcPr>
          <w:p w14:paraId="0CF6D201" w14:textId="71B806CB"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30.2%</w:t>
            </w:r>
            <w:r>
              <w:rPr>
                <w:rFonts w:ascii="Calibri" w:eastAsia="Times New Roman" w:hAnsi="Calibri" w:cs="Times New Roman"/>
                <w:color w:val="000000"/>
              </w:rPr>
              <w:t xml:space="preserve"> [G]</w:t>
            </w:r>
          </w:p>
        </w:tc>
        <w:tc>
          <w:tcPr>
            <w:tcW w:w="3830" w:type="dxa"/>
            <w:shd w:val="clear" w:color="auto" w:fill="auto"/>
            <w:noWrap/>
            <w:vAlign w:val="bottom"/>
            <w:hideMark/>
          </w:tcPr>
          <w:p w14:paraId="73E33B10" w14:textId="7416DF88" w:rsidR="002246F5" w:rsidRPr="002246F5" w:rsidRDefault="002246F5" w:rsidP="00E6500B">
            <w:pPr>
              <w:spacing w:after="0" w:line="240" w:lineRule="auto"/>
              <w:rPr>
                <w:rFonts w:ascii="Calibri" w:eastAsia="Times New Roman" w:hAnsi="Calibri" w:cs="Times New Roman"/>
                <w:i/>
                <w:color w:val="000000"/>
              </w:rPr>
            </w:pPr>
            <w:r w:rsidRPr="002246F5">
              <w:rPr>
                <w:rFonts w:ascii="Calibri" w:eastAsia="Times New Roman" w:hAnsi="Calibri" w:cs="Times New Roman"/>
                <w:i/>
                <w:color w:val="000000"/>
              </w:rPr>
              <w:t>=([A] + [E]) / (91 + 485)</w:t>
            </w:r>
          </w:p>
        </w:tc>
      </w:tr>
      <w:tr w:rsidR="002246F5" w:rsidRPr="00E6500B" w14:paraId="023655CF" w14:textId="77777777" w:rsidTr="002246F5">
        <w:trPr>
          <w:trHeight w:val="300"/>
        </w:trPr>
        <w:tc>
          <w:tcPr>
            <w:tcW w:w="3365" w:type="dxa"/>
            <w:shd w:val="clear" w:color="auto" w:fill="auto"/>
            <w:vAlign w:val="bottom"/>
            <w:hideMark/>
          </w:tcPr>
          <w:p w14:paraId="7E4EA5C9"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new mortality</w:t>
            </w:r>
          </w:p>
        </w:tc>
        <w:tc>
          <w:tcPr>
            <w:tcW w:w="1460" w:type="dxa"/>
            <w:shd w:val="clear" w:color="auto" w:fill="auto"/>
            <w:noWrap/>
            <w:vAlign w:val="center"/>
            <w:hideMark/>
          </w:tcPr>
          <w:p w14:paraId="2A3B05BC" w14:textId="3BE9972D"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26.1%</w:t>
            </w:r>
            <w:r>
              <w:rPr>
                <w:rFonts w:ascii="Calibri" w:eastAsia="Times New Roman" w:hAnsi="Calibri" w:cs="Times New Roman"/>
                <w:color w:val="000000"/>
              </w:rPr>
              <w:t xml:space="preserve"> [H]</w:t>
            </w:r>
          </w:p>
        </w:tc>
        <w:tc>
          <w:tcPr>
            <w:tcW w:w="3830" w:type="dxa"/>
            <w:shd w:val="clear" w:color="auto" w:fill="auto"/>
            <w:noWrap/>
            <w:vAlign w:val="bottom"/>
            <w:hideMark/>
          </w:tcPr>
          <w:p w14:paraId="3557BE8F" w14:textId="0DC24AB0" w:rsidR="002246F5" w:rsidRPr="00E6500B" w:rsidRDefault="002246F5" w:rsidP="002246F5">
            <w:pPr>
              <w:spacing w:after="0" w:line="240" w:lineRule="auto"/>
              <w:rPr>
                <w:rFonts w:ascii="Calibri" w:eastAsia="Times New Roman" w:hAnsi="Calibri" w:cs="Times New Roman"/>
                <w:color w:val="000000"/>
              </w:rPr>
            </w:pPr>
            <w:r w:rsidRPr="002246F5">
              <w:rPr>
                <w:rFonts w:ascii="Calibri" w:eastAsia="Times New Roman" w:hAnsi="Calibri" w:cs="Times New Roman"/>
                <w:i/>
                <w:color w:val="000000"/>
              </w:rPr>
              <w:t>=([</w:t>
            </w:r>
            <w:r>
              <w:rPr>
                <w:rFonts w:ascii="Calibri" w:eastAsia="Times New Roman" w:hAnsi="Calibri" w:cs="Times New Roman"/>
                <w:i/>
                <w:color w:val="000000"/>
              </w:rPr>
              <w:t>B</w:t>
            </w:r>
            <w:r w:rsidRPr="002246F5">
              <w:rPr>
                <w:rFonts w:ascii="Calibri" w:eastAsia="Times New Roman" w:hAnsi="Calibri" w:cs="Times New Roman"/>
                <w:i/>
                <w:color w:val="000000"/>
              </w:rPr>
              <w:t>]</w:t>
            </w:r>
            <w:r>
              <w:rPr>
                <w:rFonts w:ascii="Calibri" w:eastAsia="Times New Roman" w:hAnsi="Calibri" w:cs="Times New Roman"/>
                <w:i/>
                <w:color w:val="000000"/>
              </w:rPr>
              <w:t xml:space="preserve"> + [F</w:t>
            </w:r>
            <w:r w:rsidRPr="002246F5">
              <w:rPr>
                <w:rFonts w:ascii="Calibri" w:eastAsia="Times New Roman" w:hAnsi="Calibri" w:cs="Times New Roman"/>
                <w:i/>
                <w:color w:val="000000"/>
              </w:rPr>
              <w:t>]) / (9</w:t>
            </w:r>
            <w:r>
              <w:rPr>
                <w:rFonts w:ascii="Calibri" w:eastAsia="Times New Roman" w:hAnsi="Calibri" w:cs="Times New Roman"/>
                <w:i/>
                <w:color w:val="000000"/>
              </w:rPr>
              <w:t>3</w:t>
            </w:r>
            <w:r w:rsidRPr="002246F5">
              <w:rPr>
                <w:rFonts w:ascii="Calibri" w:eastAsia="Times New Roman" w:hAnsi="Calibri" w:cs="Times New Roman"/>
                <w:i/>
                <w:color w:val="000000"/>
              </w:rPr>
              <w:t xml:space="preserve"> + </w:t>
            </w:r>
            <w:r>
              <w:rPr>
                <w:rFonts w:ascii="Calibri" w:eastAsia="Times New Roman" w:hAnsi="Calibri" w:cs="Times New Roman"/>
                <w:i/>
                <w:color w:val="000000"/>
              </w:rPr>
              <w:t>502</w:t>
            </w:r>
            <w:r w:rsidRPr="002246F5">
              <w:rPr>
                <w:rFonts w:ascii="Calibri" w:eastAsia="Times New Roman" w:hAnsi="Calibri" w:cs="Times New Roman"/>
                <w:i/>
                <w:color w:val="000000"/>
              </w:rPr>
              <w:t>)</w:t>
            </w:r>
          </w:p>
        </w:tc>
      </w:tr>
      <w:tr w:rsidR="002246F5" w:rsidRPr="00E6500B" w14:paraId="1EDFB386" w14:textId="77777777" w:rsidTr="002246F5">
        <w:trPr>
          <w:trHeight w:val="300"/>
        </w:trPr>
        <w:tc>
          <w:tcPr>
            <w:tcW w:w="3365" w:type="dxa"/>
            <w:shd w:val="clear" w:color="auto" w:fill="auto"/>
            <w:vAlign w:val="bottom"/>
            <w:hideMark/>
          </w:tcPr>
          <w:p w14:paraId="7986A237" w14:textId="77777777" w:rsidR="002246F5" w:rsidRPr="00E6500B" w:rsidRDefault="002246F5" w:rsidP="00E6500B">
            <w:pPr>
              <w:spacing w:after="0" w:line="240" w:lineRule="auto"/>
              <w:rPr>
                <w:rFonts w:ascii="Calibri" w:eastAsia="Times New Roman" w:hAnsi="Calibri" w:cs="Times New Roman"/>
                <w:color w:val="000000"/>
              </w:rPr>
            </w:pPr>
          </w:p>
        </w:tc>
        <w:tc>
          <w:tcPr>
            <w:tcW w:w="1460" w:type="dxa"/>
            <w:shd w:val="clear" w:color="auto" w:fill="auto"/>
            <w:noWrap/>
            <w:vAlign w:val="center"/>
            <w:hideMark/>
          </w:tcPr>
          <w:p w14:paraId="3D0A04C7" w14:textId="77777777" w:rsidR="002246F5" w:rsidRPr="00E6500B" w:rsidRDefault="002246F5" w:rsidP="00E6500B">
            <w:pPr>
              <w:spacing w:after="0" w:line="240" w:lineRule="auto"/>
              <w:jc w:val="center"/>
              <w:rPr>
                <w:rFonts w:ascii="Calibri" w:eastAsia="Times New Roman" w:hAnsi="Calibri" w:cs="Times New Roman"/>
                <w:color w:val="000000"/>
              </w:rPr>
            </w:pPr>
          </w:p>
        </w:tc>
        <w:tc>
          <w:tcPr>
            <w:tcW w:w="3830" w:type="dxa"/>
            <w:shd w:val="clear" w:color="auto" w:fill="auto"/>
            <w:noWrap/>
            <w:vAlign w:val="bottom"/>
            <w:hideMark/>
          </w:tcPr>
          <w:p w14:paraId="44662D2B" w14:textId="77777777" w:rsidR="002246F5" w:rsidRPr="00E6500B" w:rsidRDefault="002246F5" w:rsidP="00E6500B">
            <w:pPr>
              <w:spacing w:after="0" w:line="240" w:lineRule="auto"/>
              <w:rPr>
                <w:rFonts w:ascii="Calibri" w:eastAsia="Times New Roman" w:hAnsi="Calibri" w:cs="Times New Roman"/>
                <w:color w:val="000000"/>
              </w:rPr>
            </w:pPr>
          </w:p>
        </w:tc>
      </w:tr>
      <w:tr w:rsidR="002246F5" w:rsidRPr="00E6500B" w14:paraId="5E1E2633" w14:textId="77777777" w:rsidTr="002246F5">
        <w:trPr>
          <w:trHeight w:val="300"/>
        </w:trPr>
        <w:tc>
          <w:tcPr>
            <w:tcW w:w="3365" w:type="dxa"/>
            <w:shd w:val="clear" w:color="auto" w:fill="auto"/>
            <w:vAlign w:val="bottom"/>
            <w:hideMark/>
          </w:tcPr>
          <w:p w14:paraId="06F6DA8C" w14:textId="77777777" w:rsidR="002246F5" w:rsidRPr="00E6500B" w:rsidRDefault="002246F5" w:rsidP="00E6500B">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Step 5 – calculate planned profit for 2010</w:t>
            </w:r>
          </w:p>
        </w:tc>
        <w:tc>
          <w:tcPr>
            <w:tcW w:w="1460" w:type="dxa"/>
            <w:shd w:val="clear" w:color="auto" w:fill="auto"/>
            <w:noWrap/>
            <w:vAlign w:val="center"/>
            <w:hideMark/>
          </w:tcPr>
          <w:p w14:paraId="472AEF8C" w14:textId="77777777" w:rsidR="002246F5" w:rsidRPr="00E6500B" w:rsidRDefault="002246F5" w:rsidP="00E6500B">
            <w:pPr>
              <w:spacing w:after="0" w:line="240" w:lineRule="auto"/>
              <w:jc w:val="center"/>
              <w:rPr>
                <w:rFonts w:ascii="Calibri" w:eastAsia="Times New Roman" w:hAnsi="Calibri" w:cs="Times New Roman"/>
                <w:b/>
                <w:bCs/>
                <w:color w:val="000000"/>
              </w:rPr>
            </w:pPr>
            <w:r w:rsidRPr="00E6500B">
              <w:rPr>
                <w:rFonts w:ascii="Calibri" w:eastAsia="Times New Roman" w:hAnsi="Calibri" w:cs="Times New Roman"/>
                <w:b/>
                <w:bCs/>
                <w:color w:val="000000"/>
              </w:rPr>
              <w:t>Planned profit</w:t>
            </w:r>
          </w:p>
        </w:tc>
        <w:tc>
          <w:tcPr>
            <w:tcW w:w="3830" w:type="dxa"/>
            <w:shd w:val="clear" w:color="auto" w:fill="auto"/>
            <w:noWrap/>
            <w:vAlign w:val="center"/>
            <w:hideMark/>
          </w:tcPr>
          <w:p w14:paraId="55349AA9" w14:textId="77777777" w:rsidR="002246F5" w:rsidRPr="00E6500B" w:rsidRDefault="002246F5" w:rsidP="002246F5">
            <w:pPr>
              <w:spacing w:after="0" w:line="240" w:lineRule="auto"/>
              <w:rPr>
                <w:rFonts w:ascii="Calibri" w:eastAsia="Times New Roman" w:hAnsi="Calibri" w:cs="Times New Roman"/>
                <w:color w:val="000000"/>
              </w:rPr>
            </w:pPr>
            <w:r w:rsidRPr="00E6500B">
              <w:rPr>
                <w:rFonts w:ascii="Calibri" w:eastAsia="Times New Roman" w:hAnsi="Calibri" w:cs="Times New Roman"/>
                <w:color w:val="000000"/>
              </w:rPr>
              <w:t>= profit margin x expected</w:t>
            </w:r>
          </w:p>
        </w:tc>
      </w:tr>
      <w:tr w:rsidR="002246F5" w:rsidRPr="00E6500B" w14:paraId="236B3001" w14:textId="77777777" w:rsidTr="002246F5">
        <w:trPr>
          <w:trHeight w:val="300"/>
        </w:trPr>
        <w:tc>
          <w:tcPr>
            <w:tcW w:w="3365" w:type="dxa"/>
            <w:shd w:val="clear" w:color="auto" w:fill="auto"/>
            <w:vAlign w:val="bottom"/>
            <w:hideMark/>
          </w:tcPr>
          <w:p w14:paraId="45AC6671"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old mortality</w:t>
            </w:r>
          </w:p>
        </w:tc>
        <w:tc>
          <w:tcPr>
            <w:tcW w:w="1460" w:type="dxa"/>
            <w:shd w:val="clear" w:color="auto" w:fill="auto"/>
            <w:noWrap/>
            <w:vAlign w:val="center"/>
            <w:hideMark/>
          </w:tcPr>
          <w:p w14:paraId="01E2D6D2" w14:textId="77777777"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11.8</w:t>
            </w:r>
          </w:p>
        </w:tc>
        <w:tc>
          <w:tcPr>
            <w:tcW w:w="3830" w:type="dxa"/>
            <w:shd w:val="clear" w:color="auto" w:fill="auto"/>
            <w:noWrap/>
            <w:vAlign w:val="bottom"/>
            <w:hideMark/>
          </w:tcPr>
          <w:p w14:paraId="7657DAA0" w14:textId="67D18867" w:rsidR="002246F5" w:rsidRPr="002246F5" w:rsidRDefault="002246F5" w:rsidP="00E6500B">
            <w:pPr>
              <w:spacing w:after="0" w:line="240" w:lineRule="auto"/>
              <w:rPr>
                <w:rFonts w:ascii="Calibri" w:eastAsia="Times New Roman" w:hAnsi="Calibri" w:cs="Times New Roman"/>
                <w:i/>
                <w:color w:val="000000"/>
              </w:rPr>
            </w:pPr>
            <w:r w:rsidRPr="002246F5">
              <w:rPr>
                <w:rFonts w:ascii="Calibri" w:eastAsia="Times New Roman" w:hAnsi="Calibri" w:cs="Times New Roman"/>
                <w:i/>
                <w:color w:val="000000"/>
              </w:rPr>
              <w:t>= [G]*</w:t>
            </w:r>
            <w:r w:rsidR="00382A8B">
              <w:rPr>
                <w:rFonts w:ascii="Calibri" w:eastAsia="Times New Roman" w:hAnsi="Calibri" w:cs="Times New Roman"/>
                <w:i/>
                <w:color w:val="000000"/>
              </w:rPr>
              <w:t>(</w:t>
            </w:r>
            <w:r w:rsidRPr="002246F5">
              <w:rPr>
                <w:rFonts w:ascii="Calibri" w:eastAsia="Times New Roman" w:hAnsi="Calibri" w:cs="Times New Roman"/>
                <w:i/>
                <w:color w:val="000000"/>
              </w:rPr>
              <w:t>4</w:t>
            </w:r>
            <w:r w:rsidR="00382A8B">
              <w:rPr>
                <w:rFonts w:ascii="Calibri" w:eastAsia="Times New Roman" w:hAnsi="Calibri" w:cs="Times New Roman"/>
                <w:i/>
                <w:color w:val="000000"/>
              </w:rPr>
              <w:t xml:space="preserve"> +35)</w:t>
            </w:r>
          </w:p>
        </w:tc>
      </w:tr>
      <w:tr w:rsidR="002246F5" w:rsidRPr="00E6500B" w14:paraId="742A6267" w14:textId="77777777" w:rsidTr="002246F5">
        <w:trPr>
          <w:trHeight w:val="300"/>
        </w:trPr>
        <w:tc>
          <w:tcPr>
            <w:tcW w:w="3365" w:type="dxa"/>
            <w:shd w:val="clear" w:color="auto" w:fill="auto"/>
            <w:vAlign w:val="bottom"/>
            <w:hideMark/>
          </w:tcPr>
          <w:p w14:paraId="621D54C7" w14:textId="77777777" w:rsidR="002246F5" w:rsidRPr="00E6500B" w:rsidRDefault="002246F5" w:rsidP="00E6500B">
            <w:pPr>
              <w:spacing w:after="0" w:line="240" w:lineRule="auto"/>
              <w:jc w:val="right"/>
              <w:rPr>
                <w:rFonts w:ascii="Calibri" w:eastAsia="Times New Roman" w:hAnsi="Calibri" w:cs="Times New Roman"/>
                <w:color w:val="000000"/>
              </w:rPr>
            </w:pPr>
            <w:r w:rsidRPr="00E6500B">
              <w:rPr>
                <w:rFonts w:ascii="Calibri" w:eastAsia="Times New Roman" w:hAnsi="Calibri" w:cs="Times New Roman"/>
                <w:color w:val="000000"/>
              </w:rPr>
              <w:t>new mortality</w:t>
            </w:r>
          </w:p>
        </w:tc>
        <w:tc>
          <w:tcPr>
            <w:tcW w:w="1460" w:type="dxa"/>
            <w:shd w:val="clear" w:color="auto" w:fill="auto"/>
            <w:noWrap/>
            <w:vAlign w:val="center"/>
            <w:hideMark/>
          </w:tcPr>
          <w:p w14:paraId="1A4A3BE6" w14:textId="77777777" w:rsidR="002246F5" w:rsidRPr="00E6500B" w:rsidRDefault="002246F5" w:rsidP="00E6500B">
            <w:pPr>
              <w:spacing w:after="0" w:line="240" w:lineRule="auto"/>
              <w:jc w:val="center"/>
              <w:rPr>
                <w:rFonts w:ascii="Calibri" w:eastAsia="Times New Roman" w:hAnsi="Calibri" w:cs="Times New Roman"/>
                <w:color w:val="000000"/>
              </w:rPr>
            </w:pPr>
            <w:r w:rsidRPr="00E6500B">
              <w:rPr>
                <w:rFonts w:ascii="Calibri" w:eastAsia="Times New Roman" w:hAnsi="Calibri" w:cs="Times New Roman"/>
                <w:color w:val="000000"/>
              </w:rPr>
              <w:t>15.1</w:t>
            </w:r>
          </w:p>
        </w:tc>
        <w:tc>
          <w:tcPr>
            <w:tcW w:w="3830" w:type="dxa"/>
            <w:shd w:val="clear" w:color="auto" w:fill="auto"/>
            <w:noWrap/>
            <w:vAlign w:val="bottom"/>
            <w:hideMark/>
          </w:tcPr>
          <w:p w14:paraId="2CE8A5B9" w14:textId="38CFA6E2" w:rsidR="002246F5" w:rsidRPr="002246F5" w:rsidRDefault="002246F5" w:rsidP="00E6500B">
            <w:pPr>
              <w:spacing w:after="0" w:line="240" w:lineRule="auto"/>
              <w:rPr>
                <w:rFonts w:ascii="Calibri" w:eastAsia="Times New Roman" w:hAnsi="Calibri" w:cs="Times New Roman"/>
                <w:i/>
                <w:color w:val="000000"/>
              </w:rPr>
            </w:pPr>
            <w:r w:rsidRPr="002246F5">
              <w:rPr>
                <w:rFonts w:ascii="Calibri" w:eastAsia="Times New Roman" w:hAnsi="Calibri" w:cs="Times New Roman"/>
                <w:i/>
                <w:color w:val="000000"/>
              </w:rPr>
              <w:t>= [H]*</w:t>
            </w:r>
            <w:r w:rsidR="00382A8B">
              <w:rPr>
                <w:rFonts w:ascii="Calibri" w:eastAsia="Times New Roman" w:hAnsi="Calibri" w:cs="Times New Roman"/>
                <w:i/>
                <w:color w:val="000000"/>
              </w:rPr>
              <w:t>(</w:t>
            </w:r>
            <w:r w:rsidRPr="002246F5">
              <w:rPr>
                <w:rFonts w:ascii="Calibri" w:eastAsia="Times New Roman" w:hAnsi="Calibri" w:cs="Times New Roman"/>
                <w:i/>
                <w:color w:val="000000"/>
              </w:rPr>
              <w:t>6</w:t>
            </w:r>
            <w:r w:rsidR="00382A8B">
              <w:rPr>
                <w:rFonts w:ascii="Calibri" w:eastAsia="Times New Roman" w:hAnsi="Calibri" w:cs="Times New Roman"/>
                <w:i/>
                <w:color w:val="000000"/>
              </w:rPr>
              <w:t>+52)</w:t>
            </w:r>
          </w:p>
        </w:tc>
      </w:tr>
    </w:tbl>
    <w:p w14:paraId="3F5134DF" w14:textId="1F1C364D" w:rsidR="001B41C9" w:rsidRDefault="001B41C9" w:rsidP="001B41C9">
      <w:pPr>
        <w:spacing w:after="60"/>
        <w:rPr>
          <w:color w:val="000000" w:themeColor="text1"/>
        </w:rPr>
      </w:pPr>
    </w:p>
    <w:p w14:paraId="54E3D64E" w14:textId="77777777" w:rsidR="00EA27E7" w:rsidRDefault="008243D7" w:rsidP="00EA27E7">
      <w:pPr>
        <w:spacing w:after="60"/>
        <w:rPr>
          <w:color w:val="000000" w:themeColor="text1"/>
        </w:rPr>
      </w:pPr>
      <w:r>
        <w:rPr>
          <w:color w:val="000000" w:themeColor="text1"/>
        </w:rPr>
        <w:t xml:space="preserve">5c) </w:t>
      </w:r>
    </w:p>
    <w:p w14:paraId="12F6871E" w14:textId="43A14900" w:rsidR="00EA27E7" w:rsidRPr="00157A4E" w:rsidRDefault="00EA27E7" w:rsidP="00CF0598">
      <w:pPr>
        <w:pStyle w:val="ListParagraph"/>
        <w:numPr>
          <w:ilvl w:val="0"/>
          <w:numId w:val="9"/>
        </w:numPr>
        <w:spacing w:after="60"/>
        <w:rPr>
          <w:color w:val="FF0000"/>
        </w:rPr>
      </w:pPr>
      <w:r w:rsidRPr="00157A4E">
        <w:rPr>
          <w:color w:val="FF0000"/>
        </w:rPr>
        <w:t>AS1.04 requires that best estimate assumptions must be used in determining the policy liability. Therefore the 50% loading on mortality rates for 2010 should be used for calculating the BEL.</w:t>
      </w:r>
    </w:p>
    <w:p w14:paraId="16AA5308" w14:textId="127059C6" w:rsidR="00EA27E7" w:rsidRPr="00EA27E7" w:rsidRDefault="00EA27E7" w:rsidP="00CF0598">
      <w:pPr>
        <w:pStyle w:val="ListParagraph"/>
        <w:numPr>
          <w:ilvl w:val="0"/>
          <w:numId w:val="8"/>
        </w:numPr>
        <w:spacing w:after="60"/>
        <w:rPr>
          <w:color w:val="000000" w:themeColor="text1"/>
        </w:rPr>
      </w:pPr>
      <w:r w:rsidRPr="00EA27E7">
        <w:rPr>
          <w:color w:val="000000" w:themeColor="text1"/>
        </w:rPr>
        <w:t>The future profits are positive even with the increase in mortality for 2010 so the basis chosen will have no effect on profit reported in 2009.</w:t>
      </w:r>
    </w:p>
    <w:p w14:paraId="1F40182D" w14:textId="3FC3932F" w:rsidR="00EA27E7" w:rsidRPr="00EA27E7" w:rsidRDefault="00EA27E7" w:rsidP="00CF0598">
      <w:pPr>
        <w:pStyle w:val="ListParagraph"/>
        <w:numPr>
          <w:ilvl w:val="0"/>
          <w:numId w:val="8"/>
        </w:numPr>
        <w:spacing w:after="60"/>
        <w:rPr>
          <w:color w:val="000000" w:themeColor="text1"/>
        </w:rPr>
      </w:pPr>
      <w:r w:rsidRPr="00EA27E7">
        <w:rPr>
          <w:color w:val="000000" w:themeColor="text1"/>
        </w:rPr>
        <w:t>The basis chosen will affect the emergence of profit in 2010 and beyond.</w:t>
      </w:r>
    </w:p>
    <w:p w14:paraId="78EC27A6" w14:textId="70DDE4F1" w:rsidR="00EA27E7" w:rsidRPr="00EA27E7" w:rsidRDefault="00EA27E7" w:rsidP="00CF0598">
      <w:pPr>
        <w:pStyle w:val="ListParagraph"/>
        <w:numPr>
          <w:ilvl w:val="0"/>
          <w:numId w:val="8"/>
        </w:numPr>
        <w:spacing w:after="60"/>
        <w:rPr>
          <w:color w:val="000000" w:themeColor="text1"/>
        </w:rPr>
      </w:pPr>
      <w:r w:rsidRPr="00EA27E7">
        <w:rPr>
          <w:color w:val="000000" w:themeColor="text1"/>
        </w:rPr>
        <w:t>The profit carrier must be chosen so that profits are earned on the later of the provision of a service to the policy owners and the receipt of income relating to that service.</w:t>
      </w:r>
    </w:p>
    <w:p w14:paraId="16B9F914" w14:textId="254AFB3C" w:rsidR="00EA27E7" w:rsidRPr="00EA27E7" w:rsidRDefault="00EA27E7" w:rsidP="00CF0598">
      <w:pPr>
        <w:pStyle w:val="ListParagraph"/>
        <w:numPr>
          <w:ilvl w:val="0"/>
          <w:numId w:val="8"/>
        </w:numPr>
        <w:spacing w:after="60"/>
        <w:rPr>
          <w:color w:val="000000" w:themeColor="text1"/>
        </w:rPr>
      </w:pPr>
      <w:r w:rsidRPr="00E879A7">
        <w:rPr>
          <w:color w:val="FF0000"/>
        </w:rPr>
        <w:t xml:space="preserve">Using best estimate claims as the profit carrier will bring forward the release of profits in 2010. </w:t>
      </w:r>
      <w:r w:rsidRPr="00EA27E7">
        <w:rPr>
          <w:color w:val="000000" w:themeColor="text1"/>
        </w:rPr>
        <w:t xml:space="preserve">Whilst this conforms to the principles of AS1.04 (the service is provided when claims are made) </w:t>
      </w:r>
      <w:r w:rsidRPr="00E879A7">
        <w:rPr>
          <w:color w:val="FF0000"/>
        </w:rPr>
        <w:t>it is not reasonable to report higher profits as the result of a pandemic</w:t>
      </w:r>
      <w:r w:rsidRPr="00EA27E7">
        <w:rPr>
          <w:color w:val="000000" w:themeColor="text1"/>
        </w:rPr>
        <w:t>.</w:t>
      </w:r>
    </w:p>
    <w:p w14:paraId="77952BC9" w14:textId="56D46B34" w:rsidR="00EA27E7" w:rsidRPr="00EA27E7" w:rsidRDefault="00EA27E7" w:rsidP="00CF0598">
      <w:pPr>
        <w:pStyle w:val="ListParagraph"/>
        <w:numPr>
          <w:ilvl w:val="0"/>
          <w:numId w:val="8"/>
        </w:numPr>
        <w:spacing w:after="60"/>
        <w:rPr>
          <w:color w:val="000000" w:themeColor="text1"/>
        </w:rPr>
      </w:pPr>
      <w:r w:rsidRPr="00157A4E">
        <w:rPr>
          <w:color w:val="FF0000"/>
        </w:rPr>
        <w:t>The profit carrier can be changed providing this does not result in a release of profit at the date of change</w:t>
      </w:r>
      <w:r w:rsidRPr="00EA27E7">
        <w:rPr>
          <w:color w:val="000000" w:themeColor="text1"/>
        </w:rPr>
        <w:t>.</w:t>
      </w:r>
    </w:p>
    <w:p w14:paraId="30BDAEB7" w14:textId="7FEC6B29" w:rsidR="00EA27E7" w:rsidRPr="00157A4E" w:rsidRDefault="00EA27E7" w:rsidP="00CF0598">
      <w:pPr>
        <w:pStyle w:val="ListParagraph"/>
        <w:numPr>
          <w:ilvl w:val="0"/>
          <w:numId w:val="8"/>
        </w:numPr>
        <w:spacing w:after="60"/>
        <w:rPr>
          <w:color w:val="FF0000"/>
        </w:rPr>
      </w:pPr>
      <w:r w:rsidRPr="00157A4E">
        <w:rPr>
          <w:color w:val="FF0000"/>
        </w:rPr>
        <w:t>Alternative profit carriers are premiums and long-term claims (that is without the spike in mortality in 2010).</w:t>
      </w:r>
    </w:p>
    <w:p w14:paraId="77E45D25" w14:textId="55B4C288" w:rsidR="00EA27E7" w:rsidRPr="00EA27E7" w:rsidRDefault="00EA27E7" w:rsidP="00CF0598">
      <w:pPr>
        <w:pStyle w:val="ListParagraph"/>
        <w:numPr>
          <w:ilvl w:val="0"/>
          <w:numId w:val="8"/>
        </w:numPr>
        <w:spacing w:after="60"/>
        <w:rPr>
          <w:color w:val="000000" w:themeColor="text1"/>
        </w:rPr>
      </w:pPr>
      <w:r w:rsidRPr="00157A4E">
        <w:rPr>
          <w:color w:val="FF0000"/>
        </w:rPr>
        <w:t>Using premiums as the profit carrier would bring forward the release of profit margins but not as much as using best estimate claims.</w:t>
      </w:r>
      <w:r w:rsidRPr="00EA27E7">
        <w:rPr>
          <w:color w:val="000000" w:themeColor="text1"/>
        </w:rPr>
        <w:t xml:space="preserve"> Again it does not seem reasonable to report higher profits as a result of a pandemic.</w:t>
      </w:r>
    </w:p>
    <w:p w14:paraId="0ED65D44" w14:textId="0392AE20" w:rsidR="00EA27E7" w:rsidRPr="00EA27E7" w:rsidRDefault="00EA27E7" w:rsidP="00CF0598">
      <w:pPr>
        <w:pStyle w:val="ListParagraph"/>
        <w:numPr>
          <w:ilvl w:val="0"/>
          <w:numId w:val="8"/>
        </w:numPr>
        <w:spacing w:after="60"/>
        <w:rPr>
          <w:color w:val="000000" w:themeColor="text1"/>
        </w:rPr>
      </w:pPr>
      <w:r w:rsidRPr="00EA27E7">
        <w:rPr>
          <w:color w:val="000000" w:themeColor="text1"/>
        </w:rPr>
        <w:t>Using long-term claims (i.e. excluding the increase due to the pandemic) as the carrier will result in a slightly lower profit in 2010 and all subsequent years as a result of the pandemic. This is because the extra death claims expected in 2010 will increase the BEL and reduce the value of future pro</w:t>
      </w:r>
      <w:bookmarkStart w:id="0" w:name="_GoBack"/>
      <w:bookmarkEnd w:id="0"/>
      <w:r w:rsidRPr="00EA27E7">
        <w:rPr>
          <w:color w:val="000000" w:themeColor="text1"/>
        </w:rPr>
        <w:t>fit margins at 31/12/2009. But the value of the profit carrier at 31/12/2009 will be unchanged. Therefore the profit margin (and planned profit emergence in all future years) will be slightly lower as a result of the pandemic.</w:t>
      </w:r>
    </w:p>
    <w:p w14:paraId="50C4A0BD" w14:textId="73078BFF" w:rsidR="00EA27E7" w:rsidRPr="00EA27E7" w:rsidRDefault="00EA27E7" w:rsidP="00CF0598">
      <w:pPr>
        <w:pStyle w:val="ListParagraph"/>
        <w:numPr>
          <w:ilvl w:val="0"/>
          <w:numId w:val="8"/>
        </w:numPr>
        <w:spacing w:after="60"/>
        <w:rPr>
          <w:color w:val="000000" w:themeColor="text1"/>
        </w:rPr>
      </w:pPr>
      <w:r w:rsidRPr="00157A4E">
        <w:rPr>
          <w:b/>
          <w:color w:val="FF0000"/>
        </w:rPr>
        <w:t>Retaining the old mortality assumptions</w:t>
      </w:r>
      <w:r w:rsidRPr="00157A4E">
        <w:rPr>
          <w:color w:val="FF0000"/>
        </w:rPr>
        <w:t xml:space="preserve"> would allow the extra claims in 2010 to emerge as an experience loss. </w:t>
      </w:r>
      <w:r w:rsidRPr="00157A4E">
        <w:rPr>
          <w:b/>
          <w:color w:val="FF0000"/>
        </w:rPr>
        <w:t>The extra claims could be treated as a one-off and not included in the best estimates</w:t>
      </w:r>
      <w:r w:rsidRPr="00157A4E">
        <w:rPr>
          <w:color w:val="FF0000"/>
        </w:rPr>
        <w:t>. This is similar to the concept of one-off expenses which are allowed for in AS1.04.</w:t>
      </w:r>
      <w:r w:rsidRPr="00EA27E7">
        <w:rPr>
          <w:color w:val="000000" w:themeColor="text1"/>
        </w:rPr>
        <w:t xml:space="preserve"> But AS1.04 does not mention one-offs in regard to other assumptions.</w:t>
      </w:r>
    </w:p>
    <w:p w14:paraId="5FB46E6D" w14:textId="0DC4D225" w:rsidR="008243D7" w:rsidRPr="00E879A7" w:rsidRDefault="00EA27E7" w:rsidP="00CF0598">
      <w:pPr>
        <w:pStyle w:val="ListParagraph"/>
        <w:numPr>
          <w:ilvl w:val="0"/>
          <w:numId w:val="8"/>
        </w:numPr>
        <w:spacing w:after="60"/>
        <w:rPr>
          <w:color w:val="FF0000"/>
        </w:rPr>
      </w:pPr>
      <w:r w:rsidRPr="00E879A7">
        <w:rPr>
          <w:color w:val="FF0000"/>
        </w:rPr>
        <w:t>The assumptions and choice of profit carrier should be discussed with:</w:t>
      </w:r>
    </w:p>
    <w:p w14:paraId="654149CC" w14:textId="77777777" w:rsidR="00EA27E7" w:rsidRPr="00E879A7" w:rsidRDefault="00EA27E7" w:rsidP="00CF0598">
      <w:pPr>
        <w:pStyle w:val="ListParagraph"/>
        <w:numPr>
          <w:ilvl w:val="1"/>
          <w:numId w:val="10"/>
        </w:numPr>
        <w:spacing w:after="0"/>
        <w:rPr>
          <w:color w:val="FF0000"/>
        </w:rPr>
      </w:pPr>
      <w:r w:rsidRPr="00E879A7">
        <w:rPr>
          <w:color w:val="FF0000"/>
        </w:rPr>
        <w:t>Auditors (as they will have to approve it)</w:t>
      </w:r>
    </w:p>
    <w:p w14:paraId="14B8FD77" w14:textId="5AB0115D" w:rsidR="00EA27E7" w:rsidRPr="00E879A7" w:rsidRDefault="00EA27E7" w:rsidP="00CF0598">
      <w:pPr>
        <w:pStyle w:val="ListParagraph"/>
        <w:numPr>
          <w:ilvl w:val="1"/>
          <w:numId w:val="10"/>
        </w:numPr>
        <w:spacing w:after="0"/>
        <w:rPr>
          <w:color w:val="FF0000"/>
        </w:rPr>
      </w:pPr>
      <w:r w:rsidRPr="00E879A7">
        <w:rPr>
          <w:color w:val="FF0000"/>
        </w:rPr>
        <w:t>Senior management (as they need to be aware of the effect on future profit emergence)</w:t>
      </w:r>
    </w:p>
    <w:p w14:paraId="2D2EB819" w14:textId="56ADF53D" w:rsidR="00EA27E7" w:rsidRPr="00E879A7" w:rsidRDefault="00EA27E7" w:rsidP="00CF0598">
      <w:pPr>
        <w:pStyle w:val="ListParagraph"/>
        <w:numPr>
          <w:ilvl w:val="1"/>
          <w:numId w:val="10"/>
        </w:numPr>
        <w:spacing w:after="0"/>
        <w:rPr>
          <w:color w:val="FF0000"/>
        </w:rPr>
      </w:pPr>
      <w:r w:rsidRPr="00E879A7">
        <w:rPr>
          <w:color w:val="FF0000"/>
        </w:rPr>
        <w:t>Other members of the actuarial profession.</w:t>
      </w:r>
    </w:p>
    <w:p w14:paraId="184E4B12" w14:textId="77777777" w:rsidR="00157A4E" w:rsidRDefault="00157A4E" w:rsidP="00157A4E">
      <w:pPr>
        <w:spacing w:after="0"/>
        <w:rPr>
          <w:color w:val="000000" w:themeColor="text1"/>
        </w:rPr>
      </w:pPr>
    </w:p>
    <w:p w14:paraId="2C13CC06" w14:textId="77777777" w:rsidR="00F86B36" w:rsidRDefault="00F86B36" w:rsidP="00F86B36">
      <w:pPr>
        <w:pStyle w:val="ListParagraph"/>
        <w:spacing w:after="60"/>
        <w:ind w:left="0"/>
        <w:rPr>
          <w:color w:val="000000" w:themeColor="text1"/>
        </w:rPr>
      </w:pPr>
      <w:r w:rsidRPr="00855F98">
        <w:rPr>
          <w:rFonts w:hint="eastAsia"/>
          <w:b/>
          <w:color w:val="000000" w:themeColor="text1"/>
        </w:rPr>
        <w:t>Q</w:t>
      </w:r>
      <w:r w:rsidRPr="00855F98">
        <w:rPr>
          <w:b/>
          <w:color w:val="000000" w:themeColor="text1"/>
        </w:rPr>
        <w:t>6</w:t>
      </w:r>
      <w:r>
        <w:rPr>
          <w:color w:val="000000" w:themeColor="text1"/>
        </w:rPr>
        <w:t xml:space="preserve"> a) </w:t>
      </w:r>
      <w:r w:rsidRPr="00855F98">
        <w:rPr>
          <w:i/>
          <w:color w:val="000000" w:themeColor="text1"/>
        </w:rPr>
        <w:t xml:space="preserve">The key differences </w:t>
      </w:r>
      <w:r>
        <w:rPr>
          <w:i/>
          <w:color w:val="000000" w:themeColor="text1"/>
        </w:rPr>
        <w:t xml:space="preserve">between MCEV and </w:t>
      </w:r>
      <w:r w:rsidRPr="00855F98">
        <w:rPr>
          <w:i/>
          <w:color w:val="000000" w:themeColor="text1"/>
        </w:rPr>
        <w:t>EV are:</w:t>
      </w:r>
    </w:p>
    <w:p w14:paraId="0E86DDF8" w14:textId="77777777" w:rsidR="00F86B36" w:rsidRPr="008B65FD" w:rsidRDefault="00F86B36" w:rsidP="00F86B36">
      <w:pPr>
        <w:pStyle w:val="ListParagraph"/>
        <w:numPr>
          <w:ilvl w:val="0"/>
          <w:numId w:val="13"/>
        </w:numPr>
        <w:spacing w:after="60"/>
        <w:rPr>
          <w:color w:val="000000" w:themeColor="text1"/>
        </w:rPr>
      </w:pPr>
      <w:r w:rsidRPr="008B65FD">
        <w:rPr>
          <w:b/>
          <w:color w:val="000000" w:themeColor="text1"/>
        </w:rPr>
        <w:t>Discount rate:</w:t>
      </w:r>
      <w:r>
        <w:rPr>
          <w:color w:val="000000" w:themeColor="text1"/>
        </w:rPr>
        <w:t xml:space="preserve"> </w:t>
      </w:r>
      <w:r w:rsidRPr="008B65FD">
        <w:rPr>
          <w:color w:val="000000" w:themeColor="text1"/>
        </w:rPr>
        <w:t xml:space="preserve">the use of a </w:t>
      </w:r>
      <w:r w:rsidRPr="008B65FD">
        <w:rPr>
          <w:color w:val="FF0000"/>
        </w:rPr>
        <w:t xml:space="preserve">risk free rate of investment return instead of best estimate </w:t>
      </w:r>
    </w:p>
    <w:p w14:paraId="66FE3A20" w14:textId="5BB9A815" w:rsidR="00F86B36" w:rsidRPr="008B65FD" w:rsidRDefault="00AC65F2" w:rsidP="00AC65F2">
      <w:pPr>
        <w:pStyle w:val="ListParagraph"/>
        <w:numPr>
          <w:ilvl w:val="1"/>
          <w:numId w:val="13"/>
        </w:numPr>
        <w:spacing w:after="60"/>
        <w:rPr>
          <w:color w:val="FF0000"/>
        </w:rPr>
      </w:pPr>
      <w:r>
        <w:rPr>
          <w:color w:val="FF0000"/>
        </w:rPr>
        <w:t>T</w:t>
      </w:r>
      <w:r w:rsidR="00F86B36" w:rsidRPr="008B65FD">
        <w:rPr>
          <w:color w:val="FF0000"/>
        </w:rPr>
        <w:t>he discount rate will be the risk free rate plus 1%. Under the traditional method, the discount rate would be risk free plus a margin of typically 3% to 5%, reflecting an equity risk premium.</w:t>
      </w:r>
    </w:p>
    <w:p w14:paraId="4208BEF5" w14:textId="77777777" w:rsidR="00F86B36" w:rsidRPr="008B65FD" w:rsidRDefault="00F86B36" w:rsidP="00F86B36">
      <w:pPr>
        <w:pStyle w:val="ListParagraph"/>
        <w:numPr>
          <w:ilvl w:val="0"/>
          <w:numId w:val="13"/>
        </w:numPr>
        <w:spacing w:after="60"/>
        <w:rPr>
          <w:color w:val="FF0000"/>
        </w:rPr>
      </w:pPr>
      <w:r w:rsidRPr="008B65FD">
        <w:rPr>
          <w:b/>
          <w:color w:val="FF0000"/>
        </w:rPr>
        <w:t>TVFOG:</w:t>
      </w:r>
      <w:r>
        <w:rPr>
          <w:color w:val="FF0000"/>
        </w:rPr>
        <w:t xml:space="preserve"> </w:t>
      </w:r>
      <w:r w:rsidRPr="008B65FD">
        <w:rPr>
          <w:color w:val="FF0000"/>
        </w:rPr>
        <w:t>There is an explicit deduction of the time value of financial options and guarantees for MCEV. Under EV the allowance for the value of financial options and guarantees is implicit in the choice of discount rate.</w:t>
      </w:r>
    </w:p>
    <w:p w14:paraId="649294F8" w14:textId="77777777" w:rsidR="00F86B36" w:rsidRPr="00AC65F2" w:rsidRDefault="00F86B36" w:rsidP="00F86B36">
      <w:pPr>
        <w:pStyle w:val="ListParagraph"/>
        <w:numPr>
          <w:ilvl w:val="0"/>
          <w:numId w:val="13"/>
        </w:numPr>
        <w:spacing w:after="60"/>
        <w:rPr>
          <w:b/>
          <w:color w:val="FF0000"/>
        </w:rPr>
      </w:pPr>
      <w:r w:rsidRPr="008B65FD">
        <w:rPr>
          <w:b/>
          <w:color w:val="000000" w:themeColor="text1"/>
        </w:rPr>
        <w:t>VIF:</w:t>
      </w:r>
      <w:r>
        <w:rPr>
          <w:color w:val="000000" w:themeColor="text1"/>
        </w:rPr>
        <w:t xml:space="preserve"> </w:t>
      </w:r>
      <w:r w:rsidRPr="008B65FD">
        <w:rPr>
          <w:color w:val="000000" w:themeColor="text1"/>
        </w:rPr>
        <w:t>The VIF for MCEV only includes future profits (excluding investment returns</w:t>
      </w:r>
      <w:r>
        <w:rPr>
          <w:color w:val="000000" w:themeColor="text1"/>
        </w:rPr>
        <w:t xml:space="preserve"> </w:t>
      </w:r>
      <w:r w:rsidRPr="008B65FD">
        <w:rPr>
          <w:color w:val="000000" w:themeColor="text1"/>
        </w:rPr>
        <w:t>on r</w:t>
      </w:r>
      <w:r>
        <w:rPr>
          <w:color w:val="000000" w:themeColor="text1"/>
        </w:rPr>
        <w:t xml:space="preserve">equired capital). </w:t>
      </w:r>
      <w:r w:rsidRPr="00AC65F2">
        <w:rPr>
          <w:b/>
          <w:color w:val="FF0000"/>
        </w:rPr>
        <w:t>For EV the VIF includes investment returns (net of tax and investment expenses) on regulatory capital and the present value of releases of regulatory capital.</w:t>
      </w:r>
    </w:p>
    <w:p w14:paraId="6669D15F" w14:textId="77777777" w:rsidR="00F86B36" w:rsidRPr="008B65FD" w:rsidRDefault="00F86B36" w:rsidP="00F86B36">
      <w:pPr>
        <w:pStyle w:val="ListParagraph"/>
        <w:numPr>
          <w:ilvl w:val="0"/>
          <w:numId w:val="13"/>
        </w:numPr>
        <w:spacing w:after="60"/>
        <w:rPr>
          <w:color w:val="FF0000"/>
        </w:rPr>
      </w:pPr>
      <w:r w:rsidRPr="008B65FD">
        <w:rPr>
          <w:b/>
          <w:color w:val="000000" w:themeColor="text1"/>
        </w:rPr>
        <w:t>ANW:</w:t>
      </w:r>
      <w:r>
        <w:rPr>
          <w:color w:val="000000" w:themeColor="text1"/>
        </w:rPr>
        <w:t xml:space="preserve"> </w:t>
      </w:r>
      <w:r w:rsidRPr="008B65FD">
        <w:rPr>
          <w:color w:val="000000" w:themeColor="text1"/>
        </w:rPr>
        <w:t xml:space="preserve">The ANW for MCEV includes both required capital and surplus capital. </w:t>
      </w:r>
      <w:r w:rsidRPr="008759DA">
        <w:rPr>
          <w:b/>
          <w:color w:val="FF0000"/>
        </w:rPr>
        <w:t>The ANW for EV only includes surplus capital.</w:t>
      </w:r>
    </w:p>
    <w:p w14:paraId="04921D34" w14:textId="77777777" w:rsidR="00F86B36" w:rsidRPr="008B65FD" w:rsidRDefault="00F86B36" w:rsidP="00F86B36">
      <w:pPr>
        <w:pStyle w:val="ListParagraph"/>
        <w:numPr>
          <w:ilvl w:val="0"/>
          <w:numId w:val="13"/>
        </w:numPr>
        <w:spacing w:after="60"/>
        <w:rPr>
          <w:color w:val="FF0000"/>
        </w:rPr>
      </w:pPr>
      <w:r w:rsidRPr="008B65FD">
        <w:rPr>
          <w:color w:val="FF0000"/>
        </w:rPr>
        <w:t>The changed definitions of VIF and ANW don’t affect the total EV. It is just a different way of splitting it.</w:t>
      </w:r>
    </w:p>
    <w:p w14:paraId="747718BF" w14:textId="77777777" w:rsidR="00F86B36" w:rsidRPr="008759DA" w:rsidRDefault="00F86B36" w:rsidP="00F86B36">
      <w:pPr>
        <w:pStyle w:val="ListParagraph"/>
        <w:numPr>
          <w:ilvl w:val="0"/>
          <w:numId w:val="13"/>
        </w:numPr>
        <w:spacing w:after="60"/>
        <w:rPr>
          <w:b/>
          <w:color w:val="FF0000"/>
          <w:lang w:val="en-GB"/>
        </w:rPr>
      </w:pPr>
      <w:r w:rsidRPr="008B65FD">
        <w:rPr>
          <w:b/>
          <w:color w:val="FF0000"/>
        </w:rPr>
        <w:t>Cost of capital:</w:t>
      </w:r>
      <w:r w:rsidRPr="008B65FD">
        <w:rPr>
          <w:color w:val="FF0000"/>
        </w:rPr>
        <w:t xml:space="preserve"> MCEV includes an explicit cost of capital. </w:t>
      </w:r>
      <w:r w:rsidRPr="008759DA">
        <w:rPr>
          <w:b/>
          <w:color w:val="FF0000"/>
        </w:rPr>
        <w:t>For EV it is implicitly included in the VIF.</w:t>
      </w:r>
    </w:p>
    <w:p w14:paraId="17FD54D2" w14:textId="77777777" w:rsidR="00F86B36" w:rsidRDefault="00F86B36" w:rsidP="00F86B36">
      <w:pPr>
        <w:pStyle w:val="ListParagraph"/>
        <w:spacing w:after="60"/>
        <w:ind w:left="0"/>
        <w:rPr>
          <w:color w:val="000000" w:themeColor="text1"/>
        </w:rPr>
      </w:pPr>
    </w:p>
    <w:p w14:paraId="6CABB24F" w14:textId="79242627" w:rsidR="00F86B36" w:rsidRDefault="00F86B36" w:rsidP="00F86B36">
      <w:pPr>
        <w:pStyle w:val="ListParagraph"/>
        <w:spacing w:after="60"/>
        <w:ind w:left="0"/>
        <w:rPr>
          <w:color w:val="000000" w:themeColor="text1"/>
        </w:rPr>
      </w:pPr>
      <w:r>
        <w:rPr>
          <w:color w:val="000000" w:themeColor="text1"/>
        </w:rPr>
        <w:t xml:space="preserve">6b) </w:t>
      </w:r>
      <w:r w:rsidR="00E10C98" w:rsidRPr="00E10C98">
        <w:rPr>
          <w:i/>
          <w:color w:val="000000" w:themeColor="text1"/>
        </w:rPr>
        <w:t>Roll-forwards MCEV:</w:t>
      </w:r>
    </w:p>
    <w:p w14:paraId="11E47F7B" w14:textId="77777777" w:rsidR="00F86B36" w:rsidRDefault="00F86B36" w:rsidP="00F86B36">
      <w:pPr>
        <w:pStyle w:val="ListParagraph"/>
        <w:numPr>
          <w:ilvl w:val="0"/>
          <w:numId w:val="14"/>
        </w:numPr>
        <w:spacing w:after="60"/>
        <w:rPr>
          <w:color w:val="000000" w:themeColor="text1"/>
        </w:rPr>
      </w:pPr>
      <w:r w:rsidRPr="00062C98">
        <w:rPr>
          <w:color w:val="000000" w:themeColor="text1"/>
        </w:rPr>
        <w:t xml:space="preserve">VIF is discounted at the risk free rate. Deduct the profit emerging. </w:t>
      </w:r>
    </w:p>
    <w:p w14:paraId="05FB520D" w14:textId="77777777" w:rsidR="00F86B36" w:rsidRDefault="00F86B36" w:rsidP="00F86B36">
      <w:pPr>
        <w:pStyle w:val="ListParagraph"/>
        <w:spacing w:after="60"/>
        <w:ind w:firstLine="720"/>
        <w:rPr>
          <w:color w:val="000000" w:themeColor="text1"/>
        </w:rPr>
      </w:pPr>
      <w:r w:rsidRPr="00062C98">
        <w:rPr>
          <w:color w:val="000000" w:themeColor="text1"/>
        </w:rPr>
        <w:t>VIF at end of year</w:t>
      </w:r>
      <w:r>
        <w:rPr>
          <w:color w:val="000000" w:themeColor="text1"/>
        </w:rPr>
        <w:t xml:space="preserve"> = 972 * (1+5%) – 66</w:t>
      </w:r>
    </w:p>
    <w:p w14:paraId="15877153" w14:textId="77777777" w:rsidR="00F86B36" w:rsidRPr="00062C98" w:rsidRDefault="00F86B36" w:rsidP="00F86B36">
      <w:pPr>
        <w:pStyle w:val="ListParagraph"/>
        <w:numPr>
          <w:ilvl w:val="0"/>
          <w:numId w:val="14"/>
        </w:numPr>
        <w:spacing w:after="60"/>
        <w:rPr>
          <w:color w:val="000000" w:themeColor="text1"/>
          <w:lang w:val="en-GB"/>
        </w:rPr>
      </w:pPr>
      <w:r w:rsidRPr="00062C98">
        <w:rPr>
          <w:color w:val="000000" w:themeColor="text1"/>
          <w:lang w:val="en-GB"/>
        </w:rPr>
        <w:t>The ANW rolls up with interest net of tax. Add the profit emerging.</w:t>
      </w:r>
    </w:p>
    <w:p w14:paraId="08134443" w14:textId="77777777" w:rsidR="00F86B36" w:rsidRDefault="00F86B36" w:rsidP="00F86B36">
      <w:pPr>
        <w:pStyle w:val="ListParagraph"/>
        <w:spacing w:after="60"/>
        <w:ind w:firstLine="720"/>
        <w:rPr>
          <w:color w:val="000000" w:themeColor="text1"/>
        </w:rPr>
      </w:pPr>
      <w:r>
        <w:rPr>
          <w:color w:val="000000" w:themeColor="text1"/>
        </w:rPr>
        <w:t xml:space="preserve">ANW </w:t>
      </w:r>
      <w:r w:rsidRPr="00062C98">
        <w:rPr>
          <w:color w:val="000000" w:themeColor="text1"/>
        </w:rPr>
        <w:t>at end of year</w:t>
      </w:r>
      <w:r>
        <w:rPr>
          <w:color w:val="000000" w:themeColor="text1"/>
        </w:rPr>
        <w:t xml:space="preserve"> = 275 * (1+5%) + 66</w:t>
      </w:r>
    </w:p>
    <w:p w14:paraId="662E8046" w14:textId="77777777" w:rsidR="00F86B36" w:rsidRPr="00062C98" w:rsidRDefault="00F86B36" w:rsidP="00F86B36">
      <w:pPr>
        <w:pStyle w:val="ListParagraph"/>
        <w:numPr>
          <w:ilvl w:val="0"/>
          <w:numId w:val="14"/>
        </w:numPr>
        <w:spacing w:after="60"/>
        <w:rPr>
          <w:color w:val="000000" w:themeColor="text1"/>
        </w:rPr>
      </w:pPr>
      <w:r w:rsidRPr="00062C98">
        <w:rPr>
          <w:color w:val="000000" w:themeColor="text1"/>
        </w:rPr>
        <w:t xml:space="preserve">The </w:t>
      </w:r>
      <w:proofErr w:type="spellStart"/>
      <w:r w:rsidRPr="00062C98">
        <w:rPr>
          <w:color w:val="000000" w:themeColor="text1"/>
        </w:rPr>
        <w:t>CoC</w:t>
      </w:r>
      <w:proofErr w:type="spellEnd"/>
      <w:r w:rsidRPr="00062C98">
        <w:rPr>
          <w:color w:val="000000" w:themeColor="text1"/>
        </w:rPr>
        <w:t xml:space="preserve"> at the end of the year can be deduced as follows:</w:t>
      </w:r>
    </w:p>
    <w:p w14:paraId="20FBF7A4" w14:textId="77777777" w:rsidR="00F86B36" w:rsidRDefault="00F86B36" w:rsidP="00F86B36">
      <w:pPr>
        <w:pStyle w:val="ListParagraph"/>
        <w:spacing w:after="60"/>
        <w:rPr>
          <w:color w:val="000000" w:themeColor="text1"/>
        </w:rPr>
      </w:pPr>
      <w:proofErr w:type="gramStart"/>
      <w:r w:rsidRPr="00062C98">
        <w:rPr>
          <w:color w:val="000000" w:themeColor="text1"/>
        </w:rPr>
        <w:t xml:space="preserve">The value of distributable profits (VIF – </w:t>
      </w:r>
      <w:proofErr w:type="spellStart"/>
      <w:r w:rsidRPr="00062C98">
        <w:rPr>
          <w:color w:val="000000" w:themeColor="text1"/>
        </w:rPr>
        <w:t>CoC</w:t>
      </w:r>
      <w:proofErr w:type="spellEnd"/>
      <w:r w:rsidRPr="00062C98">
        <w:rPr>
          <w:color w:val="000000" w:themeColor="text1"/>
        </w:rPr>
        <w:t xml:space="preserve"> + RC) rolls up at the risk free rate plus the 1% margin.</w:t>
      </w:r>
      <w:proofErr w:type="gramEnd"/>
      <w:r w:rsidRPr="00062C98">
        <w:rPr>
          <w:color w:val="000000" w:themeColor="text1"/>
        </w:rPr>
        <w:t xml:space="preserve"> The VIF rolls up at the risk free rate. The RC rolls up at the risk free rate net of tax. </w:t>
      </w:r>
      <w:proofErr w:type="spellStart"/>
      <w:r w:rsidRPr="00062C98">
        <w:rPr>
          <w:color w:val="000000" w:themeColor="text1"/>
        </w:rPr>
        <w:t>CoC</w:t>
      </w:r>
      <w:proofErr w:type="spellEnd"/>
      <w:r w:rsidRPr="00062C98">
        <w:rPr>
          <w:color w:val="000000" w:themeColor="text1"/>
        </w:rPr>
        <w:t xml:space="preserve"> can be calculated as a balancing item</w:t>
      </w:r>
    </w:p>
    <w:p w14:paraId="7D580BDE" w14:textId="77777777" w:rsidR="00F86B36" w:rsidRDefault="00F86B36" w:rsidP="00F86B36">
      <w:pPr>
        <w:pStyle w:val="ListParagraph"/>
        <w:spacing w:after="60"/>
        <w:rPr>
          <w:color w:val="000000" w:themeColor="text1"/>
        </w:rPr>
      </w:pPr>
      <w:proofErr w:type="spellStart"/>
      <w:r>
        <w:rPr>
          <w:color w:val="000000" w:themeColor="text1"/>
        </w:rPr>
        <w:t>CoC</w:t>
      </w:r>
      <w:proofErr w:type="spellEnd"/>
      <w:r>
        <w:rPr>
          <w:color w:val="000000" w:themeColor="text1"/>
        </w:rPr>
        <w:t xml:space="preserve"> at end of year = [(972–167+220) * (1+5%+1%) – (972+220) * (1+5%)] + 220*5%*30%</w:t>
      </w:r>
    </w:p>
    <w:p w14:paraId="35CC33D1" w14:textId="77777777" w:rsidR="00F86B36" w:rsidRDefault="00F86B36" w:rsidP="00F86B36">
      <w:pPr>
        <w:pStyle w:val="ListParagraph"/>
        <w:spacing w:after="60"/>
        <w:ind w:left="0"/>
        <w:rPr>
          <w:color w:val="000000" w:themeColor="text1"/>
        </w:rPr>
      </w:pPr>
    </w:p>
    <w:p w14:paraId="75ECAF9D" w14:textId="77777777" w:rsidR="00F86B36" w:rsidRPr="00C1711C" w:rsidRDefault="00F86B36" w:rsidP="00F86B36">
      <w:pPr>
        <w:pStyle w:val="ListParagraph"/>
        <w:spacing w:after="60"/>
        <w:ind w:left="0"/>
        <w:rPr>
          <w:i/>
          <w:color w:val="000000" w:themeColor="text1"/>
        </w:rPr>
      </w:pPr>
      <w:r>
        <w:rPr>
          <w:color w:val="000000" w:themeColor="text1"/>
        </w:rPr>
        <w:t>6c)</w:t>
      </w:r>
      <w:r w:rsidRPr="004C3982">
        <w:t xml:space="preserve"> </w:t>
      </w:r>
      <w:r>
        <w:rPr>
          <w:i/>
          <w:color w:val="000000" w:themeColor="text1"/>
        </w:rPr>
        <w:t xml:space="preserve">Comparison of MCEV and </w:t>
      </w:r>
      <w:r w:rsidRPr="00C1711C">
        <w:rPr>
          <w:i/>
          <w:color w:val="000000" w:themeColor="text1"/>
        </w:rPr>
        <w:t>EV</w:t>
      </w:r>
    </w:p>
    <w:p w14:paraId="141A204F" w14:textId="77777777" w:rsidR="00F86B36" w:rsidRPr="00870CC9" w:rsidRDefault="00F86B36" w:rsidP="00F86B36">
      <w:pPr>
        <w:spacing w:after="60"/>
        <w:rPr>
          <w:b/>
          <w:color w:val="000000" w:themeColor="text1"/>
        </w:rPr>
      </w:pPr>
      <w:r w:rsidRPr="00870CC9">
        <w:rPr>
          <w:b/>
          <w:color w:val="000000" w:themeColor="text1"/>
        </w:rPr>
        <w:t>Participating business:</w:t>
      </w:r>
    </w:p>
    <w:p w14:paraId="49563D5B" w14:textId="77777777" w:rsidR="00F86B36" w:rsidRPr="00B03C75" w:rsidRDefault="00F86B36" w:rsidP="00F86B36">
      <w:pPr>
        <w:pStyle w:val="ListParagraph"/>
        <w:numPr>
          <w:ilvl w:val="0"/>
          <w:numId w:val="15"/>
        </w:numPr>
        <w:spacing w:after="60"/>
        <w:rPr>
          <w:b/>
          <w:color w:val="FF0000"/>
        </w:rPr>
      </w:pPr>
      <w:r w:rsidRPr="00B03C75">
        <w:rPr>
          <w:b/>
          <w:color w:val="FF0000"/>
        </w:rPr>
        <w:t>The main factor determining the future profitability of participating business is the level of future investment returns.</w:t>
      </w:r>
    </w:p>
    <w:p w14:paraId="0C7CB0EA" w14:textId="77777777" w:rsidR="00F86B36" w:rsidRPr="00B03C75" w:rsidRDefault="00F86B36" w:rsidP="00F86B36">
      <w:pPr>
        <w:pStyle w:val="ListParagraph"/>
        <w:numPr>
          <w:ilvl w:val="0"/>
          <w:numId w:val="15"/>
        </w:numPr>
        <w:spacing w:after="60"/>
        <w:rPr>
          <w:color w:val="FF0000"/>
        </w:rPr>
      </w:pPr>
      <w:r w:rsidRPr="00B03C75">
        <w:rPr>
          <w:color w:val="FF0000"/>
        </w:rPr>
        <w:t xml:space="preserve">If there </w:t>
      </w:r>
      <w:proofErr w:type="gramStart"/>
      <w:r w:rsidRPr="00B03C75">
        <w:rPr>
          <w:color w:val="FF0000"/>
        </w:rPr>
        <w:t>is</w:t>
      </w:r>
      <w:proofErr w:type="gramEnd"/>
      <w:r w:rsidRPr="00B03C75">
        <w:rPr>
          <w:color w:val="FF0000"/>
        </w:rPr>
        <w:t xml:space="preserve"> a significant proportion of equities and/or property in the asset mix backing the participating business, the MCEV will use a much lower investment return assumption than the traditional EV.</w:t>
      </w:r>
    </w:p>
    <w:p w14:paraId="269BC738" w14:textId="77777777" w:rsidR="00F86B36" w:rsidRPr="00B03C75" w:rsidRDefault="00F86B36" w:rsidP="00F86B36">
      <w:pPr>
        <w:pStyle w:val="ListParagraph"/>
        <w:numPr>
          <w:ilvl w:val="0"/>
          <w:numId w:val="15"/>
        </w:numPr>
        <w:spacing w:after="60"/>
        <w:rPr>
          <w:color w:val="FF0000"/>
        </w:rPr>
      </w:pPr>
      <w:r w:rsidRPr="00B03C75">
        <w:rPr>
          <w:color w:val="FF0000"/>
        </w:rPr>
        <w:t>In addition, there is a deduction for the time value of financial options and guarantees. This could be significant if there are equities and/or property in the asset mix.</w:t>
      </w:r>
    </w:p>
    <w:p w14:paraId="41366A63" w14:textId="77777777" w:rsidR="00F86B36" w:rsidRPr="00B03C75" w:rsidRDefault="00F86B36" w:rsidP="00F86B36">
      <w:pPr>
        <w:pStyle w:val="ListParagraph"/>
        <w:numPr>
          <w:ilvl w:val="0"/>
          <w:numId w:val="15"/>
        </w:numPr>
        <w:spacing w:after="60"/>
        <w:rPr>
          <w:color w:val="FF0000"/>
        </w:rPr>
      </w:pPr>
      <w:r w:rsidRPr="00B03C75">
        <w:rPr>
          <w:color w:val="FF0000"/>
        </w:rPr>
        <w:lastRenderedPageBreak/>
        <w:t>The impact of lower future investment returns and the deduction for TVFOG are likely to be bigger than the impact of the lower discount rate (unless the asset mix if predominantly fixed interest).</w:t>
      </w:r>
    </w:p>
    <w:p w14:paraId="5F9C36E6" w14:textId="77777777" w:rsidR="00F86B36" w:rsidRPr="004C3982" w:rsidRDefault="00F86B36" w:rsidP="00F86B36">
      <w:pPr>
        <w:pStyle w:val="ListParagraph"/>
        <w:numPr>
          <w:ilvl w:val="0"/>
          <w:numId w:val="15"/>
        </w:numPr>
        <w:spacing w:after="60"/>
        <w:rPr>
          <w:color w:val="000000" w:themeColor="text1"/>
        </w:rPr>
      </w:pPr>
      <w:r w:rsidRPr="004C3982">
        <w:rPr>
          <w:color w:val="000000" w:themeColor="text1"/>
        </w:rPr>
        <w:t>The MCEV is expected to be lower than the traditional EV.</w:t>
      </w:r>
    </w:p>
    <w:p w14:paraId="06F2F4B8" w14:textId="77777777" w:rsidR="00F86B36" w:rsidRPr="00B03C75" w:rsidRDefault="00F86B36" w:rsidP="00F86B36">
      <w:pPr>
        <w:spacing w:after="60"/>
        <w:rPr>
          <w:b/>
          <w:color w:val="000000" w:themeColor="text1"/>
        </w:rPr>
      </w:pPr>
      <w:r w:rsidRPr="00B03C75">
        <w:rPr>
          <w:b/>
          <w:color w:val="000000" w:themeColor="text1"/>
        </w:rPr>
        <w:t>Investment linked:</w:t>
      </w:r>
    </w:p>
    <w:p w14:paraId="31A2DE2F" w14:textId="77777777" w:rsidR="00F86B36" w:rsidRPr="00B03C75" w:rsidRDefault="00F86B36" w:rsidP="00F86B36">
      <w:pPr>
        <w:pStyle w:val="ListParagraph"/>
        <w:numPr>
          <w:ilvl w:val="0"/>
          <w:numId w:val="15"/>
        </w:numPr>
        <w:spacing w:after="60"/>
        <w:rPr>
          <w:b/>
          <w:color w:val="FF0000"/>
        </w:rPr>
      </w:pPr>
      <w:r w:rsidRPr="00B03C75">
        <w:rPr>
          <w:b/>
          <w:color w:val="FF0000"/>
        </w:rPr>
        <w:t>The profitability of investment linked business is determined by fees less expenses.</w:t>
      </w:r>
    </w:p>
    <w:p w14:paraId="50327269" w14:textId="77777777" w:rsidR="00F86B36" w:rsidRPr="00B03C75" w:rsidRDefault="00F86B36" w:rsidP="00F86B36">
      <w:pPr>
        <w:pStyle w:val="ListParagraph"/>
        <w:numPr>
          <w:ilvl w:val="0"/>
          <w:numId w:val="15"/>
        </w:numPr>
        <w:spacing w:after="60"/>
        <w:rPr>
          <w:color w:val="FF0000"/>
        </w:rPr>
      </w:pPr>
      <w:r w:rsidRPr="00B03C75">
        <w:rPr>
          <w:color w:val="FF0000"/>
        </w:rPr>
        <w:t>Asset based fees are typically the main contributor to profits.</w:t>
      </w:r>
    </w:p>
    <w:p w14:paraId="3A5C0EF8" w14:textId="77777777" w:rsidR="00F86B36" w:rsidRPr="00B03C75" w:rsidRDefault="00F86B36" w:rsidP="00F86B36">
      <w:pPr>
        <w:pStyle w:val="ListParagraph"/>
        <w:numPr>
          <w:ilvl w:val="0"/>
          <w:numId w:val="15"/>
        </w:numPr>
        <w:spacing w:after="60"/>
        <w:rPr>
          <w:color w:val="000000" w:themeColor="text1"/>
        </w:rPr>
      </w:pPr>
      <w:r w:rsidRPr="00B03C75">
        <w:rPr>
          <w:color w:val="000000" w:themeColor="text1"/>
        </w:rPr>
        <w:t xml:space="preserve">Under MCEV the asset based fees and investment management expenses will </w:t>
      </w:r>
      <w:r>
        <w:rPr>
          <w:color w:val="000000" w:themeColor="text1"/>
        </w:rPr>
        <w:t xml:space="preserve">be </w:t>
      </w:r>
      <w:r w:rsidRPr="00B03C75">
        <w:rPr>
          <w:color w:val="000000" w:themeColor="text1"/>
        </w:rPr>
        <w:t>projected to grow at a lower rate than for traditional EV (if typically a</w:t>
      </w:r>
      <w:r>
        <w:rPr>
          <w:color w:val="000000" w:themeColor="text1"/>
        </w:rPr>
        <w:t xml:space="preserve"> </w:t>
      </w:r>
      <w:r w:rsidRPr="00B03C75">
        <w:rPr>
          <w:color w:val="000000" w:themeColor="text1"/>
        </w:rPr>
        <w:t>majority of the assets are equities and property).</w:t>
      </w:r>
    </w:p>
    <w:p w14:paraId="78B71E5A" w14:textId="77777777" w:rsidR="00F86B36" w:rsidRPr="00B03C75" w:rsidRDefault="00F86B36" w:rsidP="00F86B36">
      <w:pPr>
        <w:pStyle w:val="ListParagraph"/>
        <w:numPr>
          <w:ilvl w:val="0"/>
          <w:numId w:val="15"/>
        </w:numPr>
        <w:spacing w:after="60"/>
        <w:rPr>
          <w:color w:val="000000" w:themeColor="text1"/>
        </w:rPr>
      </w:pPr>
      <w:r w:rsidRPr="005061C5">
        <w:rPr>
          <w:color w:val="FF0000"/>
        </w:rPr>
        <w:t xml:space="preserve">However, the lower discount rate will offset the effect of lower future investment returns. </w:t>
      </w:r>
      <w:r w:rsidRPr="00B03C75">
        <w:rPr>
          <w:color w:val="000000" w:themeColor="text1"/>
        </w:rPr>
        <w:t>The present value of asset based fees less expenses will be little different for MCEV and TEV. The precise relationship will depend on the asset mix and the discount margin that was used for the TEV.</w:t>
      </w:r>
    </w:p>
    <w:p w14:paraId="24144FDE" w14:textId="77777777" w:rsidR="00F86B36" w:rsidRPr="00107E2A" w:rsidRDefault="00F86B36" w:rsidP="00F86B36">
      <w:pPr>
        <w:pStyle w:val="ListParagraph"/>
        <w:numPr>
          <w:ilvl w:val="0"/>
          <w:numId w:val="15"/>
        </w:numPr>
        <w:spacing w:after="60"/>
        <w:rPr>
          <w:color w:val="FF0000"/>
        </w:rPr>
      </w:pPr>
      <w:r w:rsidRPr="00107E2A">
        <w:rPr>
          <w:color w:val="FF0000"/>
        </w:rPr>
        <w:t>Some fees and expenses are a percentage of premium or a fixed dollar amount per policy (perhaps increasing with CPI). The change in the investment return assumption for MCEV will have no effect on the projection of these fees and expenses. The lower discount rate will increase their present value. To the extent that there is any mismatch between these fees and expenses the MCEV could be different from the traditional EV.</w:t>
      </w:r>
    </w:p>
    <w:p w14:paraId="3A48C427" w14:textId="77777777" w:rsidR="00F86B36" w:rsidRPr="00C1711C" w:rsidRDefault="00F86B36" w:rsidP="00F86B36">
      <w:pPr>
        <w:pStyle w:val="ListParagraph"/>
        <w:numPr>
          <w:ilvl w:val="0"/>
          <w:numId w:val="15"/>
        </w:numPr>
        <w:spacing w:after="60"/>
        <w:rPr>
          <w:color w:val="000000" w:themeColor="text1"/>
        </w:rPr>
      </w:pPr>
      <w:r w:rsidRPr="00C1711C">
        <w:rPr>
          <w:color w:val="000000" w:themeColor="text1"/>
        </w:rPr>
        <w:t>The MCEV is expected to be similar to the traditional EV.</w:t>
      </w:r>
    </w:p>
    <w:p w14:paraId="1499D11B" w14:textId="77777777" w:rsidR="00F86B36" w:rsidRPr="00107E2A" w:rsidRDefault="00F86B36" w:rsidP="00F86B36">
      <w:pPr>
        <w:spacing w:after="60"/>
        <w:rPr>
          <w:b/>
          <w:color w:val="000000" w:themeColor="text1"/>
        </w:rPr>
      </w:pPr>
      <w:r w:rsidRPr="00107E2A">
        <w:rPr>
          <w:b/>
          <w:color w:val="000000" w:themeColor="text1"/>
        </w:rPr>
        <w:t>Lump Sum Term:</w:t>
      </w:r>
    </w:p>
    <w:p w14:paraId="6BF7B07A" w14:textId="77777777" w:rsidR="00F86B36" w:rsidRPr="00107E2A" w:rsidRDefault="00F86B36" w:rsidP="00F86B36">
      <w:pPr>
        <w:pStyle w:val="ListParagraph"/>
        <w:numPr>
          <w:ilvl w:val="0"/>
          <w:numId w:val="15"/>
        </w:numPr>
        <w:spacing w:after="60"/>
        <w:rPr>
          <w:b/>
          <w:color w:val="FF0000"/>
        </w:rPr>
      </w:pPr>
      <w:r w:rsidRPr="00107E2A">
        <w:rPr>
          <w:b/>
          <w:color w:val="FF0000"/>
        </w:rPr>
        <w:t>The assets required for lump sum term business are typically quite small, since the capital adequacy requirement is usually driven by the CTV which will be small.</w:t>
      </w:r>
    </w:p>
    <w:p w14:paraId="183A36F4" w14:textId="77777777" w:rsidR="00F86B36" w:rsidRPr="00C1711C" w:rsidRDefault="00F86B36" w:rsidP="00F86B36">
      <w:pPr>
        <w:pStyle w:val="ListParagraph"/>
        <w:numPr>
          <w:ilvl w:val="0"/>
          <w:numId w:val="15"/>
        </w:numPr>
        <w:spacing w:after="60"/>
        <w:rPr>
          <w:color w:val="000000" w:themeColor="text1"/>
        </w:rPr>
      </w:pPr>
      <w:r w:rsidRPr="00C1711C">
        <w:rPr>
          <w:color w:val="000000" w:themeColor="text1"/>
        </w:rPr>
        <w:t>In addition</w:t>
      </w:r>
      <w:r>
        <w:rPr>
          <w:color w:val="000000" w:themeColor="text1"/>
        </w:rPr>
        <w:t>,</w:t>
      </w:r>
      <w:r w:rsidRPr="00C1711C">
        <w:rPr>
          <w:color w:val="000000" w:themeColor="text1"/>
        </w:rPr>
        <w:t xml:space="preserve"> the asset mix is typically mainly fixed interest.</w:t>
      </w:r>
    </w:p>
    <w:p w14:paraId="0C5AE112" w14:textId="77777777" w:rsidR="00F86B36" w:rsidRPr="00107E2A" w:rsidRDefault="00F86B36" w:rsidP="00F86B36">
      <w:pPr>
        <w:pStyle w:val="ListParagraph"/>
        <w:numPr>
          <w:ilvl w:val="0"/>
          <w:numId w:val="15"/>
        </w:numPr>
        <w:spacing w:after="60"/>
        <w:rPr>
          <w:color w:val="FF0000"/>
        </w:rPr>
      </w:pPr>
      <w:r w:rsidRPr="00107E2A">
        <w:rPr>
          <w:color w:val="FF0000"/>
        </w:rPr>
        <w:t>The change to the investment return assumption will therefore have only a small impact on future profits (where these include the investment return on capital).</w:t>
      </w:r>
    </w:p>
    <w:p w14:paraId="15792C62" w14:textId="77777777" w:rsidR="00F86B36" w:rsidRPr="00107E2A" w:rsidRDefault="00F86B36" w:rsidP="00F86B36">
      <w:pPr>
        <w:pStyle w:val="ListParagraph"/>
        <w:numPr>
          <w:ilvl w:val="0"/>
          <w:numId w:val="15"/>
        </w:numPr>
        <w:spacing w:after="60"/>
        <w:rPr>
          <w:color w:val="000000" w:themeColor="text1"/>
        </w:rPr>
      </w:pPr>
      <w:r w:rsidRPr="00107E2A">
        <w:rPr>
          <w:color w:val="FF0000"/>
        </w:rPr>
        <w:t>The lower discount rate will have a much larger impact than the lower investment return assumption, assuming a reasonable level of profits</w:t>
      </w:r>
      <w:r w:rsidRPr="00107E2A">
        <w:rPr>
          <w:color w:val="000000" w:themeColor="text1"/>
        </w:rPr>
        <w:t>.</w:t>
      </w:r>
    </w:p>
    <w:p w14:paraId="64A871F5" w14:textId="77777777" w:rsidR="00F86B36" w:rsidRPr="00C1711C" w:rsidRDefault="00F86B36" w:rsidP="00F86B36">
      <w:pPr>
        <w:pStyle w:val="ListParagraph"/>
        <w:numPr>
          <w:ilvl w:val="0"/>
          <w:numId w:val="15"/>
        </w:numPr>
        <w:spacing w:after="60"/>
        <w:rPr>
          <w:color w:val="000000" w:themeColor="text1"/>
        </w:rPr>
      </w:pPr>
      <w:r w:rsidRPr="00C1711C">
        <w:rPr>
          <w:color w:val="000000" w:themeColor="text1"/>
        </w:rPr>
        <w:t xml:space="preserve">The MCEV is </w:t>
      </w:r>
      <w:r>
        <w:rPr>
          <w:color w:val="000000" w:themeColor="text1"/>
        </w:rPr>
        <w:t xml:space="preserve">expected to be higher than the </w:t>
      </w:r>
      <w:r w:rsidRPr="00C1711C">
        <w:rPr>
          <w:color w:val="000000" w:themeColor="text1"/>
        </w:rPr>
        <w:t>EV if the business is profitable.</w:t>
      </w:r>
    </w:p>
    <w:p w14:paraId="2D28B359" w14:textId="77777777" w:rsidR="00F86B36" w:rsidRPr="00C1711C" w:rsidRDefault="00F86B36" w:rsidP="00F86B36">
      <w:pPr>
        <w:pStyle w:val="ListParagraph"/>
        <w:spacing w:after="60"/>
        <w:ind w:left="0"/>
        <w:rPr>
          <w:color w:val="000000" w:themeColor="text1"/>
        </w:rPr>
      </w:pPr>
    </w:p>
    <w:p w14:paraId="0D753407" w14:textId="77777777" w:rsidR="00F86B36" w:rsidRPr="00D35295" w:rsidRDefault="00F86B36" w:rsidP="00F86B36">
      <w:pPr>
        <w:pStyle w:val="ListParagraph"/>
        <w:spacing w:after="60"/>
        <w:ind w:left="0"/>
        <w:rPr>
          <w:i/>
          <w:color w:val="000000" w:themeColor="text1"/>
        </w:rPr>
      </w:pPr>
      <w:r>
        <w:rPr>
          <w:color w:val="000000" w:themeColor="text1"/>
        </w:rPr>
        <w:t xml:space="preserve">6d) </w:t>
      </w:r>
      <w:r w:rsidRPr="00D35295">
        <w:rPr>
          <w:i/>
          <w:color w:val="000000" w:themeColor="text1"/>
        </w:rPr>
        <w:t>Changes following on from adoption of MCEV may include:</w:t>
      </w:r>
    </w:p>
    <w:p w14:paraId="6459AA16" w14:textId="77777777" w:rsidR="00F86B36" w:rsidRDefault="00F86B36" w:rsidP="00F86B36">
      <w:pPr>
        <w:pStyle w:val="ListParagraph"/>
        <w:numPr>
          <w:ilvl w:val="0"/>
          <w:numId w:val="16"/>
        </w:numPr>
        <w:spacing w:after="60"/>
        <w:rPr>
          <w:color w:val="000000" w:themeColor="text1"/>
        </w:rPr>
      </w:pPr>
      <w:r w:rsidRPr="00C721C9">
        <w:rPr>
          <w:color w:val="000000" w:themeColor="text1"/>
        </w:rPr>
        <w:t xml:space="preserve">Pricing should be changed to be consistent with the MCEV methodology. </w:t>
      </w:r>
    </w:p>
    <w:p w14:paraId="5EDEFB03" w14:textId="77777777" w:rsidR="00F86B36" w:rsidRPr="008556F4" w:rsidRDefault="00F86B36" w:rsidP="00F86B36">
      <w:pPr>
        <w:pStyle w:val="ListParagraph"/>
        <w:numPr>
          <w:ilvl w:val="0"/>
          <w:numId w:val="16"/>
        </w:numPr>
        <w:spacing w:after="60"/>
        <w:rPr>
          <w:color w:val="FF0000"/>
        </w:rPr>
      </w:pPr>
      <w:r w:rsidRPr="003E3017">
        <w:rPr>
          <w:b/>
          <w:color w:val="FF0000"/>
        </w:rPr>
        <w:t>Term</w:t>
      </w:r>
      <w:r w:rsidRPr="008556F4">
        <w:rPr>
          <w:color w:val="FF0000"/>
        </w:rPr>
        <w:t xml:space="preserve"> is likely to become a more attractive product (if profitable) as MCEV is expected to be higher than the EV if the business is profitable.</w:t>
      </w:r>
    </w:p>
    <w:p w14:paraId="2B5086F2" w14:textId="77777777" w:rsidR="00F86B36" w:rsidRPr="008556F4" w:rsidRDefault="00F86B36" w:rsidP="00F86B36">
      <w:pPr>
        <w:pStyle w:val="ListParagraph"/>
        <w:numPr>
          <w:ilvl w:val="0"/>
          <w:numId w:val="16"/>
        </w:numPr>
        <w:spacing w:after="60"/>
        <w:rPr>
          <w:color w:val="FF0000"/>
        </w:rPr>
      </w:pPr>
      <w:r w:rsidRPr="008556F4">
        <w:rPr>
          <w:color w:val="FF0000"/>
        </w:rPr>
        <w:t>Greater sales focus on term business.</w:t>
      </w:r>
    </w:p>
    <w:p w14:paraId="4B55B81F" w14:textId="77777777" w:rsidR="00F86B36" w:rsidRPr="00C721C9" w:rsidRDefault="00F86B36" w:rsidP="00F86B36">
      <w:pPr>
        <w:pStyle w:val="ListParagraph"/>
        <w:numPr>
          <w:ilvl w:val="0"/>
          <w:numId w:val="16"/>
        </w:numPr>
        <w:spacing w:after="60"/>
        <w:rPr>
          <w:color w:val="000000" w:themeColor="text1"/>
        </w:rPr>
      </w:pPr>
      <w:r w:rsidRPr="00C721C9">
        <w:rPr>
          <w:color w:val="000000" w:themeColor="text1"/>
        </w:rPr>
        <w:t>Possible increase to commission rates for term.</w:t>
      </w:r>
    </w:p>
    <w:p w14:paraId="32855EAB" w14:textId="77777777" w:rsidR="00F86B36" w:rsidRPr="00C721C9" w:rsidRDefault="00F86B36" w:rsidP="00F86B36">
      <w:pPr>
        <w:pStyle w:val="ListParagraph"/>
        <w:numPr>
          <w:ilvl w:val="0"/>
          <w:numId w:val="16"/>
        </w:numPr>
        <w:spacing w:after="60"/>
        <w:rPr>
          <w:color w:val="000000" w:themeColor="text1"/>
        </w:rPr>
      </w:pPr>
      <w:r w:rsidRPr="00C721C9">
        <w:rPr>
          <w:color w:val="000000" w:themeColor="text1"/>
        </w:rPr>
        <w:t>There may be opportunities to reduce the prices of term.</w:t>
      </w:r>
    </w:p>
    <w:p w14:paraId="418DA50E" w14:textId="77777777" w:rsidR="00F86B36" w:rsidRPr="0025443A" w:rsidRDefault="00F86B36" w:rsidP="00F86B36">
      <w:pPr>
        <w:pStyle w:val="ListParagraph"/>
        <w:numPr>
          <w:ilvl w:val="0"/>
          <w:numId w:val="16"/>
        </w:numPr>
        <w:spacing w:after="60"/>
        <w:rPr>
          <w:color w:val="FF0000"/>
          <w:u w:val="single"/>
        </w:rPr>
      </w:pPr>
      <w:r w:rsidRPr="0025443A">
        <w:rPr>
          <w:color w:val="FF0000"/>
        </w:rPr>
        <w:t xml:space="preserve">There should be a greater weighting of assets towards fixed interest (except for investment linked). </w:t>
      </w:r>
      <w:r w:rsidRPr="0025443A">
        <w:rPr>
          <w:b/>
          <w:color w:val="FF0000"/>
          <w:u w:val="single"/>
        </w:rPr>
        <w:t>Risky assets depress the MCEV</w:t>
      </w:r>
      <w:r w:rsidRPr="0025443A">
        <w:rPr>
          <w:color w:val="FF0000"/>
          <w:u w:val="single"/>
        </w:rPr>
        <w:t xml:space="preserve"> as the capital adequacy requirement is higher and there is no compensating increase in future investment returns.</w:t>
      </w:r>
    </w:p>
    <w:p w14:paraId="7201E93E" w14:textId="77777777" w:rsidR="00F86B36" w:rsidRPr="00594E06" w:rsidRDefault="00F86B36" w:rsidP="00F86B36">
      <w:pPr>
        <w:pStyle w:val="ListParagraph"/>
        <w:numPr>
          <w:ilvl w:val="0"/>
          <w:numId w:val="16"/>
        </w:numPr>
        <w:spacing w:after="60"/>
        <w:rPr>
          <w:color w:val="FF0000"/>
          <w:lang w:val="en-GB"/>
        </w:rPr>
      </w:pPr>
      <w:r w:rsidRPr="003E3017">
        <w:rPr>
          <w:b/>
          <w:color w:val="000000" w:themeColor="text1"/>
        </w:rPr>
        <w:lastRenderedPageBreak/>
        <w:t xml:space="preserve">For the participating </w:t>
      </w:r>
      <w:r>
        <w:rPr>
          <w:b/>
          <w:color w:val="000000" w:themeColor="text1"/>
        </w:rPr>
        <w:t>busines</w:t>
      </w:r>
      <w:r w:rsidRPr="003E3017">
        <w:rPr>
          <w:b/>
          <w:color w:val="000000" w:themeColor="text1"/>
        </w:rPr>
        <w:t>s</w:t>
      </w:r>
      <w:r>
        <w:rPr>
          <w:color w:val="000000" w:themeColor="text1"/>
        </w:rPr>
        <w:t>,</w:t>
      </w:r>
      <w:r w:rsidRPr="00C721C9">
        <w:rPr>
          <w:color w:val="000000" w:themeColor="text1"/>
        </w:rPr>
        <w:t xml:space="preserve"> </w:t>
      </w:r>
      <w:r w:rsidRPr="00594E06">
        <w:rPr>
          <w:color w:val="FF0000"/>
        </w:rPr>
        <w:t>there should be a greater focus on reducing the TVFOG (subject to policy owner reasonable expectations). This can be done through</w:t>
      </w:r>
      <w:r>
        <w:rPr>
          <w:color w:val="FF0000"/>
        </w:rPr>
        <w:t xml:space="preserve"> </w:t>
      </w:r>
      <w:r w:rsidRPr="00594E06">
        <w:rPr>
          <w:color w:val="FF0000"/>
        </w:rPr>
        <w:t xml:space="preserve">manipulating the asset mix, perhaps including the use of derivatives. </w:t>
      </w:r>
    </w:p>
    <w:p w14:paraId="4E5DE396" w14:textId="77777777" w:rsidR="00F86B36" w:rsidRPr="003E3017" w:rsidRDefault="00F86B36" w:rsidP="00F86B36">
      <w:pPr>
        <w:pStyle w:val="ListParagraph"/>
        <w:numPr>
          <w:ilvl w:val="0"/>
          <w:numId w:val="16"/>
        </w:numPr>
        <w:spacing w:after="60"/>
        <w:rPr>
          <w:color w:val="FF0000"/>
          <w:lang w:val="en-GB"/>
        </w:rPr>
      </w:pPr>
      <w:r w:rsidRPr="003E3017">
        <w:rPr>
          <w:color w:val="FF0000"/>
        </w:rPr>
        <w:t xml:space="preserve">There is unlikely to be any effect on the pricing or product design of </w:t>
      </w:r>
      <w:r w:rsidRPr="003E3017">
        <w:rPr>
          <w:b/>
          <w:color w:val="FF0000"/>
        </w:rPr>
        <w:t>investment linked</w:t>
      </w:r>
      <w:r w:rsidRPr="003E3017">
        <w:rPr>
          <w:color w:val="FF0000"/>
        </w:rPr>
        <w:t xml:space="preserve"> business as the MCEV is expected to be similar to the traditional EV.</w:t>
      </w:r>
    </w:p>
    <w:p w14:paraId="4D66A892" w14:textId="6E256800" w:rsidR="00157A4E" w:rsidRPr="00F86B36" w:rsidRDefault="00157A4E" w:rsidP="00F86B36">
      <w:pPr>
        <w:spacing w:after="0"/>
        <w:rPr>
          <w:color w:val="000000" w:themeColor="text1"/>
          <w:lang w:val="en-GB"/>
        </w:rPr>
      </w:pPr>
    </w:p>
    <w:sectPr w:rsidR="00157A4E" w:rsidRPr="00F86B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DC15E" w14:textId="77777777" w:rsidR="006E0E4F" w:rsidRDefault="006E0E4F" w:rsidP="00565DE9">
      <w:pPr>
        <w:spacing w:after="0" w:line="240" w:lineRule="auto"/>
      </w:pPr>
      <w:r>
        <w:separator/>
      </w:r>
    </w:p>
  </w:endnote>
  <w:endnote w:type="continuationSeparator" w:id="0">
    <w:p w14:paraId="367EDD6C" w14:textId="77777777" w:rsidR="006E0E4F" w:rsidRDefault="006E0E4F"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440F0" w14:textId="77777777" w:rsidR="006E0E4F" w:rsidRDefault="006E0E4F" w:rsidP="00565DE9">
      <w:pPr>
        <w:spacing w:after="0" w:line="240" w:lineRule="auto"/>
      </w:pPr>
      <w:r>
        <w:separator/>
      </w:r>
    </w:p>
  </w:footnote>
  <w:footnote w:type="continuationSeparator" w:id="0">
    <w:p w14:paraId="295238BD" w14:textId="77777777" w:rsidR="006E0E4F" w:rsidRDefault="006E0E4F"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538"/>
    <w:multiLevelType w:val="hybridMultilevel"/>
    <w:tmpl w:val="B67A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9005B7"/>
    <w:multiLevelType w:val="hybridMultilevel"/>
    <w:tmpl w:val="C10EE9C0"/>
    <w:lvl w:ilvl="0" w:tplc="51FCAD6E">
      <w:numFmt w:val="bullet"/>
      <w:lvlText w:val="•"/>
      <w:lvlJc w:val="left"/>
      <w:pPr>
        <w:ind w:left="720" w:hanging="360"/>
      </w:pPr>
      <w:rPr>
        <w:rFonts w:ascii="宋体" w:eastAsia="宋体" w:hAnsi="宋体"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A7958"/>
    <w:multiLevelType w:val="hybridMultilevel"/>
    <w:tmpl w:val="A918791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87474"/>
    <w:multiLevelType w:val="hybridMultilevel"/>
    <w:tmpl w:val="C65A1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362C9B"/>
    <w:multiLevelType w:val="hybridMultilevel"/>
    <w:tmpl w:val="ED9E8ADA"/>
    <w:lvl w:ilvl="0" w:tplc="51FCAD6E">
      <w:numFmt w:val="bullet"/>
      <w:lvlText w:val="•"/>
      <w:lvlJc w:val="left"/>
      <w:pPr>
        <w:ind w:left="360" w:hanging="360"/>
      </w:pPr>
      <w:rPr>
        <w:rFonts w:ascii="宋体" w:eastAsia="宋体" w:hAnsi="宋体" w:cstheme="minorBidi"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D94227A"/>
    <w:multiLevelType w:val="hybridMultilevel"/>
    <w:tmpl w:val="DB46CFE2"/>
    <w:lvl w:ilvl="0" w:tplc="D688A494">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070E9"/>
    <w:multiLevelType w:val="hybridMultilevel"/>
    <w:tmpl w:val="3FBC748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664569"/>
    <w:multiLevelType w:val="hybridMultilevel"/>
    <w:tmpl w:val="B474586E"/>
    <w:lvl w:ilvl="0" w:tplc="D688A494">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E54122"/>
    <w:multiLevelType w:val="hybridMultilevel"/>
    <w:tmpl w:val="0C16E236"/>
    <w:lvl w:ilvl="0" w:tplc="D688A494">
      <w:start w:val="1"/>
      <w:numFmt w:val="bullet"/>
      <w:lvlText w:val=""/>
      <w:lvlJc w:val="left"/>
      <w:pPr>
        <w:ind w:left="720" w:hanging="360"/>
      </w:pPr>
      <w:rPr>
        <w:rFonts w:ascii="Symbol" w:hAnsi="Symbol" w:hint="default"/>
        <w:sz w:val="16"/>
      </w:rPr>
    </w:lvl>
    <w:lvl w:ilvl="1" w:tplc="65502620">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75863"/>
    <w:multiLevelType w:val="hybridMultilevel"/>
    <w:tmpl w:val="1DB64E18"/>
    <w:lvl w:ilvl="0" w:tplc="6550262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2A267D"/>
    <w:multiLevelType w:val="hybridMultilevel"/>
    <w:tmpl w:val="6E424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1C71C7"/>
    <w:multiLevelType w:val="hybridMultilevel"/>
    <w:tmpl w:val="723A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C12DCD"/>
    <w:multiLevelType w:val="hybridMultilevel"/>
    <w:tmpl w:val="451483DC"/>
    <w:lvl w:ilvl="0" w:tplc="51FCAD6E">
      <w:numFmt w:val="bullet"/>
      <w:lvlText w:val="•"/>
      <w:lvlJc w:val="left"/>
      <w:pPr>
        <w:ind w:left="720" w:hanging="360"/>
      </w:pPr>
      <w:rPr>
        <w:rFonts w:ascii="宋体" w:eastAsia="宋体" w:hAnsi="宋体" w:cstheme="minorBidi" w:hint="eastAsia"/>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652D5D"/>
    <w:multiLevelType w:val="hybridMultilevel"/>
    <w:tmpl w:val="B7EC651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437E93"/>
    <w:multiLevelType w:val="hybridMultilevel"/>
    <w:tmpl w:val="5858B36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A13736"/>
    <w:multiLevelType w:val="hybridMultilevel"/>
    <w:tmpl w:val="959038E4"/>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2"/>
  </w:num>
  <w:num w:numId="4">
    <w:abstractNumId w:val="7"/>
  </w:num>
  <w:num w:numId="5">
    <w:abstractNumId w:val="6"/>
  </w:num>
  <w:num w:numId="6">
    <w:abstractNumId w:val="14"/>
  </w:num>
  <w:num w:numId="7">
    <w:abstractNumId w:val="15"/>
  </w:num>
  <w:num w:numId="8">
    <w:abstractNumId w:val="5"/>
  </w:num>
  <w:num w:numId="9">
    <w:abstractNumId w:val="2"/>
  </w:num>
  <w:num w:numId="10">
    <w:abstractNumId w:val="8"/>
  </w:num>
  <w:num w:numId="11">
    <w:abstractNumId w:val="4"/>
  </w:num>
  <w:num w:numId="12">
    <w:abstractNumId w:val="1"/>
  </w:num>
  <w:num w:numId="13">
    <w:abstractNumId w:val="3"/>
  </w:num>
  <w:num w:numId="14">
    <w:abstractNumId w:val="0"/>
  </w:num>
  <w:num w:numId="15">
    <w:abstractNumId w:val="10"/>
  </w:num>
  <w:num w:numId="1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0439E"/>
    <w:rsid w:val="00012792"/>
    <w:rsid w:val="00012C43"/>
    <w:rsid w:val="00014A11"/>
    <w:rsid w:val="000167FC"/>
    <w:rsid w:val="00021598"/>
    <w:rsid w:val="000224A3"/>
    <w:rsid w:val="00025BF7"/>
    <w:rsid w:val="00026F9E"/>
    <w:rsid w:val="0003016D"/>
    <w:rsid w:val="00030932"/>
    <w:rsid w:val="000310A4"/>
    <w:rsid w:val="00031F6C"/>
    <w:rsid w:val="00035492"/>
    <w:rsid w:val="00035A51"/>
    <w:rsid w:val="00035E50"/>
    <w:rsid w:val="00042A3B"/>
    <w:rsid w:val="00042CAA"/>
    <w:rsid w:val="00045CCD"/>
    <w:rsid w:val="00051323"/>
    <w:rsid w:val="0005178A"/>
    <w:rsid w:val="00051EDA"/>
    <w:rsid w:val="00052A09"/>
    <w:rsid w:val="00053328"/>
    <w:rsid w:val="00053DAB"/>
    <w:rsid w:val="00054186"/>
    <w:rsid w:val="000553A4"/>
    <w:rsid w:val="00055D2F"/>
    <w:rsid w:val="000579D9"/>
    <w:rsid w:val="00060346"/>
    <w:rsid w:val="00061E9E"/>
    <w:rsid w:val="00062ECC"/>
    <w:rsid w:val="00065C37"/>
    <w:rsid w:val="000710F8"/>
    <w:rsid w:val="0007159A"/>
    <w:rsid w:val="000740CC"/>
    <w:rsid w:val="000760DF"/>
    <w:rsid w:val="000764FF"/>
    <w:rsid w:val="00080DFA"/>
    <w:rsid w:val="00083E3D"/>
    <w:rsid w:val="00092372"/>
    <w:rsid w:val="00093A90"/>
    <w:rsid w:val="00093F69"/>
    <w:rsid w:val="00094261"/>
    <w:rsid w:val="000A10CF"/>
    <w:rsid w:val="000A1F46"/>
    <w:rsid w:val="000A7AC2"/>
    <w:rsid w:val="000B22C7"/>
    <w:rsid w:val="000B252A"/>
    <w:rsid w:val="000B6580"/>
    <w:rsid w:val="000B7850"/>
    <w:rsid w:val="000C0D3D"/>
    <w:rsid w:val="000C377D"/>
    <w:rsid w:val="000C764C"/>
    <w:rsid w:val="000D0132"/>
    <w:rsid w:val="000D1349"/>
    <w:rsid w:val="000D23C3"/>
    <w:rsid w:val="000D2B62"/>
    <w:rsid w:val="000D33CA"/>
    <w:rsid w:val="000D5C83"/>
    <w:rsid w:val="000D66EA"/>
    <w:rsid w:val="000D6D93"/>
    <w:rsid w:val="000E470E"/>
    <w:rsid w:val="000F04CC"/>
    <w:rsid w:val="000F1189"/>
    <w:rsid w:val="000F521F"/>
    <w:rsid w:val="000F6A44"/>
    <w:rsid w:val="00100D63"/>
    <w:rsid w:val="00104EF8"/>
    <w:rsid w:val="001055FA"/>
    <w:rsid w:val="00114361"/>
    <w:rsid w:val="001143DD"/>
    <w:rsid w:val="001151FD"/>
    <w:rsid w:val="00115583"/>
    <w:rsid w:val="00117411"/>
    <w:rsid w:val="001176D2"/>
    <w:rsid w:val="0012171E"/>
    <w:rsid w:val="00121D93"/>
    <w:rsid w:val="0012358B"/>
    <w:rsid w:val="00124601"/>
    <w:rsid w:val="00125320"/>
    <w:rsid w:val="00125440"/>
    <w:rsid w:val="00125723"/>
    <w:rsid w:val="00125E00"/>
    <w:rsid w:val="00126652"/>
    <w:rsid w:val="00126A01"/>
    <w:rsid w:val="00130283"/>
    <w:rsid w:val="001302A7"/>
    <w:rsid w:val="00137C86"/>
    <w:rsid w:val="00137E1E"/>
    <w:rsid w:val="001424FA"/>
    <w:rsid w:val="00142945"/>
    <w:rsid w:val="001430CE"/>
    <w:rsid w:val="00143429"/>
    <w:rsid w:val="00151E84"/>
    <w:rsid w:val="00155049"/>
    <w:rsid w:val="00155154"/>
    <w:rsid w:val="0015709C"/>
    <w:rsid w:val="00157A4E"/>
    <w:rsid w:val="00161061"/>
    <w:rsid w:val="001623E2"/>
    <w:rsid w:val="001645F1"/>
    <w:rsid w:val="0016576F"/>
    <w:rsid w:val="00165977"/>
    <w:rsid w:val="00165AC8"/>
    <w:rsid w:val="00167390"/>
    <w:rsid w:val="0016779A"/>
    <w:rsid w:val="00167844"/>
    <w:rsid w:val="00174B73"/>
    <w:rsid w:val="00174DF7"/>
    <w:rsid w:val="00182934"/>
    <w:rsid w:val="00183218"/>
    <w:rsid w:val="001868AA"/>
    <w:rsid w:val="0018718B"/>
    <w:rsid w:val="00192E4A"/>
    <w:rsid w:val="00193607"/>
    <w:rsid w:val="001954ED"/>
    <w:rsid w:val="001969E8"/>
    <w:rsid w:val="00197244"/>
    <w:rsid w:val="001A04B2"/>
    <w:rsid w:val="001A23D6"/>
    <w:rsid w:val="001A3953"/>
    <w:rsid w:val="001A4F0F"/>
    <w:rsid w:val="001A50D4"/>
    <w:rsid w:val="001A7B2B"/>
    <w:rsid w:val="001B0F52"/>
    <w:rsid w:val="001B2676"/>
    <w:rsid w:val="001B2ECF"/>
    <w:rsid w:val="001B3E3F"/>
    <w:rsid w:val="001B41C9"/>
    <w:rsid w:val="001B577B"/>
    <w:rsid w:val="001B728F"/>
    <w:rsid w:val="001C1DCE"/>
    <w:rsid w:val="001C3817"/>
    <w:rsid w:val="001C3970"/>
    <w:rsid w:val="001C431D"/>
    <w:rsid w:val="001C5785"/>
    <w:rsid w:val="001D03A8"/>
    <w:rsid w:val="001D3ED2"/>
    <w:rsid w:val="001D6BB4"/>
    <w:rsid w:val="001E1C07"/>
    <w:rsid w:val="001E2478"/>
    <w:rsid w:val="001E35BE"/>
    <w:rsid w:val="001E5B50"/>
    <w:rsid w:val="001E68A5"/>
    <w:rsid w:val="001E7415"/>
    <w:rsid w:val="001F0735"/>
    <w:rsid w:val="001F3534"/>
    <w:rsid w:val="001F3AF4"/>
    <w:rsid w:val="001F5857"/>
    <w:rsid w:val="00200EF6"/>
    <w:rsid w:val="0020167B"/>
    <w:rsid w:val="00203C9A"/>
    <w:rsid w:val="0020429F"/>
    <w:rsid w:val="00204C32"/>
    <w:rsid w:val="00205626"/>
    <w:rsid w:val="002062EB"/>
    <w:rsid w:val="00206D5C"/>
    <w:rsid w:val="002116E8"/>
    <w:rsid w:val="00211E15"/>
    <w:rsid w:val="00216AA6"/>
    <w:rsid w:val="0022000A"/>
    <w:rsid w:val="002246F5"/>
    <w:rsid w:val="002250E8"/>
    <w:rsid w:val="002273AB"/>
    <w:rsid w:val="002308C2"/>
    <w:rsid w:val="002320A5"/>
    <w:rsid w:val="00232610"/>
    <w:rsid w:val="00232D90"/>
    <w:rsid w:val="00233651"/>
    <w:rsid w:val="0023416A"/>
    <w:rsid w:val="0023744B"/>
    <w:rsid w:val="00237E46"/>
    <w:rsid w:val="00240A14"/>
    <w:rsid w:val="00241064"/>
    <w:rsid w:val="00241276"/>
    <w:rsid w:val="00241D14"/>
    <w:rsid w:val="00245E38"/>
    <w:rsid w:val="0025148E"/>
    <w:rsid w:val="00252396"/>
    <w:rsid w:val="00255B1D"/>
    <w:rsid w:val="00255F32"/>
    <w:rsid w:val="00256F14"/>
    <w:rsid w:val="002604DB"/>
    <w:rsid w:val="00263501"/>
    <w:rsid w:val="0026474F"/>
    <w:rsid w:val="00267843"/>
    <w:rsid w:val="0026793B"/>
    <w:rsid w:val="00270102"/>
    <w:rsid w:val="00270E93"/>
    <w:rsid w:val="0027219A"/>
    <w:rsid w:val="00277354"/>
    <w:rsid w:val="002776D0"/>
    <w:rsid w:val="002803D9"/>
    <w:rsid w:val="002811C1"/>
    <w:rsid w:val="00285541"/>
    <w:rsid w:val="00285AEE"/>
    <w:rsid w:val="00286771"/>
    <w:rsid w:val="002976E9"/>
    <w:rsid w:val="002A284E"/>
    <w:rsid w:val="002A3312"/>
    <w:rsid w:val="002A3E82"/>
    <w:rsid w:val="002A7EDB"/>
    <w:rsid w:val="002B12E0"/>
    <w:rsid w:val="002B4130"/>
    <w:rsid w:val="002B7865"/>
    <w:rsid w:val="002B793E"/>
    <w:rsid w:val="002C1970"/>
    <w:rsid w:val="002C3A6E"/>
    <w:rsid w:val="002C75B8"/>
    <w:rsid w:val="002D0518"/>
    <w:rsid w:val="002D4053"/>
    <w:rsid w:val="002D4973"/>
    <w:rsid w:val="002D5C09"/>
    <w:rsid w:val="002D7A68"/>
    <w:rsid w:val="002E3E47"/>
    <w:rsid w:val="002E5653"/>
    <w:rsid w:val="002E5DCA"/>
    <w:rsid w:val="002F0574"/>
    <w:rsid w:val="002F0765"/>
    <w:rsid w:val="002F0F2B"/>
    <w:rsid w:val="002F1A67"/>
    <w:rsid w:val="002F2224"/>
    <w:rsid w:val="002F2ACB"/>
    <w:rsid w:val="002F39CE"/>
    <w:rsid w:val="002F6336"/>
    <w:rsid w:val="002F64F3"/>
    <w:rsid w:val="002F6FA6"/>
    <w:rsid w:val="00300BCE"/>
    <w:rsid w:val="00300E35"/>
    <w:rsid w:val="00301199"/>
    <w:rsid w:val="0030363D"/>
    <w:rsid w:val="003054FB"/>
    <w:rsid w:val="00306809"/>
    <w:rsid w:val="00311251"/>
    <w:rsid w:val="003154D6"/>
    <w:rsid w:val="0032131E"/>
    <w:rsid w:val="00322412"/>
    <w:rsid w:val="0032344D"/>
    <w:rsid w:val="00333F8C"/>
    <w:rsid w:val="00336530"/>
    <w:rsid w:val="00340AD8"/>
    <w:rsid w:val="00341485"/>
    <w:rsid w:val="003417A1"/>
    <w:rsid w:val="00342BA5"/>
    <w:rsid w:val="003442C9"/>
    <w:rsid w:val="0034584F"/>
    <w:rsid w:val="0034639C"/>
    <w:rsid w:val="00347E62"/>
    <w:rsid w:val="00350563"/>
    <w:rsid w:val="0035640B"/>
    <w:rsid w:val="0035712B"/>
    <w:rsid w:val="003616C4"/>
    <w:rsid w:val="00363497"/>
    <w:rsid w:val="00365CD8"/>
    <w:rsid w:val="00365DEB"/>
    <w:rsid w:val="003737C6"/>
    <w:rsid w:val="00373B2F"/>
    <w:rsid w:val="00382A8B"/>
    <w:rsid w:val="003850E0"/>
    <w:rsid w:val="00386976"/>
    <w:rsid w:val="00387E54"/>
    <w:rsid w:val="00387E57"/>
    <w:rsid w:val="00391137"/>
    <w:rsid w:val="00391FDB"/>
    <w:rsid w:val="003A0573"/>
    <w:rsid w:val="003A0EA0"/>
    <w:rsid w:val="003A4E46"/>
    <w:rsid w:val="003B2B65"/>
    <w:rsid w:val="003B2C88"/>
    <w:rsid w:val="003B3917"/>
    <w:rsid w:val="003B75AA"/>
    <w:rsid w:val="003C29B3"/>
    <w:rsid w:val="003C4709"/>
    <w:rsid w:val="003C716E"/>
    <w:rsid w:val="003D0897"/>
    <w:rsid w:val="003D77D3"/>
    <w:rsid w:val="003E2B38"/>
    <w:rsid w:val="003E3A7F"/>
    <w:rsid w:val="003F1A08"/>
    <w:rsid w:val="003F1FBB"/>
    <w:rsid w:val="003F2271"/>
    <w:rsid w:val="003F262D"/>
    <w:rsid w:val="003F39C1"/>
    <w:rsid w:val="003F4019"/>
    <w:rsid w:val="003F40BE"/>
    <w:rsid w:val="003F51CF"/>
    <w:rsid w:val="003F6CD6"/>
    <w:rsid w:val="003F77D7"/>
    <w:rsid w:val="004022B3"/>
    <w:rsid w:val="00402D30"/>
    <w:rsid w:val="0040568B"/>
    <w:rsid w:val="0040610B"/>
    <w:rsid w:val="004068EA"/>
    <w:rsid w:val="004130AA"/>
    <w:rsid w:val="0041375F"/>
    <w:rsid w:val="00415934"/>
    <w:rsid w:val="0041643C"/>
    <w:rsid w:val="00421560"/>
    <w:rsid w:val="00423588"/>
    <w:rsid w:val="00424FFC"/>
    <w:rsid w:val="004259C4"/>
    <w:rsid w:val="0042777A"/>
    <w:rsid w:val="004306F5"/>
    <w:rsid w:val="0043078B"/>
    <w:rsid w:val="00434A9C"/>
    <w:rsid w:val="00443018"/>
    <w:rsid w:val="0044321F"/>
    <w:rsid w:val="00443D7E"/>
    <w:rsid w:val="004445EC"/>
    <w:rsid w:val="004549FD"/>
    <w:rsid w:val="00454EA8"/>
    <w:rsid w:val="00456DD1"/>
    <w:rsid w:val="00462BEA"/>
    <w:rsid w:val="004675CE"/>
    <w:rsid w:val="0046797E"/>
    <w:rsid w:val="004679CF"/>
    <w:rsid w:val="004706ED"/>
    <w:rsid w:val="00471404"/>
    <w:rsid w:val="00473DE7"/>
    <w:rsid w:val="00474A33"/>
    <w:rsid w:val="00476A42"/>
    <w:rsid w:val="00476E75"/>
    <w:rsid w:val="0047718D"/>
    <w:rsid w:val="00480DA5"/>
    <w:rsid w:val="00492A51"/>
    <w:rsid w:val="004931D6"/>
    <w:rsid w:val="00493759"/>
    <w:rsid w:val="0049782C"/>
    <w:rsid w:val="004A02F2"/>
    <w:rsid w:val="004A0BD0"/>
    <w:rsid w:val="004A27A0"/>
    <w:rsid w:val="004A2C8C"/>
    <w:rsid w:val="004A6941"/>
    <w:rsid w:val="004A6D40"/>
    <w:rsid w:val="004A767E"/>
    <w:rsid w:val="004B0696"/>
    <w:rsid w:val="004B13DE"/>
    <w:rsid w:val="004B4883"/>
    <w:rsid w:val="004B4BAA"/>
    <w:rsid w:val="004B6D6D"/>
    <w:rsid w:val="004B77EC"/>
    <w:rsid w:val="004C29FA"/>
    <w:rsid w:val="004C351A"/>
    <w:rsid w:val="004C37B7"/>
    <w:rsid w:val="004C4ED3"/>
    <w:rsid w:val="004C746B"/>
    <w:rsid w:val="004D14F4"/>
    <w:rsid w:val="004D28E9"/>
    <w:rsid w:val="004D2A5B"/>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2D9E"/>
    <w:rsid w:val="005062FC"/>
    <w:rsid w:val="00506DEC"/>
    <w:rsid w:val="00507441"/>
    <w:rsid w:val="005104D2"/>
    <w:rsid w:val="00511815"/>
    <w:rsid w:val="005165B5"/>
    <w:rsid w:val="0052455E"/>
    <w:rsid w:val="00524BA8"/>
    <w:rsid w:val="00525F5F"/>
    <w:rsid w:val="005260BD"/>
    <w:rsid w:val="005273F5"/>
    <w:rsid w:val="00530C84"/>
    <w:rsid w:val="0053204D"/>
    <w:rsid w:val="0053352F"/>
    <w:rsid w:val="00533D84"/>
    <w:rsid w:val="00534976"/>
    <w:rsid w:val="00535573"/>
    <w:rsid w:val="00536EA6"/>
    <w:rsid w:val="005374AB"/>
    <w:rsid w:val="00540595"/>
    <w:rsid w:val="00540FBE"/>
    <w:rsid w:val="0054315C"/>
    <w:rsid w:val="00543699"/>
    <w:rsid w:val="005444CD"/>
    <w:rsid w:val="0055577B"/>
    <w:rsid w:val="0055640C"/>
    <w:rsid w:val="0056004D"/>
    <w:rsid w:val="005604A4"/>
    <w:rsid w:val="00565DE9"/>
    <w:rsid w:val="0056677B"/>
    <w:rsid w:val="00567C54"/>
    <w:rsid w:val="00570352"/>
    <w:rsid w:val="00570F36"/>
    <w:rsid w:val="00570F7C"/>
    <w:rsid w:val="00571EEF"/>
    <w:rsid w:val="00572F8D"/>
    <w:rsid w:val="005764C2"/>
    <w:rsid w:val="00577CA5"/>
    <w:rsid w:val="005868A3"/>
    <w:rsid w:val="00587221"/>
    <w:rsid w:val="00595BD4"/>
    <w:rsid w:val="00595FF1"/>
    <w:rsid w:val="005A1667"/>
    <w:rsid w:val="005A3375"/>
    <w:rsid w:val="005A4052"/>
    <w:rsid w:val="005A4B73"/>
    <w:rsid w:val="005A58CB"/>
    <w:rsid w:val="005A70D6"/>
    <w:rsid w:val="005B5295"/>
    <w:rsid w:val="005B5C7E"/>
    <w:rsid w:val="005B6316"/>
    <w:rsid w:val="005C0907"/>
    <w:rsid w:val="005C1F22"/>
    <w:rsid w:val="005C3183"/>
    <w:rsid w:val="005D1550"/>
    <w:rsid w:val="005D23DD"/>
    <w:rsid w:val="005D4309"/>
    <w:rsid w:val="005D4739"/>
    <w:rsid w:val="005D5786"/>
    <w:rsid w:val="005F0705"/>
    <w:rsid w:val="005F3791"/>
    <w:rsid w:val="005F38E5"/>
    <w:rsid w:val="005F50B7"/>
    <w:rsid w:val="005F72EE"/>
    <w:rsid w:val="005F7DB0"/>
    <w:rsid w:val="00601B61"/>
    <w:rsid w:val="0060331E"/>
    <w:rsid w:val="00610450"/>
    <w:rsid w:val="00612B33"/>
    <w:rsid w:val="00615664"/>
    <w:rsid w:val="00620693"/>
    <w:rsid w:val="00626895"/>
    <w:rsid w:val="00626FF5"/>
    <w:rsid w:val="0062716E"/>
    <w:rsid w:val="00627E99"/>
    <w:rsid w:val="00630028"/>
    <w:rsid w:val="00631414"/>
    <w:rsid w:val="00631FF7"/>
    <w:rsid w:val="00632FCC"/>
    <w:rsid w:val="006357D3"/>
    <w:rsid w:val="00637B13"/>
    <w:rsid w:val="00640732"/>
    <w:rsid w:val="00640C5F"/>
    <w:rsid w:val="006438A9"/>
    <w:rsid w:val="0064448E"/>
    <w:rsid w:val="006452DF"/>
    <w:rsid w:val="006516F1"/>
    <w:rsid w:val="00653B23"/>
    <w:rsid w:val="006545FA"/>
    <w:rsid w:val="00655AFB"/>
    <w:rsid w:val="00655C36"/>
    <w:rsid w:val="00656467"/>
    <w:rsid w:val="006577EA"/>
    <w:rsid w:val="00657F42"/>
    <w:rsid w:val="00661FCA"/>
    <w:rsid w:val="006631C0"/>
    <w:rsid w:val="00665194"/>
    <w:rsid w:val="0066689D"/>
    <w:rsid w:val="0066692E"/>
    <w:rsid w:val="00671E0F"/>
    <w:rsid w:val="00677F24"/>
    <w:rsid w:val="00680C3D"/>
    <w:rsid w:val="00681546"/>
    <w:rsid w:val="006873E7"/>
    <w:rsid w:val="00687C4F"/>
    <w:rsid w:val="00693FED"/>
    <w:rsid w:val="00697CAD"/>
    <w:rsid w:val="006A0640"/>
    <w:rsid w:val="006A30B5"/>
    <w:rsid w:val="006A4985"/>
    <w:rsid w:val="006A4CFC"/>
    <w:rsid w:val="006A6B76"/>
    <w:rsid w:val="006A7538"/>
    <w:rsid w:val="006A79D7"/>
    <w:rsid w:val="006B0890"/>
    <w:rsid w:val="006B0C6A"/>
    <w:rsid w:val="006B199E"/>
    <w:rsid w:val="006B298B"/>
    <w:rsid w:val="006B2C17"/>
    <w:rsid w:val="006C12F0"/>
    <w:rsid w:val="006C352B"/>
    <w:rsid w:val="006C471E"/>
    <w:rsid w:val="006C6C3B"/>
    <w:rsid w:val="006C7645"/>
    <w:rsid w:val="006D3676"/>
    <w:rsid w:val="006D3BA8"/>
    <w:rsid w:val="006E0E4F"/>
    <w:rsid w:val="006E4A05"/>
    <w:rsid w:val="006F10ED"/>
    <w:rsid w:val="006F1389"/>
    <w:rsid w:val="006F1DB2"/>
    <w:rsid w:val="007014EE"/>
    <w:rsid w:val="00701D02"/>
    <w:rsid w:val="0070282D"/>
    <w:rsid w:val="00703650"/>
    <w:rsid w:val="00711C2E"/>
    <w:rsid w:val="0071441F"/>
    <w:rsid w:val="0071486F"/>
    <w:rsid w:val="00715CE6"/>
    <w:rsid w:val="0071749C"/>
    <w:rsid w:val="00717E65"/>
    <w:rsid w:val="007213E4"/>
    <w:rsid w:val="0072183E"/>
    <w:rsid w:val="0072294D"/>
    <w:rsid w:val="00723112"/>
    <w:rsid w:val="00725E64"/>
    <w:rsid w:val="00737066"/>
    <w:rsid w:val="0074034F"/>
    <w:rsid w:val="00740DE3"/>
    <w:rsid w:val="00741920"/>
    <w:rsid w:val="007423DA"/>
    <w:rsid w:val="00742D28"/>
    <w:rsid w:val="0074376A"/>
    <w:rsid w:val="00744098"/>
    <w:rsid w:val="00744AEB"/>
    <w:rsid w:val="00747F5C"/>
    <w:rsid w:val="00750666"/>
    <w:rsid w:val="00751460"/>
    <w:rsid w:val="007534CC"/>
    <w:rsid w:val="00755639"/>
    <w:rsid w:val="007557AF"/>
    <w:rsid w:val="00756C8C"/>
    <w:rsid w:val="0075791A"/>
    <w:rsid w:val="00760225"/>
    <w:rsid w:val="00763976"/>
    <w:rsid w:val="007639DE"/>
    <w:rsid w:val="007666B9"/>
    <w:rsid w:val="00772E62"/>
    <w:rsid w:val="00774776"/>
    <w:rsid w:val="00775428"/>
    <w:rsid w:val="00775607"/>
    <w:rsid w:val="007824D3"/>
    <w:rsid w:val="007829AD"/>
    <w:rsid w:val="0078308D"/>
    <w:rsid w:val="00787586"/>
    <w:rsid w:val="007879A4"/>
    <w:rsid w:val="007907EC"/>
    <w:rsid w:val="007941C1"/>
    <w:rsid w:val="007970AD"/>
    <w:rsid w:val="007A1330"/>
    <w:rsid w:val="007A27D4"/>
    <w:rsid w:val="007A7954"/>
    <w:rsid w:val="007B05B1"/>
    <w:rsid w:val="007B0819"/>
    <w:rsid w:val="007B2032"/>
    <w:rsid w:val="007B2412"/>
    <w:rsid w:val="007B2577"/>
    <w:rsid w:val="007B308F"/>
    <w:rsid w:val="007B51ED"/>
    <w:rsid w:val="007B588F"/>
    <w:rsid w:val="007B78F7"/>
    <w:rsid w:val="007C13A2"/>
    <w:rsid w:val="007C3D6E"/>
    <w:rsid w:val="007C554B"/>
    <w:rsid w:val="007C76B7"/>
    <w:rsid w:val="007D75E1"/>
    <w:rsid w:val="007E1F9D"/>
    <w:rsid w:val="007E5F54"/>
    <w:rsid w:val="007E64DF"/>
    <w:rsid w:val="007F52C4"/>
    <w:rsid w:val="00802E22"/>
    <w:rsid w:val="00803054"/>
    <w:rsid w:val="008046BD"/>
    <w:rsid w:val="0080613C"/>
    <w:rsid w:val="00812F84"/>
    <w:rsid w:val="0081302B"/>
    <w:rsid w:val="00813432"/>
    <w:rsid w:val="0081667B"/>
    <w:rsid w:val="00820C1D"/>
    <w:rsid w:val="008241FC"/>
    <w:rsid w:val="008243D7"/>
    <w:rsid w:val="008266C2"/>
    <w:rsid w:val="008279B4"/>
    <w:rsid w:val="00831359"/>
    <w:rsid w:val="00832942"/>
    <w:rsid w:val="00833FEB"/>
    <w:rsid w:val="0083408B"/>
    <w:rsid w:val="00834F6E"/>
    <w:rsid w:val="00835AB3"/>
    <w:rsid w:val="0083630B"/>
    <w:rsid w:val="00836486"/>
    <w:rsid w:val="008439F6"/>
    <w:rsid w:val="00847FF6"/>
    <w:rsid w:val="00850F19"/>
    <w:rsid w:val="0085416C"/>
    <w:rsid w:val="00861944"/>
    <w:rsid w:val="008745BD"/>
    <w:rsid w:val="00875374"/>
    <w:rsid w:val="008759DA"/>
    <w:rsid w:val="00877C19"/>
    <w:rsid w:val="008830A8"/>
    <w:rsid w:val="0088357D"/>
    <w:rsid w:val="008848FA"/>
    <w:rsid w:val="00884C58"/>
    <w:rsid w:val="00884ED1"/>
    <w:rsid w:val="00885A49"/>
    <w:rsid w:val="00886C57"/>
    <w:rsid w:val="008874A4"/>
    <w:rsid w:val="0089195B"/>
    <w:rsid w:val="008926E5"/>
    <w:rsid w:val="00892C12"/>
    <w:rsid w:val="00894643"/>
    <w:rsid w:val="00895926"/>
    <w:rsid w:val="00895CB4"/>
    <w:rsid w:val="008A562A"/>
    <w:rsid w:val="008B2EFF"/>
    <w:rsid w:val="008B31C1"/>
    <w:rsid w:val="008B529D"/>
    <w:rsid w:val="008C173A"/>
    <w:rsid w:val="008C1ED4"/>
    <w:rsid w:val="008C3448"/>
    <w:rsid w:val="008C406D"/>
    <w:rsid w:val="008C4E87"/>
    <w:rsid w:val="008C5852"/>
    <w:rsid w:val="008C611F"/>
    <w:rsid w:val="008C688A"/>
    <w:rsid w:val="008C6AC0"/>
    <w:rsid w:val="008C7BCA"/>
    <w:rsid w:val="008C7E01"/>
    <w:rsid w:val="008D21DB"/>
    <w:rsid w:val="008D27B8"/>
    <w:rsid w:val="008D51A1"/>
    <w:rsid w:val="008E29B3"/>
    <w:rsid w:val="008E5C1B"/>
    <w:rsid w:val="008E742B"/>
    <w:rsid w:val="008F14DD"/>
    <w:rsid w:val="008F17A4"/>
    <w:rsid w:val="008F58ED"/>
    <w:rsid w:val="008F7AEB"/>
    <w:rsid w:val="00900798"/>
    <w:rsid w:val="009028A8"/>
    <w:rsid w:val="009130E8"/>
    <w:rsid w:val="0091407F"/>
    <w:rsid w:val="009222C8"/>
    <w:rsid w:val="00923D5D"/>
    <w:rsid w:val="009244DA"/>
    <w:rsid w:val="00931645"/>
    <w:rsid w:val="00933E6C"/>
    <w:rsid w:val="0093447C"/>
    <w:rsid w:val="00937E4A"/>
    <w:rsid w:val="00940C8E"/>
    <w:rsid w:val="00942022"/>
    <w:rsid w:val="00944DCA"/>
    <w:rsid w:val="009453DB"/>
    <w:rsid w:val="00946B25"/>
    <w:rsid w:val="00947BB3"/>
    <w:rsid w:val="00951C56"/>
    <w:rsid w:val="009529EE"/>
    <w:rsid w:val="00952A6D"/>
    <w:rsid w:val="00953EBF"/>
    <w:rsid w:val="00954793"/>
    <w:rsid w:val="00954C61"/>
    <w:rsid w:val="00954DFA"/>
    <w:rsid w:val="00962247"/>
    <w:rsid w:val="00962578"/>
    <w:rsid w:val="00962F82"/>
    <w:rsid w:val="009634A1"/>
    <w:rsid w:val="00964DFC"/>
    <w:rsid w:val="00966C67"/>
    <w:rsid w:val="0096763D"/>
    <w:rsid w:val="00967E30"/>
    <w:rsid w:val="00971465"/>
    <w:rsid w:val="00971D0E"/>
    <w:rsid w:val="009726BD"/>
    <w:rsid w:val="00972AA0"/>
    <w:rsid w:val="009736C1"/>
    <w:rsid w:val="00973FBF"/>
    <w:rsid w:val="00975F84"/>
    <w:rsid w:val="00976CE4"/>
    <w:rsid w:val="009816BF"/>
    <w:rsid w:val="0098322C"/>
    <w:rsid w:val="00984035"/>
    <w:rsid w:val="00984A62"/>
    <w:rsid w:val="00984FF5"/>
    <w:rsid w:val="00985E80"/>
    <w:rsid w:val="0098766D"/>
    <w:rsid w:val="00993C3B"/>
    <w:rsid w:val="00996FDA"/>
    <w:rsid w:val="009A14B5"/>
    <w:rsid w:val="009A1800"/>
    <w:rsid w:val="009A3E6B"/>
    <w:rsid w:val="009A4BFD"/>
    <w:rsid w:val="009B1884"/>
    <w:rsid w:val="009B2BF2"/>
    <w:rsid w:val="009B35C3"/>
    <w:rsid w:val="009B4BB2"/>
    <w:rsid w:val="009C6951"/>
    <w:rsid w:val="009D17BC"/>
    <w:rsid w:val="009D17CE"/>
    <w:rsid w:val="009D1834"/>
    <w:rsid w:val="009D45CF"/>
    <w:rsid w:val="009D4AF8"/>
    <w:rsid w:val="009D4B60"/>
    <w:rsid w:val="009D4E13"/>
    <w:rsid w:val="009D68FF"/>
    <w:rsid w:val="009E1F7F"/>
    <w:rsid w:val="009E3851"/>
    <w:rsid w:val="009E470D"/>
    <w:rsid w:val="009E4CAA"/>
    <w:rsid w:val="009E51AB"/>
    <w:rsid w:val="009E54DB"/>
    <w:rsid w:val="009E7D6E"/>
    <w:rsid w:val="009F60FC"/>
    <w:rsid w:val="00A003F2"/>
    <w:rsid w:val="00A0181B"/>
    <w:rsid w:val="00A033B1"/>
    <w:rsid w:val="00A043FC"/>
    <w:rsid w:val="00A04B66"/>
    <w:rsid w:val="00A05F1F"/>
    <w:rsid w:val="00A07FD9"/>
    <w:rsid w:val="00A1259C"/>
    <w:rsid w:val="00A12F4D"/>
    <w:rsid w:val="00A13CEC"/>
    <w:rsid w:val="00A13E13"/>
    <w:rsid w:val="00A23CB1"/>
    <w:rsid w:val="00A24004"/>
    <w:rsid w:val="00A26D8C"/>
    <w:rsid w:val="00A3134B"/>
    <w:rsid w:val="00A31D5B"/>
    <w:rsid w:val="00A33823"/>
    <w:rsid w:val="00A342D1"/>
    <w:rsid w:val="00A34510"/>
    <w:rsid w:val="00A37817"/>
    <w:rsid w:val="00A4146F"/>
    <w:rsid w:val="00A41768"/>
    <w:rsid w:val="00A417A5"/>
    <w:rsid w:val="00A50328"/>
    <w:rsid w:val="00A51610"/>
    <w:rsid w:val="00A51EC8"/>
    <w:rsid w:val="00A6251F"/>
    <w:rsid w:val="00A633F9"/>
    <w:rsid w:val="00A66320"/>
    <w:rsid w:val="00A704CB"/>
    <w:rsid w:val="00A70AFD"/>
    <w:rsid w:val="00A76528"/>
    <w:rsid w:val="00A76644"/>
    <w:rsid w:val="00A803DC"/>
    <w:rsid w:val="00A81060"/>
    <w:rsid w:val="00A82196"/>
    <w:rsid w:val="00A85258"/>
    <w:rsid w:val="00A90E0F"/>
    <w:rsid w:val="00A92C4F"/>
    <w:rsid w:val="00A93A81"/>
    <w:rsid w:val="00A94885"/>
    <w:rsid w:val="00A9588E"/>
    <w:rsid w:val="00A96539"/>
    <w:rsid w:val="00AA0FFE"/>
    <w:rsid w:val="00AA19B8"/>
    <w:rsid w:val="00AA2927"/>
    <w:rsid w:val="00AA49DC"/>
    <w:rsid w:val="00AB0635"/>
    <w:rsid w:val="00AB116C"/>
    <w:rsid w:val="00AB1B61"/>
    <w:rsid w:val="00AB2B70"/>
    <w:rsid w:val="00AB35CE"/>
    <w:rsid w:val="00AB3BB2"/>
    <w:rsid w:val="00AB48A8"/>
    <w:rsid w:val="00AC08A6"/>
    <w:rsid w:val="00AC499A"/>
    <w:rsid w:val="00AC4DBF"/>
    <w:rsid w:val="00AC65F2"/>
    <w:rsid w:val="00AC730F"/>
    <w:rsid w:val="00AD0321"/>
    <w:rsid w:val="00AD0E36"/>
    <w:rsid w:val="00AD2024"/>
    <w:rsid w:val="00AD2C48"/>
    <w:rsid w:val="00AD394D"/>
    <w:rsid w:val="00AD7565"/>
    <w:rsid w:val="00AE0F5E"/>
    <w:rsid w:val="00AE100C"/>
    <w:rsid w:val="00AE6434"/>
    <w:rsid w:val="00AE6D85"/>
    <w:rsid w:val="00AF19A0"/>
    <w:rsid w:val="00AF2A58"/>
    <w:rsid w:val="00AF405C"/>
    <w:rsid w:val="00AF48BD"/>
    <w:rsid w:val="00AF6A6B"/>
    <w:rsid w:val="00AF7645"/>
    <w:rsid w:val="00B04D90"/>
    <w:rsid w:val="00B04DD9"/>
    <w:rsid w:val="00B073AC"/>
    <w:rsid w:val="00B12BB7"/>
    <w:rsid w:val="00B14C5D"/>
    <w:rsid w:val="00B15EA5"/>
    <w:rsid w:val="00B22DDC"/>
    <w:rsid w:val="00B241B3"/>
    <w:rsid w:val="00B256F6"/>
    <w:rsid w:val="00B259DD"/>
    <w:rsid w:val="00B273D0"/>
    <w:rsid w:val="00B30763"/>
    <w:rsid w:val="00B30A5E"/>
    <w:rsid w:val="00B335EB"/>
    <w:rsid w:val="00B35378"/>
    <w:rsid w:val="00B365F9"/>
    <w:rsid w:val="00B40D8D"/>
    <w:rsid w:val="00B42BD4"/>
    <w:rsid w:val="00B431B1"/>
    <w:rsid w:val="00B4350C"/>
    <w:rsid w:val="00B5279D"/>
    <w:rsid w:val="00B54909"/>
    <w:rsid w:val="00B6044B"/>
    <w:rsid w:val="00B614E1"/>
    <w:rsid w:val="00B61ECA"/>
    <w:rsid w:val="00B62CED"/>
    <w:rsid w:val="00B63DD6"/>
    <w:rsid w:val="00B63F8A"/>
    <w:rsid w:val="00B643F8"/>
    <w:rsid w:val="00B65CC9"/>
    <w:rsid w:val="00B65E6B"/>
    <w:rsid w:val="00B67B8E"/>
    <w:rsid w:val="00B70721"/>
    <w:rsid w:val="00B70790"/>
    <w:rsid w:val="00B70C62"/>
    <w:rsid w:val="00B73475"/>
    <w:rsid w:val="00B73736"/>
    <w:rsid w:val="00B74C02"/>
    <w:rsid w:val="00B757EA"/>
    <w:rsid w:val="00B80A10"/>
    <w:rsid w:val="00B831EB"/>
    <w:rsid w:val="00B8774F"/>
    <w:rsid w:val="00B87FF1"/>
    <w:rsid w:val="00B9072A"/>
    <w:rsid w:val="00B9199F"/>
    <w:rsid w:val="00B94DAF"/>
    <w:rsid w:val="00B96754"/>
    <w:rsid w:val="00BA03A9"/>
    <w:rsid w:val="00BA27B2"/>
    <w:rsid w:val="00BA38B5"/>
    <w:rsid w:val="00BB1CBF"/>
    <w:rsid w:val="00BB1FDE"/>
    <w:rsid w:val="00BB2C65"/>
    <w:rsid w:val="00BC0C0D"/>
    <w:rsid w:val="00BC1328"/>
    <w:rsid w:val="00BC4F54"/>
    <w:rsid w:val="00BC66C4"/>
    <w:rsid w:val="00BC7AE6"/>
    <w:rsid w:val="00BC7EB6"/>
    <w:rsid w:val="00BD0642"/>
    <w:rsid w:val="00BD130C"/>
    <w:rsid w:val="00BD2CDC"/>
    <w:rsid w:val="00BD4376"/>
    <w:rsid w:val="00BD4C83"/>
    <w:rsid w:val="00BD5E16"/>
    <w:rsid w:val="00BD79EC"/>
    <w:rsid w:val="00BE37F2"/>
    <w:rsid w:val="00BE5E13"/>
    <w:rsid w:val="00BE5F5D"/>
    <w:rsid w:val="00BF3B84"/>
    <w:rsid w:val="00BF3EF9"/>
    <w:rsid w:val="00BF5744"/>
    <w:rsid w:val="00BF5C2F"/>
    <w:rsid w:val="00BF79FD"/>
    <w:rsid w:val="00C02821"/>
    <w:rsid w:val="00C02E15"/>
    <w:rsid w:val="00C03C4B"/>
    <w:rsid w:val="00C12043"/>
    <w:rsid w:val="00C13BC5"/>
    <w:rsid w:val="00C1440B"/>
    <w:rsid w:val="00C23721"/>
    <w:rsid w:val="00C259B2"/>
    <w:rsid w:val="00C26554"/>
    <w:rsid w:val="00C326CC"/>
    <w:rsid w:val="00C32DA1"/>
    <w:rsid w:val="00C33076"/>
    <w:rsid w:val="00C34467"/>
    <w:rsid w:val="00C370EF"/>
    <w:rsid w:val="00C40E20"/>
    <w:rsid w:val="00C4211A"/>
    <w:rsid w:val="00C46FCC"/>
    <w:rsid w:val="00C510B6"/>
    <w:rsid w:val="00C51297"/>
    <w:rsid w:val="00C517D0"/>
    <w:rsid w:val="00C5333A"/>
    <w:rsid w:val="00C54CBB"/>
    <w:rsid w:val="00C56B9F"/>
    <w:rsid w:val="00C57162"/>
    <w:rsid w:val="00C60F5A"/>
    <w:rsid w:val="00C63587"/>
    <w:rsid w:val="00C640A1"/>
    <w:rsid w:val="00C669D6"/>
    <w:rsid w:val="00C70BF1"/>
    <w:rsid w:val="00C713C8"/>
    <w:rsid w:val="00C716F0"/>
    <w:rsid w:val="00C72271"/>
    <w:rsid w:val="00C74B84"/>
    <w:rsid w:val="00C81791"/>
    <w:rsid w:val="00C81AFD"/>
    <w:rsid w:val="00C82882"/>
    <w:rsid w:val="00C830BF"/>
    <w:rsid w:val="00C8681E"/>
    <w:rsid w:val="00C8784F"/>
    <w:rsid w:val="00C90250"/>
    <w:rsid w:val="00C90594"/>
    <w:rsid w:val="00C90F01"/>
    <w:rsid w:val="00C945CF"/>
    <w:rsid w:val="00C95AB0"/>
    <w:rsid w:val="00C97EF9"/>
    <w:rsid w:val="00CA0ECD"/>
    <w:rsid w:val="00CA0ED1"/>
    <w:rsid w:val="00CA1E3D"/>
    <w:rsid w:val="00CA449D"/>
    <w:rsid w:val="00CA48A5"/>
    <w:rsid w:val="00CA685B"/>
    <w:rsid w:val="00CA6917"/>
    <w:rsid w:val="00CA7B54"/>
    <w:rsid w:val="00CB025C"/>
    <w:rsid w:val="00CB176A"/>
    <w:rsid w:val="00CB2BB1"/>
    <w:rsid w:val="00CB2D67"/>
    <w:rsid w:val="00CB33DE"/>
    <w:rsid w:val="00CB343F"/>
    <w:rsid w:val="00CC18C8"/>
    <w:rsid w:val="00CC2D97"/>
    <w:rsid w:val="00CC38F5"/>
    <w:rsid w:val="00CC3F4F"/>
    <w:rsid w:val="00CC4329"/>
    <w:rsid w:val="00CC4333"/>
    <w:rsid w:val="00CC5A00"/>
    <w:rsid w:val="00CC5D3F"/>
    <w:rsid w:val="00CD0537"/>
    <w:rsid w:val="00CD06F9"/>
    <w:rsid w:val="00CD1092"/>
    <w:rsid w:val="00CD4CE4"/>
    <w:rsid w:val="00CD61FB"/>
    <w:rsid w:val="00CD733B"/>
    <w:rsid w:val="00CD7704"/>
    <w:rsid w:val="00CE432F"/>
    <w:rsid w:val="00CE50AF"/>
    <w:rsid w:val="00CE66D0"/>
    <w:rsid w:val="00CE6A0D"/>
    <w:rsid w:val="00CE7683"/>
    <w:rsid w:val="00CF0367"/>
    <w:rsid w:val="00CF0598"/>
    <w:rsid w:val="00CF496E"/>
    <w:rsid w:val="00D00950"/>
    <w:rsid w:val="00D01C00"/>
    <w:rsid w:val="00D0298C"/>
    <w:rsid w:val="00D043E6"/>
    <w:rsid w:val="00D05112"/>
    <w:rsid w:val="00D05B8E"/>
    <w:rsid w:val="00D10E83"/>
    <w:rsid w:val="00D11690"/>
    <w:rsid w:val="00D135E4"/>
    <w:rsid w:val="00D13DD2"/>
    <w:rsid w:val="00D14AF2"/>
    <w:rsid w:val="00D1627A"/>
    <w:rsid w:val="00D16C0A"/>
    <w:rsid w:val="00D16C6E"/>
    <w:rsid w:val="00D21E79"/>
    <w:rsid w:val="00D2428C"/>
    <w:rsid w:val="00D2603D"/>
    <w:rsid w:val="00D306E4"/>
    <w:rsid w:val="00D31CDE"/>
    <w:rsid w:val="00D31EF7"/>
    <w:rsid w:val="00D33FCD"/>
    <w:rsid w:val="00D34F26"/>
    <w:rsid w:val="00D354F2"/>
    <w:rsid w:val="00D35E54"/>
    <w:rsid w:val="00D41931"/>
    <w:rsid w:val="00D4471C"/>
    <w:rsid w:val="00D4527E"/>
    <w:rsid w:val="00D45AC7"/>
    <w:rsid w:val="00D4689E"/>
    <w:rsid w:val="00D5313D"/>
    <w:rsid w:val="00D543F0"/>
    <w:rsid w:val="00D55688"/>
    <w:rsid w:val="00D60715"/>
    <w:rsid w:val="00D6138D"/>
    <w:rsid w:val="00D61965"/>
    <w:rsid w:val="00D67429"/>
    <w:rsid w:val="00D72D20"/>
    <w:rsid w:val="00D76C75"/>
    <w:rsid w:val="00D8292C"/>
    <w:rsid w:val="00D82B99"/>
    <w:rsid w:val="00D842B7"/>
    <w:rsid w:val="00D84765"/>
    <w:rsid w:val="00D8592C"/>
    <w:rsid w:val="00D87361"/>
    <w:rsid w:val="00D90444"/>
    <w:rsid w:val="00D92108"/>
    <w:rsid w:val="00D95BFC"/>
    <w:rsid w:val="00D973C5"/>
    <w:rsid w:val="00DA15BC"/>
    <w:rsid w:val="00DA19F5"/>
    <w:rsid w:val="00DA1EAD"/>
    <w:rsid w:val="00DA4C03"/>
    <w:rsid w:val="00DA5225"/>
    <w:rsid w:val="00DA75BB"/>
    <w:rsid w:val="00DA76AE"/>
    <w:rsid w:val="00DB16DE"/>
    <w:rsid w:val="00DB2EDB"/>
    <w:rsid w:val="00DB7F39"/>
    <w:rsid w:val="00DB7F9F"/>
    <w:rsid w:val="00DC1C51"/>
    <w:rsid w:val="00DC1E3D"/>
    <w:rsid w:val="00DC2E3A"/>
    <w:rsid w:val="00DC3E66"/>
    <w:rsid w:val="00DC5517"/>
    <w:rsid w:val="00DC57DE"/>
    <w:rsid w:val="00DD1060"/>
    <w:rsid w:val="00DD150C"/>
    <w:rsid w:val="00DD1CA7"/>
    <w:rsid w:val="00DD641A"/>
    <w:rsid w:val="00DD6AB2"/>
    <w:rsid w:val="00DE4C68"/>
    <w:rsid w:val="00DE5E6A"/>
    <w:rsid w:val="00DE6CF9"/>
    <w:rsid w:val="00DF0678"/>
    <w:rsid w:val="00DF0D89"/>
    <w:rsid w:val="00DF0E68"/>
    <w:rsid w:val="00DF1E95"/>
    <w:rsid w:val="00DF3AF6"/>
    <w:rsid w:val="00DF48B8"/>
    <w:rsid w:val="00DF4B62"/>
    <w:rsid w:val="00DF75B1"/>
    <w:rsid w:val="00E02692"/>
    <w:rsid w:val="00E10C98"/>
    <w:rsid w:val="00E10C9E"/>
    <w:rsid w:val="00E10DE4"/>
    <w:rsid w:val="00E11507"/>
    <w:rsid w:val="00E12DAC"/>
    <w:rsid w:val="00E165AC"/>
    <w:rsid w:val="00E20635"/>
    <w:rsid w:val="00E21C49"/>
    <w:rsid w:val="00E2315C"/>
    <w:rsid w:val="00E262C0"/>
    <w:rsid w:val="00E33159"/>
    <w:rsid w:val="00E33B9C"/>
    <w:rsid w:val="00E342C5"/>
    <w:rsid w:val="00E36AA0"/>
    <w:rsid w:val="00E36AEE"/>
    <w:rsid w:val="00E37D52"/>
    <w:rsid w:val="00E405A7"/>
    <w:rsid w:val="00E41F2E"/>
    <w:rsid w:val="00E43CBC"/>
    <w:rsid w:val="00E44950"/>
    <w:rsid w:val="00E53D27"/>
    <w:rsid w:val="00E57F89"/>
    <w:rsid w:val="00E62C9C"/>
    <w:rsid w:val="00E638AE"/>
    <w:rsid w:val="00E6500B"/>
    <w:rsid w:val="00E65062"/>
    <w:rsid w:val="00E67A64"/>
    <w:rsid w:val="00E70055"/>
    <w:rsid w:val="00E73FD1"/>
    <w:rsid w:val="00E75A1A"/>
    <w:rsid w:val="00E75D5C"/>
    <w:rsid w:val="00E75F40"/>
    <w:rsid w:val="00E774D6"/>
    <w:rsid w:val="00E806BF"/>
    <w:rsid w:val="00E80736"/>
    <w:rsid w:val="00E879A7"/>
    <w:rsid w:val="00E87FD0"/>
    <w:rsid w:val="00E925A3"/>
    <w:rsid w:val="00E96D78"/>
    <w:rsid w:val="00E97450"/>
    <w:rsid w:val="00EA27E7"/>
    <w:rsid w:val="00EA4BA7"/>
    <w:rsid w:val="00EA4E90"/>
    <w:rsid w:val="00EA4FCF"/>
    <w:rsid w:val="00EA549C"/>
    <w:rsid w:val="00EA60D7"/>
    <w:rsid w:val="00EB29E2"/>
    <w:rsid w:val="00EB31A3"/>
    <w:rsid w:val="00EB77C9"/>
    <w:rsid w:val="00EC09F1"/>
    <w:rsid w:val="00EC3CF5"/>
    <w:rsid w:val="00EC670A"/>
    <w:rsid w:val="00ED017F"/>
    <w:rsid w:val="00ED6C95"/>
    <w:rsid w:val="00ED7F38"/>
    <w:rsid w:val="00EE2AA3"/>
    <w:rsid w:val="00EF16FA"/>
    <w:rsid w:val="00EF184E"/>
    <w:rsid w:val="00EF24CB"/>
    <w:rsid w:val="00EF359E"/>
    <w:rsid w:val="00EF532E"/>
    <w:rsid w:val="00EF5DF0"/>
    <w:rsid w:val="00F016CA"/>
    <w:rsid w:val="00F067AF"/>
    <w:rsid w:val="00F07B1B"/>
    <w:rsid w:val="00F07CE4"/>
    <w:rsid w:val="00F10FD5"/>
    <w:rsid w:val="00F11376"/>
    <w:rsid w:val="00F14696"/>
    <w:rsid w:val="00F14A81"/>
    <w:rsid w:val="00F16020"/>
    <w:rsid w:val="00F1629D"/>
    <w:rsid w:val="00F24CD9"/>
    <w:rsid w:val="00F2562E"/>
    <w:rsid w:val="00F30F82"/>
    <w:rsid w:val="00F32D5F"/>
    <w:rsid w:val="00F3309B"/>
    <w:rsid w:val="00F33355"/>
    <w:rsid w:val="00F33FA5"/>
    <w:rsid w:val="00F343CE"/>
    <w:rsid w:val="00F362E0"/>
    <w:rsid w:val="00F42338"/>
    <w:rsid w:val="00F43FB6"/>
    <w:rsid w:val="00F45ABE"/>
    <w:rsid w:val="00F51C2D"/>
    <w:rsid w:val="00F55834"/>
    <w:rsid w:val="00F57438"/>
    <w:rsid w:val="00F60276"/>
    <w:rsid w:val="00F61DF1"/>
    <w:rsid w:val="00F63F2A"/>
    <w:rsid w:val="00F6540B"/>
    <w:rsid w:val="00F664CB"/>
    <w:rsid w:val="00F66620"/>
    <w:rsid w:val="00F66D57"/>
    <w:rsid w:val="00F66EB6"/>
    <w:rsid w:val="00F678A3"/>
    <w:rsid w:val="00F6793D"/>
    <w:rsid w:val="00F70631"/>
    <w:rsid w:val="00F707DB"/>
    <w:rsid w:val="00F77A66"/>
    <w:rsid w:val="00F825C1"/>
    <w:rsid w:val="00F82837"/>
    <w:rsid w:val="00F84689"/>
    <w:rsid w:val="00F86B36"/>
    <w:rsid w:val="00F87F35"/>
    <w:rsid w:val="00F9158A"/>
    <w:rsid w:val="00F92026"/>
    <w:rsid w:val="00F9288B"/>
    <w:rsid w:val="00F97582"/>
    <w:rsid w:val="00F97A98"/>
    <w:rsid w:val="00FA29A3"/>
    <w:rsid w:val="00FA2DB5"/>
    <w:rsid w:val="00FA4922"/>
    <w:rsid w:val="00FA496A"/>
    <w:rsid w:val="00FA548D"/>
    <w:rsid w:val="00FA7A82"/>
    <w:rsid w:val="00FB21E3"/>
    <w:rsid w:val="00FB280B"/>
    <w:rsid w:val="00FB3B60"/>
    <w:rsid w:val="00FC15FE"/>
    <w:rsid w:val="00FC439F"/>
    <w:rsid w:val="00FC53DA"/>
    <w:rsid w:val="00FD4EDC"/>
    <w:rsid w:val="00FD5C08"/>
    <w:rsid w:val="00FD78A8"/>
    <w:rsid w:val="00FE02E1"/>
    <w:rsid w:val="00FE36E8"/>
    <w:rsid w:val="00FE67B4"/>
    <w:rsid w:val="00FE79E4"/>
    <w:rsid w:val="00FE7DDA"/>
    <w:rsid w:val="00FF1F30"/>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839536082">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F6DCB-8345-4515-9818-2C9BC08E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4133</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Vincent-JF</dc:creator>
  <cp:lastModifiedBy>Zhu, Vincent-JF</cp:lastModifiedBy>
  <cp:revision>9</cp:revision>
  <dcterms:created xsi:type="dcterms:W3CDTF">2019-10-02T08:00:00Z</dcterms:created>
  <dcterms:modified xsi:type="dcterms:W3CDTF">2019-10-02T08:57:00Z</dcterms:modified>
</cp:coreProperties>
</file>