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7F22F6" w14:textId="3FF9E516" w:rsidR="00365DEB" w:rsidRPr="00565DE9" w:rsidRDefault="00E0051D" w:rsidP="00D61965">
      <w:pPr>
        <w:spacing w:after="60"/>
        <w:jc w:val="center"/>
        <w:rPr>
          <w:b/>
        </w:rPr>
      </w:pPr>
      <w:r>
        <w:rPr>
          <w:b/>
        </w:rPr>
        <w:t>201</w:t>
      </w:r>
      <w:r w:rsidR="006474AF">
        <w:rPr>
          <w:b/>
        </w:rPr>
        <w:t>1</w:t>
      </w:r>
      <w:r w:rsidR="00715CE6">
        <w:rPr>
          <w:b/>
        </w:rPr>
        <w:t xml:space="preserve"> S2</w:t>
      </w:r>
    </w:p>
    <w:p w14:paraId="6825F745" w14:textId="5484E31F" w:rsidR="00D80A93" w:rsidRPr="00D80A93" w:rsidRDefault="00BC7AE6" w:rsidP="00D80A93">
      <w:pPr>
        <w:spacing w:after="60"/>
        <w:rPr>
          <w:i/>
          <w:color w:val="000000" w:themeColor="text1"/>
        </w:rPr>
      </w:pPr>
      <w:r w:rsidRPr="00125723">
        <w:rPr>
          <w:b/>
          <w:color w:val="000000" w:themeColor="text1"/>
        </w:rPr>
        <w:t>Q1</w:t>
      </w:r>
      <w:r>
        <w:rPr>
          <w:b/>
          <w:color w:val="000000" w:themeColor="text1"/>
        </w:rPr>
        <w:t xml:space="preserve"> </w:t>
      </w:r>
      <w:r w:rsidRPr="00CC2D97">
        <w:rPr>
          <w:color w:val="000000" w:themeColor="text1"/>
        </w:rPr>
        <w:t xml:space="preserve">a) </w:t>
      </w:r>
      <w:r w:rsidR="00D80A93" w:rsidRPr="00D80A93">
        <w:rPr>
          <w:i/>
          <w:color w:val="000000" w:themeColor="text1"/>
        </w:rPr>
        <w:t>The difference in the key responsibility btw an Appointed Actuary and Board of Directors:</w:t>
      </w:r>
    </w:p>
    <w:p w14:paraId="138BFF17" w14:textId="0FDC7648" w:rsidR="00D80A93" w:rsidRPr="00D80A93" w:rsidRDefault="00D80A93" w:rsidP="00ED0690">
      <w:pPr>
        <w:pStyle w:val="ListParagraph"/>
        <w:numPr>
          <w:ilvl w:val="0"/>
          <w:numId w:val="1"/>
        </w:numPr>
        <w:spacing w:after="60"/>
        <w:rPr>
          <w:color w:val="000000" w:themeColor="text1"/>
        </w:rPr>
      </w:pPr>
      <w:r w:rsidRPr="00D80A93">
        <w:rPr>
          <w:color w:val="000000" w:themeColor="text1"/>
        </w:rPr>
        <w:t>The Appointed Actuary is an adv</w:t>
      </w:r>
      <w:r>
        <w:rPr>
          <w:color w:val="000000" w:themeColor="text1"/>
        </w:rPr>
        <w:t>iser to the Board of Directors.</w:t>
      </w:r>
    </w:p>
    <w:p w14:paraId="3E163977" w14:textId="5938629E" w:rsidR="00D80A93" w:rsidRDefault="00D80A93" w:rsidP="00ED0690">
      <w:pPr>
        <w:pStyle w:val="ListParagraph"/>
        <w:numPr>
          <w:ilvl w:val="0"/>
          <w:numId w:val="1"/>
        </w:numPr>
        <w:spacing w:after="60"/>
        <w:rPr>
          <w:color w:val="000000" w:themeColor="text1"/>
        </w:rPr>
      </w:pPr>
      <w:r w:rsidRPr="00D80A93">
        <w:rPr>
          <w:color w:val="000000" w:themeColor="text1"/>
        </w:rPr>
        <w:t>The Board of Directors ultimately takes responsibility for decisions concerning the company.</w:t>
      </w:r>
    </w:p>
    <w:p w14:paraId="632C3817" w14:textId="77777777" w:rsidR="00D80A93" w:rsidRDefault="00D80A93" w:rsidP="00D80A93">
      <w:pPr>
        <w:spacing w:after="60"/>
        <w:rPr>
          <w:color w:val="000000" w:themeColor="text1"/>
        </w:rPr>
      </w:pPr>
    </w:p>
    <w:p w14:paraId="30BF671E" w14:textId="1EF6B9C2" w:rsidR="002B7C04" w:rsidRPr="002B7C04" w:rsidRDefault="00D80A93" w:rsidP="002B7C04">
      <w:pPr>
        <w:spacing w:after="60"/>
        <w:rPr>
          <w:color w:val="000000" w:themeColor="text1"/>
        </w:rPr>
      </w:pPr>
      <w:r>
        <w:rPr>
          <w:color w:val="000000" w:themeColor="text1"/>
        </w:rPr>
        <w:t xml:space="preserve">1b) </w:t>
      </w:r>
      <w:r w:rsidR="002B7C04" w:rsidRPr="002B7C04">
        <w:rPr>
          <w:i/>
          <w:color w:val="000000" w:themeColor="text1"/>
        </w:rPr>
        <w:t>To communicate effectively to the Directors via FCR:</w:t>
      </w:r>
    </w:p>
    <w:p w14:paraId="39E3AA30" w14:textId="2D9CC9A3" w:rsidR="002B7C04" w:rsidRPr="002B7C04" w:rsidRDefault="002B7C04" w:rsidP="00ED0690">
      <w:pPr>
        <w:pStyle w:val="ListParagraph"/>
        <w:numPr>
          <w:ilvl w:val="0"/>
          <w:numId w:val="2"/>
        </w:numPr>
        <w:spacing w:after="60"/>
        <w:rPr>
          <w:color w:val="000000" w:themeColor="text1"/>
        </w:rPr>
      </w:pPr>
      <w:r w:rsidRPr="002B7C04">
        <w:rPr>
          <w:color w:val="000000" w:themeColor="text1"/>
        </w:rPr>
        <w:t>The report should be well structured and subdivided into various sections.</w:t>
      </w:r>
    </w:p>
    <w:p w14:paraId="4863B88D" w14:textId="2E5A9D49" w:rsidR="002B7C04" w:rsidRPr="002B7C04" w:rsidRDefault="002B7C04" w:rsidP="00ED0690">
      <w:pPr>
        <w:pStyle w:val="ListParagraph"/>
        <w:numPr>
          <w:ilvl w:val="0"/>
          <w:numId w:val="2"/>
        </w:numPr>
        <w:spacing w:after="60"/>
        <w:rPr>
          <w:color w:val="000000" w:themeColor="text1"/>
        </w:rPr>
      </w:pPr>
      <w:r>
        <w:rPr>
          <w:color w:val="000000" w:themeColor="text1"/>
        </w:rPr>
        <w:t>Include a contents page.</w:t>
      </w:r>
    </w:p>
    <w:p w14:paraId="34ABE126" w14:textId="26D2FE90" w:rsidR="002B7C04" w:rsidRPr="002B7C04" w:rsidRDefault="002B7C04" w:rsidP="00ED0690">
      <w:pPr>
        <w:pStyle w:val="ListParagraph"/>
        <w:numPr>
          <w:ilvl w:val="0"/>
          <w:numId w:val="2"/>
        </w:numPr>
        <w:spacing w:after="60"/>
        <w:rPr>
          <w:color w:val="000000" w:themeColor="text1"/>
        </w:rPr>
      </w:pPr>
      <w:r w:rsidRPr="002B7C04">
        <w:rPr>
          <w:color w:val="000000" w:themeColor="text1"/>
        </w:rPr>
        <w:t xml:space="preserve">At the start of the report, there should be an executive summary focusing on the </w:t>
      </w:r>
      <w:r>
        <w:rPr>
          <w:color w:val="000000" w:themeColor="text1"/>
        </w:rPr>
        <w:t>key issues and recommendations.</w:t>
      </w:r>
    </w:p>
    <w:p w14:paraId="40E9462C" w14:textId="077CAE16" w:rsidR="002B7C04" w:rsidRPr="002B7C04" w:rsidRDefault="002B7C04" w:rsidP="00ED0690">
      <w:pPr>
        <w:pStyle w:val="ListParagraph"/>
        <w:numPr>
          <w:ilvl w:val="0"/>
          <w:numId w:val="2"/>
        </w:numPr>
        <w:spacing w:after="60"/>
        <w:rPr>
          <w:color w:val="000000" w:themeColor="text1"/>
        </w:rPr>
      </w:pPr>
      <w:r w:rsidRPr="002B7C04">
        <w:rPr>
          <w:color w:val="000000" w:themeColor="text1"/>
        </w:rPr>
        <w:t xml:space="preserve">The report must comply with PS200 by covering all the topics and requirements of the standard. </w:t>
      </w:r>
    </w:p>
    <w:p w14:paraId="5035D7E1" w14:textId="2B9B9B45" w:rsidR="002B7C04" w:rsidRPr="002B7C04" w:rsidRDefault="002B7C04" w:rsidP="00ED0690">
      <w:pPr>
        <w:pStyle w:val="ListParagraph"/>
        <w:numPr>
          <w:ilvl w:val="0"/>
          <w:numId w:val="2"/>
        </w:numPr>
        <w:spacing w:after="60"/>
        <w:rPr>
          <w:color w:val="000000" w:themeColor="text1"/>
        </w:rPr>
      </w:pPr>
      <w:r w:rsidRPr="002B7C04">
        <w:rPr>
          <w:color w:val="000000" w:themeColor="text1"/>
        </w:rPr>
        <w:t>The technical details shou</w:t>
      </w:r>
      <w:r>
        <w:rPr>
          <w:color w:val="000000" w:themeColor="text1"/>
        </w:rPr>
        <w:t>ld be shown in the Appendices.</w:t>
      </w:r>
    </w:p>
    <w:p w14:paraId="3CA7C109" w14:textId="04B4E9BD" w:rsidR="002B7C04" w:rsidRPr="002B7C04" w:rsidRDefault="002B7C04" w:rsidP="00ED0690">
      <w:pPr>
        <w:pStyle w:val="ListParagraph"/>
        <w:numPr>
          <w:ilvl w:val="0"/>
          <w:numId w:val="2"/>
        </w:numPr>
        <w:spacing w:after="60"/>
        <w:rPr>
          <w:color w:val="000000" w:themeColor="text1"/>
        </w:rPr>
      </w:pPr>
      <w:r w:rsidRPr="002B7C04">
        <w:rPr>
          <w:color w:val="000000" w:themeColor="text1"/>
        </w:rPr>
        <w:t>As the directors are from a non</w:t>
      </w:r>
      <w:r>
        <w:rPr>
          <w:color w:val="000000" w:themeColor="text1"/>
        </w:rPr>
        <w:t>-</w:t>
      </w:r>
      <w:r w:rsidRPr="002B7C04">
        <w:rPr>
          <w:color w:val="000000" w:themeColor="text1"/>
        </w:rPr>
        <w:t>actuarial background, one would avo</w:t>
      </w:r>
      <w:r>
        <w:rPr>
          <w:color w:val="000000" w:themeColor="text1"/>
        </w:rPr>
        <w:t>id the use of actuarial jargon.</w:t>
      </w:r>
    </w:p>
    <w:p w14:paraId="0AA53823" w14:textId="2B779C60" w:rsidR="002B7C04" w:rsidRPr="002B7C04" w:rsidRDefault="002B7C04" w:rsidP="00ED0690">
      <w:pPr>
        <w:pStyle w:val="ListParagraph"/>
        <w:numPr>
          <w:ilvl w:val="0"/>
          <w:numId w:val="2"/>
        </w:numPr>
        <w:spacing w:after="60"/>
        <w:rPr>
          <w:color w:val="000000" w:themeColor="text1"/>
        </w:rPr>
      </w:pPr>
      <w:r w:rsidRPr="002B7C04">
        <w:rPr>
          <w:color w:val="000000" w:themeColor="text1"/>
        </w:rPr>
        <w:t>One would need to explain complex actuarial concepts in simple terms.</w:t>
      </w:r>
    </w:p>
    <w:p w14:paraId="36A4C1D9" w14:textId="289D24E9" w:rsidR="002B7C04" w:rsidRPr="002B7C04" w:rsidRDefault="002B7C04" w:rsidP="00ED0690">
      <w:pPr>
        <w:pStyle w:val="ListParagraph"/>
        <w:numPr>
          <w:ilvl w:val="0"/>
          <w:numId w:val="2"/>
        </w:numPr>
        <w:spacing w:after="60"/>
        <w:rPr>
          <w:color w:val="000000" w:themeColor="text1"/>
        </w:rPr>
      </w:pPr>
      <w:r w:rsidRPr="002B7C04">
        <w:rPr>
          <w:color w:val="000000" w:themeColor="text1"/>
        </w:rPr>
        <w:t>The use of graphs and table to present actuarial r</w:t>
      </w:r>
      <w:r>
        <w:rPr>
          <w:color w:val="000000" w:themeColor="text1"/>
        </w:rPr>
        <w:t xml:space="preserve">esults would greatly assist the </w:t>
      </w:r>
      <w:r w:rsidRPr="002B7C04">
        <w:rPr>
          <w:color w:val="000000" w:themeColor="text1"/>
        </w:rPr>
        <w:t xml:space="preserve">directors in comprehending the messages that the Appointed Actuary is trying to convey. </w:t>
      </w:r>
    </w:p>
    <w:p w14:paraId="69AD6B56" w14:textId="7B147D64" w:rsidR="002B7C04" w:rsidRPr="002B7C04" w:rsidRDefault="002B7C04" w:rsidP="00ED0690">
      <w:pPr>
        <w:pStyle w:val="ListParagraph"/>
        <w:numPr>
          <w:ilvl w:val="0"/>
          <w:numId w:val="2"/>
        </w:numPr>
        <w:spacing w:after="60"/>
        <w:rPr>
          <w:color w:val="000000" w:themeColor="text1"/>
        </w:rPr>
      </w:pPr>
      <w:r w:rsidRPr="002B7C04">
        <w:rPr>
          <w:color w:val="000000" w:themeColor="text1"/>
        </w:rPr>
        <w:t xml:space="preserve">Should link experience variation and effect of change in assumptions to a concept that the directors would understand such as impact on profit, solvency or capital adequacy. </w:t>
      </w:r>
    </w:p>
    <w:p w14:paraId="6BFDBFF4" w14:textId="49BBE602" w:rsidR="00D80A93" w:rsidRDefault="002B7C04" w:rsidP="00ED0690">
      <w:pPr>
        <w:pStyle w:val="ListParagraph"/>
        <w:numPr>
          <w:ilvl w:val="0"/>
          <w:numId w:val="2"/>
        </w:numPr>
        <w:spacing w:after="60"/>
        <w:rPr>
          <w:color w:val="000000" w:themeColor="text1"/>
        </w:rPr>
      </w:pPr>
      <w:r w:rsidRPr="002B7C04">
        <w:rPr>
          <w:color w:val="000000" w:themeColor="text1"/>
        </w:rPr>
        <w:t>Include a dictionary of technical and insurance terms in one of the appendices.</w:t>
      </w:r>
    </w:p>
    <w:p w14:paraId="48894F15" w14:textId="77777777" w:rsidR="003C658D" w:rsidRDefault="003C658D" w:rsidP="003C658D">
      <w:pPr>
        <w:spacing w:after="60"/>
        <w:rPr>
          <w:color w:val="000000" w:themeColor="text1"/>
        </w:rPr>
      </w:pPr>
    </w:p>
    <w:p w14:paraId="1721B690" w14:textId="2260EBDC" w:rsidR="003C658D" w:rsidRDefault="003C658D" w:rsidP="003C658D">
      <w:pPr>
        <w:spacing w:after="60"/>
        <w:rPr>
          <w:i/>
          <w:color w:val="000000" w:themeColor="text1"/>
        </w:rPr>
      </w:pPr>
      <w:r>
        <w:rPr>
          <w:color w:val="000000" w:themeColor="text1"/>
        </w:rPr>
        <w:t xml:space="preserve">1c) </w:t>
      </w:r>
      <w:r w:rsidR="00A05611" w:rsidRPr="00A05611">
        <w:rPr>
          <w:i/>
          <w:color w:val="000000" w:themeColor="text1"/>
        </w:rPr>
        <w:t>Issues that may arise with actions to resolve them include:</w:t>
      </w:r>
    </w:p>
    <w:tbl>
      <w:tblPr>
        <w:tblStyle w:val="TableGrid"/>
        <w:tblW w:w="9018" w:type="dxa"/>
        <w:tblLook w:val="04A0" w:firstRow="1" w:lastRow="0" w:firstColumn="1" w:lastColumn="0" w:noHBand="0" w:noVBand="1"/>
      </w:tblPr>
      <w:tblGrid>
        <w:gridCol w:w="5418"/>
        <w:gridCol w:w="3600"/>
      </w:tblGrid>
      <w:tr w:rsidR="00A05611" w14:paraId="26B8029C" w14:textId="77777777" w:rsidTr="00A05611">
        <w:tc>
          <w:tcPr>
            <w:tcW w:w="5418" w:type="dxa"/>
          </w:tcPr>
          <w:p w14:paraId="6CC1A8B6" w14:textId="58B5606E" w:rsidR="00A05611" w:rsidRDefault="00A05611" w:rsidP="003C658D">
            <w:pPr>
              <w:spacing w:after="60"/>
              <w:rPr>
                <w:color w:val="000000" w:themeColor="text1"/>
              </w:rPr>
            </w:pPr>
            <w:r>
              <w:rPr>
                <w:color w:val="000000" w:themeColor="text1"/>
              </w:rPr>
              <w:t>Issue</w:t>
            </w:r>
          </w:p>
        </w:tc>
        <w:tc>
          <w:tcPr>
            <w:tcW w:w="3600" w:type="dxa"/>
          </w:tcPr>
          <w:p w14:paraId="5C72446D" w14:textId="2F0069EA" w:rsidR="00A05611" w:rsidRDefault="00A05611" w:rsidP="00A05611">
            <w:pPr>
              <w:spacing w:after="60"/>
              <w:rPr>
                <w:color w:val="000000" w:themeColor="text1"/>
              </w:rPr>
            </w:pPr>
            <w:r>
              <w:rPr>
                <w:color w:val="000000" w:themeColor="text1"/>
              </w:rPr>
              <w:t>Actions to Resolve the Issue</w:t>
            </w:r>
          </w:p>
        </w:tc>
      </w:tr>
      <w:tr w:rsidR="00A05611" w14:paraId="52C68136" w14:textId="77777777" w:rsidTr="00A05611">
        <w:tc>
          <w:tcPr>
            <w:tcW w:w="5418" w:type="dxa"/>
          </w:tcPr>
          <w:p w14:paraId="4957F838" w14:textId="77777777" w:rsidR="00A05611" w:rsidRPr="00A05611" w:rsidRDefault="00A05611" w:rsidP="00A05611">
            <w:pPr>
              <w:spacing w:after="60"/>
              <w:rPr>
                <w:b/>
                <w:color w:val="000000" w:themeColor="text1"/>
              </w:rPr>
            </w:pPr>
            <w:r w:rsidRPr="00A05611">
              <w:rPr>
                <w:b/>
                <w:color w:val="000000" w:themeColor="text1"/>
              </w:rPr>
              <w:t>Assumption Setting</w:t>
            </w:r>
          </w:p>
          <w:p w14:paraId="7C48DB8E" w14:textId="69103C28" w:rsidR="00A05611" w:rsidRDefault="00A05611" w:rsidP="00A05611">
            <w:pPr>
              <w:spacing w:after="60"/>
              <w:rPr>
                <w:color w:val="000000" w:themeColor="text1"/>
              </w:rPr>
            </w:pPr>
            <w:r w:rsidRPr="00A05611">
              <w:rPr>
                <w:color w:val="000000" w:themeColor="text1"/>
              </w:rPr>
              <w:t>By 30/9/2012, Online life would have only been operating for 6 months. It won’t have enough experience to form assumptions for</w:t>
            </w:r>
            <w:r>
              <w:rPr>
                <w:color w:val="000000" w:themeColor="text1"/>
              </w:rPr>
              <w:t xml:space="preserve"> policy liability calculations.</w:t>
            </w:r>
          </w:p>
        </w:tc>
        <w:tc>
          <w:tcPr>
            <w:tcW w:w="3600" w:type="dxa"/>
          </w:tcPr>
          <w:p w14:paraId="121BE255" w14:textId="33A894C9" w:rsidR="00A05611" w:rsidRDefault="00A05611" w:rsidP="003C658D">
            <w:pPr>
              <w:spacing w:after="60"/>
              <w:rPr>
                <w:color w:val="000000" w:themeColor="text1"/>
              </w:rPr>
            </w:pPr>
            <w:r w:rsidRPr="00A05611">
              <w:rPr>
                <w:color w:val="000000" w:themeColor="text1"/>
              </w:rPr>
              <w:t>It will likely revert to the assumptions used in pricing. Alternatively the solution would be to use industry experience studies, reinsurers’ advice or seek adv</w:t>
            </w:r>
            <w:r>
              <w:rPr>
                <w:color w:val="000000" w:themeColor="text1"/>
              </w:rPr>
              <w:t>ice from actuarial consultants.</w:t>
            </w:r>
          </w:p>
        </w:tc>
      </w:tr>
      <w:tr w:rsidR="00A05611" w14:paraId="4AC7CEA4" w14:textId="77777777" w:rsidTr="00A05611">
        <w:tc>
          <w:tcPr>
            <w:tcW w:w="5418" w:type="dxa"/>
          </w:tcPr>
          <w:p w14:paraId="7121F2D4" w14:textId="77777777" w:rsidR="00A05611" w:rsidRPr="00A05611" w:rsidRDefault="00A05611" w:rsidP="00A05611">
            <w:pPr>
              <w:spacing w:after="60"/>
              <w:rPr>
                <w:b/>
                <w:color w:val="000000" w:themeColor="text1"/>
              </w:rPr>
            </w:pPr>
            <w:r w:rsidRPr="00A05611">
              <w:rPr>
                <w:b/>
                <w:color w:val="000000" w:themeColor="text1"/>
              </w:rPr>
              <w:t xml:space="preserve">Data Integrity </w:t>
            </w:r>
          </w:p>
          <w:p w14:paraId="18BED9C2" w14:textId="3E6DA554" w:rsidR="00A05611" w:rsidRPr="00A05611" w:rsidRDefault="00A05611" w:rsidP="00A05611">
            <w:pPr>
              <w:spacing w:after="60"/>
              <w:rPr>
                <w:color w:val="000000" w:themeColor="text1"/>
              </w:rPr>
            </w:pPr>
            <w:r w:rsidRPr="00A05611">
              <w:rPr>
                <w:color w:val="000000" w:themeColor="text1"/>
              </w:rPr>
              <w:t>In the FCR, the Appointed Actuary must comment on data integrity issues.</w:t>
            </w:r>
          </w:p>
          <w:p w14:paraId="2457E683" w14:textId="4457207F" w:rsidR="00A05611" w:rsidRDefault="00A05611" w:rsidP="00A05611">
            <w:pPr>
              <w:spacing w:after="60"/>
              <w:rPr>
                <w:color w:val="000000" w:themeColor="text1"/>
              </w:rPr>
            </w:pPr>
            <w:r w:rsidRPr="00A05611">
              <w:rPr>
                <w:color w:val="000000" w:themeColor="text1"/>
              </w:rPr>
              <w:t>As the company is new, actuarial extracts will be required for the first policy liability valuation and there could be issues with the data i</w:t>
            </w:r>
            <w:r>
              <w:rPr>
                <w:color w:val="000000" w:themeColor="text1"/>
              </w:rPr>
              <w:t>ntegrity of actuarial extracts.</w:t>
            </w:r>
          </w:p>
        </w:tc>
        <w:tc>
          <w:tcPr>
            <w:tcW w:w="3600" w:type="dxa"/>
          </w:tcPr>
          <w:p w14:paraId="5B32E6A9" w14:textId="77E6B73B" w:rsidR="00A05611" w:rsidRDefault="00A05611" w:rsidP="003C658D">
            <w:pPr>
              <w:spacing w:after="60"/>
              <w:rPr>
                <w:color w:val="000000" w:themeColor="text1"/>
              </w:rPr>
            </w:pPr>
            <w:r w:rsidRPr="00A05611">
              <w:rPr>
                <w:color w:val="000000" w:themeColor="text1"/>
              </w:rPr>
              <w:t>Data will need appropriate checks such as reasonableness checks on data fields (age, duration, sum assured, annual premium etc).</w:t>
            </w:r>
          </w:p>
        </w:tc>
      </w:tr>
      <w:tr w:rsidR="00A05611" w14:paraId="4F03E84A" w14:textId="77777777" w:rsidTr="00A05611">
        <w:tc>
          <w:tcPr>
            <w:tcW w:w="5418" w:type="dxa"/>
          </w:tcPr>
          <w:p w14:paraId="522A7771" w14:textId="77777777" w:rsidR="00A05611" w:rsidRPr="00A05611" w:rsidRDefault="00A05611" w:rsidP="00A05611">
            <w:pPr>
              <w:spacing w:after="60"/>
              <w:rPr>
                <w:b/>
                <w:color w:val="000000" w:themeColor="text1"/>
              </w:rPr>
            </w:pPr>
            <w:r w:rsidRPr="00A05611">
              <w:rPr>
                <w:b/>
                <w:color w:val="000000" w:themeColor="text1"/>
              </w:rPr>
              <w:t>Expense Apportionment</w:t>
            </w:r>
          </w:p>
          <w:p w14:paraId="6E4F3CF9" w14:textId="42350E61" w:rsidR="00A05611" w:rsidRDefault="00A05611" w:rsidP="00A05611">
            <w:pPr>
              <w:spacing w:after="60"/>
              <w:rPr>
                <w:color w:val="000000" w:themeColor="text1"/>
              </w:rPr>
            </w:pPr>
            <w:r w:rsidRPr="00A05611">
              <w:rPr>
                <w:color w:val="000000" w:themeColor="text1"/>
              </w:rPr>
              <w:t xml:space="preserve">As a new company, there would not be enough data (including historical data) to determine appropriate </w:t>
            </w:r>
            <w:r w:rsidRPr="00A05611">
              <w:rPr>
                <w:color w:val="000000" w:themeColor="text1"/>
              </w:rPr>
              <w:lastRenderedPageBreak/>
              <w:t>drivers to split unallocated expenses between the two products appropriately.</w:t>
            </w:r>
          </w:p>
        </w:tc>
        <w:tc>
          <w:tcPr>
            <w:tcW w:w="3600" w:type="dxa"/>
          </w:tcPr>
          <w:p w14:paraId="70E2FCAA" w14:textId="202F4F2A" w:rsidR="00A05611" w:rsidRPr="00A05611" w:rsidRDefault="00A05611" w:rsidP="00A05611">
            <w:pPr>
              <w:pStyle w:val="Default"/>
              <w:rPr>
                <w:rFonts w:asciiTheme="minorHAnsi" w:hAnsiTheme="minorHAnsi" w:cstheme="minorBidi"/>
                <w:color w:val="000000" w:themeColor="text1"/>
                <w:sz w:val="22"/>
                <w:szCs w:val="22"/>
              </w:rPr>
            </w:pPr>
            <w:r w:rsidRPr="00A05611">
              <w:rPr>
                <w:rFonts w:asciiTheme="minorHAnsi" w:hAnsiTheme="minorHAnsi" w:cstheme="minorBidi"/>
                <w:color w:val="000000" w:themeColor="text1"/>
                <w:sz w:val="22"/>
                <w:szCs w:val="22"/>
              </w:rPr>
              <w:lastRenderedPageBreak/>
              <w:t xml:space="preserve">Seek advice from actuarial consultants who may have experience with similar online insurance products. </w:t>
            </w:r>
          </w:p>
        </w:tc>
      </w:tr>
      <w:tr w:rsidR="00A05611" w14:paraId="4BE5E300" w14:textId="77777777" w:rsidTr="00A05611">
        <w:tc>
          <w:tcPr>
            <w:tcW w:w="5418" w:type="dxa"/>
          </w:tcPr>
          <w:p w14:paraId="1FCAF523" w14:textId="77777777" w:rsidR="00A05611" w:rsidRPr="00A05611" w:rsidRDefault="00A05611" w:rsidP="00A05611">
            <w:pPr>
              <w:spacing w:after="60"/>
              <w:rPr>
                <w:b/>
                <w:color w:val="000000" w:themeColor="text1"/>
              </w:rPr>
            </w:pPr>
            <w:r w:rsidRPr="00A05611">
              <w:rPr>
                <w:b/>
                <w:color w:val="000000" w:themeColor="text1"/>
              </w:rPr>
              <w:lastRenderedPageBreak/>
              <w:t>Lack of knowledge</w:t>
            </w:r>
          </w:p>
          <w:p w14:paraId="63F33353" w14:textId="482B0792" w:rsidR="00A05611" w:rsidRDefault="00A05611" w:rsidP="00A05611">
            <w:pPr>
              <w:spacing w:after="60"/>
              <w:rPr>
                <w:color w:val="000000" w:themeColor="text1"/>
              </w:rPr>
            </w:pPr>
            <w:r w:rsidRPr="00A05611">
              <w:rPr>
                <w:color w:val="000000" w:themeColor="text1"/>
              </w:rPr>
              <w:t>The actuarial team except for the Appointed Actuary lacks the knowledge, experience and skill in performing the policy liability valuation and other actuarial tasks required for the FCR.</w:t>
            </w:r>
          </w:p>
        </w:tc>
        <w:tc>
          <w:tcPr>
            <w:tcW w:w="3600" w:type="dxa"/>
          </w:tcPr>
          <w:p w14:paraId="0404EC32" w14:textId="093DD6EC" w:rsidR="00A05611" w:rsidRDefault="00A05611" w:rsidP="003C658D">
            <w:pPr>
              <w:spacing w:after="60"/>
              <w:rPr>
                <w:color w:val="000000" w:themeColor="text1"/>
              </w:rPr>
            </w:pPr>
            <w:r w:rsidRPr="00A05611">
              <w:rPr>
                <w:color w:val="000000" w:themeColor="text1"/>
              </w:rPr>
              <w:t>Use training/education sessions and use experienced outside consultants.</w:t>
            </w:r>
          </w:p>
        </w:tc>
      </w:tr>
      <w:tr w:rsidR="00A05611" w14:paraId="2D2A8303" w14:textId="77777777" w:rsidTr="00A05611">
        <w:tc>
          <w:tcPr>
            <w:tcW w:w="5418" w:type="dxa"/>
          </w:tcPr>
          <w:p w14:paraId="453887CF" w14:textId="77777777" w:rsidR="00A05611" w:rsidRPr="00A05611" w:rsidRDefault="00A05611" w:rsidP="00A05611">
            <w:pPr>
              <w:spacing w:after="60"/>
              <w:rPr>
                <w:b/>
                <w:color w:val="000000" w:themeColor="text1"/>
              </w:rPr>
            </w:pPr>
            <w:r w:rsidRPr="00A05611">
              <w:rPr>
                <w:b/>
                <w:color w:val="000000" w:themeColor="text1"/>
              </w:rPr>
              <w:t>Risk Framework</w:t>
            </w:r>
          </w:p>
          <w:p w14:paraId="24BEE1F3" w14:textId="77777777" w:rsidR="00A05611" w:rsidRPr="00A05611" w:rsidRDefault="00A05611" w:rsidP="00A05611">
            <w:pPr>
              <w:spacing w:after="60"/>
              <w:rPr>
                <w:color w:val="000000" w:themeColor="text1"/>
              </w:rPr>
            </w:pPr>
            <w:r w:rsidRPr="00A05611">
              <w:rPr>
                <w:color w:val="000000" w:themeColor="text1"/>
              </w:rPr>
              <w:t>As part of the FCR, the Appointed Actuary must comment on the business risks and the risk framework.</w:t>
            </w:r>
          </w:p>
          <w:p w14:paraId="4D42509D" w14:textId="1A86E499" w:rsidR="00A05611" w:rsidRDefault="00A05611" w:rsidP="00A05611">
            <w:pPr>
              <w:spacing w:after="60"/>
              <w:rPr>
                <w:color w:val="000000" w:themeColor="text1"/>
              </w:rPr>
            </w:pPr>
            <w:r w:rsidRPr="00A05611">
              <w:rPr>
                <w:color w:val="000000" w:themeColor="text1"/>
              </w:rPr>
              <w:t>As the company is new, a risk framework pr</w:t>
            </w:r>
            <w:r>
              <w:rPr>
                <w:color w:val="000000" w:themeColor="text1"/>
              </w:rPr>
              <w:t>obably has not been set up yet.</w:t>
            </w:r>
          </w:p>
        </w:tc>
        <w:tc>
          <w:tcPr>
            <w:tcW w:w="3600" w:type="dxa"/>
          </w:tcPr>
          <w:p w14:paraId="041B7A2B" w14:textId="20AFAA2F" w:rsidR="00A05611" w:rsidRDefault="00A05611" w:rsidP="003C658D">
            <w:pPr>
              <w:spacing w:after="60"/>
              <w:rPr>
                <w:color w:val="000000" w:themeColor="text1"/>
              </w:rPr>
            </w:pPr>
            <w:r w:rsidRPr="00A05611">
              <w:rPr>
                <w:color w:val="000000" w:themeColor="text1"/>
              </w:rPr>
              <w:t>Assist management in setting up a risk framework by identifying risks and actions to take if risks occur.</w:t>
            </w:r>
          </w:p>
        </w:tc>
      </w:tr>
      <w:tr w:rsidR="00A05611" w14:paraId="470DE754" w14:textId="77777777" w:rsidTr="00A05611">
        <w:tc>
          <w:tcPr>
            <w:tcW w:w="5418" w:type="dxa"/>
          </w:tcPr>
          <w:p w14:paraId="5368727F" w14:textId="77777777" w:rsidR="00A05611" w:rsidRPr="00A05611" w:rsidRDefault="00A05611" w:rsidP="00A05611">
            <w:pPr>
              <w:spacing w:after="60"/>
              <w:rPr>
                <w:b/>
                <w:color w:val="000000" w:themeColor="text1"/>
              </w:rPr>
            </w:pPr>
            <w:r w:rsidRPr="00A05611">
              <w:rPr>
                <w:b/>
                <w:color w:val="000000" w:themeColor="text1"/>
              </w:rPr>
              <w:t>Amount of Work Required</w:t>
            </w:r>
          </w:p>
          <w:p w14:paraId="52F0D731" w14:textId="4855E014" w:rsidR="00A05611" w:rsidRDefault="00A05611" w:rsidP="00A05611">
            <w:pPr>
              <w:spacing w:after="60"/>
              <w:rPr>
                <w:color w:val="000000" w:themeColor="text1"/>
              </w:rPr>
            </w:pPr>
            <w:r w:rsidRPr="00A05611">
              <w:rPr>
                <w:color w:val="000000" w:themeColor="text1"/>
              </w:rPr>
              <w:t>As there is only six months to go before the 30 September 2012 policy liability valuation is due, there is a substantial amount of work required a</w:t>
            </w:r>
            <w:r>
              <w:rPr>
                <w:color w:val="000000" w:themeColor="text1"/>
              </w:rPr>
              <w:t>nd limited actuarial resources.</w:t>
            </w:r>
          </w:p>
        </w:tc>
        <w:tc>
          <w:tcPr>
            <w:tcW w:w="3600" w:type="dxa"/>
          </w:tcPr>
          <w:p w14:paraId="533EBB4A" w14:textId="77777777" w:rsidR="00A05611" w:rsidRPr="00A05611" w:rsidRDefault="00A05611" w:rsidP="00A05611">
            <w:pPr>
              <w:spacing w:after="60"/>
              <w:rPr>
                <w:color w:val="000000" w:themeColor="text1"/>
              </w:rPr>
            </w:pPr>
            <w:r w:rsidRPr="00A05611">
              <w:rPr>
                <w:color w:val="000000" w:themeColor="text1"/>
              </w:rPr>
              <w:t>Develop an action plan.</w:t>
            </w:r>
          </w:p>
          <w:p w14:paraId="7C7C491D" w14:textId="28A3D802" w:rsidR="00A05611" w:rsidRDefault="00A05611" w:rsidP="00A05611">
            <w:pPr>
              <w:spacing w:after="60"/>
              <w:rPr>
                <w:color w:val="000000" w:themeColor="text1"/>
              </w:rPr>
            </w:pPr>
            <w:r w:rsidRPr="00A05611">
              <w:rPr>
                <w:color w:val="000000" w:themeColor="text1"/>
              </w:rPr>
              <w:t>Recruit outside consultants.</w:t>
            </w:r>
          </w:p>
        </w:tc>
      </w:tr>
      <w:tr w:rsidR="00A05611" w14:paraId="41E3BC23" w14:textId="77777777" w:rsidTr="00A05611">
        <w:tc>
          <w:tcPr>
            <w:tcW w:w="5418" w:type="dxa"/>
          </w:tcPr>
          <w:p w14:paraId="506DFC6B" w14:textId="77777777" w:rsidR="00A05611" w:rsidRPr="00A05611" w:rsidRDefault="00A05611" w:rsidP="00A05611">
            <w:pPr>
              <w:spacing w:after="60"/>
              <w:rPr>
                <w:b/>
                <w:color w:val="000000" w:themeColor="text1"/>
              </w:rPr>
            </w:pPr>
            <w:r w:rsidRPr="00A05611">
              <w:rPr>
                <w:b/>
                <w:color w:val="000000" w:themeColor="text1"/>
              </w:rPr>
              <w:t>Company Administration Systems are Working as Intended</w:t>
            </w:r>
          </w:p>
          <w:p w14:paraId="7B705CDA" w14:textId="26798052" w:rsidR="00A05611" w:rsidRDefault="00A05611" w:rsidP="00A05611">
            <w:pPr>
              <w:spacing w:after="60"/>
              <w:rPr>
                <w:color w:val="000000" w:themeColor="text1"/>
              </w:rPr>
            </w:pPr>
            <w:r w:rsidRPr="00A05611">
              <w:rPr>
                <w:color w:val="000000" w:themeColor="text1"/>
              </w:rPr>
              <w:t>As we have a new company, with new products with a new distribution channel and with possibly inexperienced staff, there is great possibility for the products to be administered incorrectly (not according to policy documentation).</w:t>
            </w:r>
          </w:p>
        </w:tc>
        <w:tc>
          <w:tcPr>
            <w:tcW w:w="3600" w:type="dxa"/>
          </w:tcPr>
          <w:p w14:paraId="20A70125" w14:textId="4F79C391" w:rsidR="00A05611" w:rsidRDefault="00A05611" w:rsidP="003C658D">
            <w:pPr>
              <w:spacing w:after="60"/>
              <w:rPr>
                <w:color w:val="000000" w:themeColor="text1"/>
              </w:rPr>
            </w:pPr>
            <w:r w:rsidRPr="00A05611">
              <w:rPr>
                <w:color w:val="000000" w:themeColor="text1"/>
              </w:rPr>
              <w:t>Audit of administration systems by independent people.</w:t>
            </w:r>
          </w:p>
        </w:tc>
      </w:tr>
      <w:tr w:rsidR="00A05611" w14:paraId="1C52823C" w14:textId="77777777" w:rsidTr="00A05611">
        <w:tc>
          <w:tcPr>
            <w:tcW w:w="5418" w:type="dxa"/>
          </w:tcPr>
          <w:p w14:paraId="50E2E6CA" w14:textId="77777777" w:rsidR="00A05611" w:rsidRPr="00A05611" w:rsidRDefault="00A05611" w:rsidP="00A05611">
            <w:pPr>
              <w:spacing w:after="60"/>
              <w:rPr>
                <w:b/>
                <w:color w:val="000000" w:themeColor="text1"/>
              </w:rPr>
            </w:pPr>
            <w:r w:rsidRPr="00A05611">
              <w:rPr>
                <w:b/>
                <w:color w:val="000000" w:themeColor="text1"/>
              </w:rPr>
              <w:t>Conflict of Interest</w:t>
            </w:r>
          </w:p>
          <w:p w14:paraId="2BBCA74E" w14:textId="77777777" w:rsidR="00A05611" w:rsidRPr="00A05611" w:rsidRDefault="00A05611" w:rsidP="00A05611">
            <w:pPr>
              <w:spacing w:after="60"/>
              <w:rPr>
                <w:color w:val="000000" w:themeColor="text1"/>
              </w:rPr>
            </w:pPr>
            <w:r w:rsidRPr="00A05611">
              <w:rPr>
                <w:color w:val="000000" w:themeColor="text1"/>
              </w:rPr>
              <w:t>This concerns the Appointed Actuary’s role and his/her position as an employee of company.</w:t>
            </w:r>
          </w:p>
          <w:p w14:paraId="51A07982" w14:textId="7F6B1F98" w:rsidR="00A05611" w:rsidRPr="00A05611" w:rsidRDefault="00A05611" w:rsidP="00A05611">
            <w:pPr>
              <w:spacing w:after="60"/>
              <w:rPr>
                <w:b/>
                <w:color w:val="000000" w:themeColor="text1"/>
              </w:rPr>
            </w:pPr>
            <w:r w:rsidRPr="00A05611">
              <w:rPr>
                <w:color w:val="000000" w:themeColor="text1"/>
              </w:rPr>
              <w:t>The Appointed Actuary is responsible for the protection of the policyholders, where the company is acting for the interest of the shareholders. Thus when the Appointed Actuary is an employee of the company, he may come under pressure from senior management to change his recommendation</w:t>
            </w:r>
            <w:r w:rsidRPr="00AB1E7A">
              <w:rPr>
                <w:color w:val="000000" w:themeColor="text1"/>
              </w:rPr>
              <w:t>s.</w:t>
            </w:r>
          </w:p>
        </w:tc>
        <w:tc>
          <w:tcPr>
            <w:tcW w:w="3600" w:type="dxa"/>
          </w:tcPr>
          <w:p w14:paraId="14625B3A" w14:textId="55F316CA" w:rsidR="00A05611" w:rsidRPr="00A05611" w:rsidRDefault="00AB1E7A" w:rsidP="003C658D">
            <w:pPr>
              <w:spacing w:after="60"/>
              <w:rPr>
                <w:color w:val="000000" w:themeColor="text1"/>
              </w:rPr>
            </w:pPr>
            <w:r w:rsidRPr="00AB1E7A">
              <w:rPr>
                <w:color w:val="000000" w:themeColor="text1"/>
              </w:rPr>
              <w:t>When conflicts arise discuss with peers or have a mentor inside or outside the company.</w:t>
            </w:r>
          </w:p>
        </w:tc>
      </w:tr>
    </w:tbl>
    <w:p w14:paraId="7B45199B" w14:textId="77777777" w:rsidR="00A05611" w:rsidRDefault="00A05611" w:rsidP="003C658D">
      <w:pPr>
        <w:spacing w:after="60"/>
        <w:rPr>
          <w:color w:val="000000" w:themeColor="text1"/>
        </w:rPr>
      </w:pPr>
    </w:p>
    <w:p w14:paraId="5CEE6356" w14:textId="77777777" w:rsidR="00511E9C" w:rsidRDefault="00AB1E7A" w:rsidP="00511E9C">
      <w:pPr>
        <w:spacing w:after="60"/>
        <w:rPr>
          <w:color w:val="000000" w:themeColor="text1"/>
        </w:rPr>
      </w:pPr>
      <w:r>
        <w:rPr>
          <w:color w:val="000000" w:themeColor="text1"/>
        </w:rPr>
        <w:t xml:space="preserve">1d) </w:t>
      </w:r>
    </w:p>
    <w:tbl>
      <w:tblPr>
        <w:tblStyle w:val="TableGrid"/>
        <w:tblW w:w="9018" w:type="dxa"/>
        <w:tblLook w:val="04A0" w:firstRow="1" w:lastRow="0" w:firstColumn="1" w:lastColumn="0" w:noHBand="0" w:noVBand="1"/>
      </w:tblPr>
      <w:tblGrid>
        <w:gridCol w:w="4428"/>
        <w:gridCol w:w="4590"/>
      </w:tblGrid>
      <w:tr w:rsidR="00511E9C" w14:paraId="7191F21E" w14:textId="77777777" w:rsidTr="00511E9C">
        <w:tc>
          <w:tcPr>
            <w:tcW w:w="4428" w:type="dxa"/>
          </w:tcPr>
          <w:p w14:paraId="7895C45E" w14:textId="6F53843B" w:rsidR="00511E9C" w:rsidRPr="00511E9C" w:rsidRDefault="00511E9C" w:rsidP="00511E9C">
            <w:pPr>
              <w:spacing w:after="60"/>
              <w:rPr>
                <w:i/>
                <w:color w:val="000000" w:themeColor="text1"/>
              </w:rPr>
            </w:pPr>
            <w:r w:rsidRPr="00511E9C">
              <w:rPr>
                <w:i/>
                <w:color w:val="000000" w:themeColor="text1"/>
              </w:rPr>
              <w:t>i) Reason</w:t>
            </w:r>
          </w:p>
        </w:tc>
        <w:tc>
          <w:tcPr>
            <w:tcW w:w="4590" w:type="dxa"/>
          </w:tcPr>
          <w:p w14:paraId="249B36CC" w14:textId="4952249D" w:rsidR="00511E9C" w:rsidRPr="00511E9C" w:rsidRDefault="00511E9C" w:rsidP="00511E9C">
            <w:pPr>
              <w:spacing w:after="60"/>
              <w:rPr>
                <w:i/>
                <w:color w:val="000000" w:themeColor="text1"/>
              </w:rPr>
            </w:pPr>
            <w:r w:rsidRPr="00511E9C">
              <w:rPr>
                <w:i/>
                <w:color w:val="000000" w:themeColor="text1"/>
              </w:rPr>
              <w:t>ii) Explain if it is absolutely critical that no dividend be paid</w:t>
            </w:r>
          </w:p>
        </w:tc>
      </w:tr>
      <w:tr w:rsidR="00511E9C" w14:paraId="244AA4DE" w14:textId="77777777" w:rsidTr="00511E9C">
        <w:tc>
          <w:tcPr>
            <w:tcW w:w="4428" w:type="dxa"/>
          </w:tcPr>
          <w:p w14:paraId="07026A14" w14:textId="4D7C52FC" w:rsidR="00511E9C" w:rsidRPr="00511E9C" w:rsidRDefault="00511E9C" w:rsidP="00511E9C">
            <w:pPr>
              <w:spacing w:after="60"/>
              <w:rPr>
                <w:color w:val="FF0000"/>
              </w:rPr>
            </w:pPr>
            <w:r w:rsidRPr="00511E9C">
              <w:rPr>
                <w:color w:val="FF0000"/>
              </w:rPr>
              <w:t>In the first year the company may be making a loss because of the set up costs. Hence no dividend can be paid.</w:t>
            </w:r>
          </w:p>
        </w:tc>
        <w:tc>
          <w:tcPr>
            <w:tcW w:w="4590" w:type="dxa"/>
          </w:tcPr>
          <w:p w14:paraId="02AC3A71" w14:textId="643135C7" w:rsidR="00511E9C" w:rsidRPr="00511E9C" w:rsidRDefault="00511E9C" w:rsidP="00511E9C">
            <w:pPr>
              <w:spacing w:after="60"/>
              <w:rPr>
                <w:color w:val="FF0000"/>
              </w:rPr>
            </w:pPr>
            <w:r w:rsidRPr="00511E9C">
              <w:rPr>
                <w:color w:val="FF0000"/>
              </w:rPr>
              <w:t>If there is a loss, there is no profit and hence it is impossible to pay a dividend.</w:t>
            </w:r>
          </w:p>
        </w:tc>
      </w:tr>
      <w:tr w:rsidR="00511E9C" w14:paraId="5A163828" w14:textId="77777777" w:rsidTr="00511E9C">
        <w:tc>
          <w:tcPr>
            <w:tcW w:w="4428" w:type="dxa"/>
          </w:tcPr>
          <w:p w14:paraId="5EA3ABBF" w14:textId="206010EB" w:rsidR="00511E9C" w:rsidRPr="00511E9C" w:rsidRDefault="00511E9C" w:rsidP="00511E9C">
            <w:pPr>
              <w:spacing w:after="60"/>
              <w:rPr>
                <w:color w:val="FF0000"/>
              </w:rPr>
            </w:pPr>
            <w:r w:rsidRPr="00511E9C">
              <w:rPr>
                <w:color w:val="FF0000"/>
              </w:rPr>
              <w:t>Paying a dividend could breach the Solvency Requirement.</w:t>
            </w:r>
          </w:p>
        </w:tc>
        <w:tc>
          <w:tcPr>
            <w:tcW w:w="4590" w:type="dxa"/>
          </w:tcPr>
          <w:p w14:paraId="480099B9" w14:textId="2410AEE9" w:rsidR="00511E9C" w:rsidRPr="00511E9C" w:rsidRDefault="00511E9C" w:rsidP="00511E9C">
            <w:pPr>
              <w:spacing w:after="60"/>
              <w:rPr>
                <w:color w:val="FF0000"/>
              </w:rPr>
            </w:pPr>
            <w:r w:rsidRPr="00511E9C">
              <w:rPr>
                <w:color w:val="FF0000"/>
              </w:rPr>
              <w:t>It is critical that no dividend be paid in this situation as it brings on all the consequences of a run off situation.</w:t>
            </w:r>
          </w:p>
        </w:tc>
      </w:tr>
      <w:tr w:rsidR="00511E9C" w14:paraId="3EE0BF6E" w14:textId="77777777" w:rsidTr="00511E9C">
        <w:tc>
          <w:tcPr>
            <w:tcW w:w="4428" w:type="dxa"/>
          </w:tcPr>
          <w:p w14:paraId="21752A3A" w14:textId="08E96536" w:rsidR="00511E9C" w:rsidRPr="00511E9C" w:rsidRDefault="00511E9C" w:rsidP="00511E9C">
            <w:pPr>
              <w:spacing w:after="60"/>
              <w:rPr>
                <w:color w:val="FF0000"/>
              </w:rPr>
            </w:pPr>
            <w:r w:rsidRPr="00511E9C">
              <w:rPr>
                <w:color w:val="FF0000"/>
              </w:rPr>
              <w:t xml:space="preserve">Paying a dividend could breach the Capital </w:t>
            </w:r>
            <w:r w:rsidRPr="00511E9C">
              <w:rPr>
                <w:color w:val="FF0000"/>
              </w:rPr>
              <w:lastRenderedPageBreak/>
              <w:t>Adequacy Requirement.</w:t>
            </w:r>
          </w:p>
        </w:tc>
        <w:tc>
          <w:tcPr>
            <w:tcW w:w="4590" w:type="dxa"/>
          </w:tcPr>
          <w:p w14:paraId="26E1C8CA" w14:textId="5EE9B666" w:rsidR="00412A4D" w:rsidRPr="00511E9C" w:rsidRDefault="00511E9C" w:rsidP="00511E9C">
            <w:pPr>
              <w:spacing w:after="60"/>
              <w:rPr>
                <w:color w:val="FF0000"/>
              </w:rPr>
            </w:pPr>
            <w:r w:rsidRPr="00511E9C">
              <w:rPr>
                <w:color w:val="FF0000"/>
              </w:rPr>
              <w:lastRenderedPageBreak/>
              <w:t xml:space="preserve">It is critical that no dividend be paid in this </w:t>
            </w:r>
            <w:r w:rsidRPr="00511E9C">
              <w:rPr>
                <w:color w:val="FF0000"/>
              </w:rPr>
              <w:lastRenderedPageBreak/>
              <w:t>situation as it brings on all the consequences of a full review by APRA and restrictions in running the business.</w:t>
            </w:r>
          </w:p>
        </w:tc>
      </w:tr>
      <w:tr w:rsidR="00412A4D" w14:paraId="2E22B1FB" w14:textId="77777777" w:rsidTr="009A0F08">
        <w:tc>
          <w:tcPr>
            <w:tcW w:w="9018" w:type="dxa"/>
            <w:gridSpan w:val="2"/>
          </w:tcPr>
          <w:p w14:paraId="2CA0C141" w14:textId="74456468" w:rsidR="00412A4D" w:rsidRPr="00F23B5D" w:rsidRDefault="00412A4D" w:rsidP="00412A4D">
            <w:pPr>
              <w:spacing w:after="60"/>
              <w:rPr>
                <w:i/>
                <w:color w:val="FF0000"/>
              </w:rPr>
            </w:pPr>
            <w:r w:rsidRPr="00F23B5D">
              <w:rPr>
                <w:i/>
                <w:color w:val="000000" w:themeColor="text1"/>
              </w:rPr>
              <w:lastRenderedPageBreak/>
              <w:t xml:space="preserve">*The concepts of </w:t>
            </w:r>
            <w:r w:rsidR="00F23B5D" w:rsidRPr="00F23B5D">
              <w:rPr>
                <w:i/>
                <w:color w:val="000000" w:themeColor="text1"/>
                <w:u w:val="single"/>
              </w:rPr>
              <w:t xml:space="preserve">Capital </w:t>
            </w:r>
            <w:r w:rsidRPr="00F23B5D">
              <w:rPr>
                <w:i/>
                <w:color w:val="000000" w:themeColor="text1"/>
                <w:u w:val="single"/>
              </w:rPr>
              <w:t>Solvency Requirement</w:t>
            </w:r>
            <w:r w:rsidRPr="00F23B5D">
              <w:rPr>
                <w:i/>
                <w:color w:val="000000" w:themeColor="text1"/>
              </w:rPr>
              <w:t xml:space="preserve"> and </w:t>
            </w:r>
            <w:r w:rsidRPr="00F23B5D">
              <w:rPr>
                <w:i/>
                <w:color w:val="000000" w:themeColor="text1"/>
                <w:u w:val="single"/>
              </w:rPr>
              <w:t>Capital Adequacy Requirement</w:t>
            </w:r>
            <w:r w:rsidRPr="00F23B5D">
              <w:rPr>
                <w:i/>
                <w:color w:val="000000" w:themeColor="text1"/>
              </w:rPr>
              <w:t xml:space="preserve"> are replaced by PCR after 2013.</w:t>
            </w:r>
          </w:p>
        </w:tc>
      </w:tr>
      <w:tr w:rsidR="00511E9C" w14:paraId="353012A0" w14:textId="77777777" w:rsidTr="00511E9C">
        <w:tc>
          <w:tcPr>
            <w:tcW w:w="4428" w:type="dxa"/>
          </w:tcPr>
          <w:p w14:paraId="4F1CB4D4" w14:textId="17F7A743" w:rsidR="00511E9C" w:rsidRPr="00511E9C" w:rsidRDefault="00511E9C" w:rsidP="00511E9C">
            <w:pPr>
              <w:spacing w:after="60"/>
              <w:rPr>
                <w:color w:val="FF0000"/>
              </w:rPr>
            </w:pPr>
            <w:r w:rsidRPr="00511E9C">
              <w:rPr>
                <w:color w:val="FF0000"/>
              </w:rPr>
              <w:t>Paying a dividend could breach the Target Surplus policy.</w:t>
            </w:r>
          </w:p>
        </w:tc>
        <w:tc>
          <w:tcPr>
            <w:tcW w:w="4590" w:type="dxa"/>
          </w:tcPr>
          <w:p w14:paraId="1B520900" w14:textId="7EEBC219" w:rsidR="00511E9C" w:rsidRPr="00511E9C" w:rsidRDefault="00511E9C" w:rsidP="00511E9C">
            <w:pPr>
              <w:spacing w:after="60"/>
              <w:rPr>
                <w:color w:val="FF0000"/>
              </w:rPr>
            </w:pPr>
            <w:r w:rsidRPr="00511E9C">
              <w:rPr>
                <w:color w:val="FF0000"/>
              </w:rPr>
              <w:t>It is not critical that no dividend be paid. A dividend can be paid but it means it is more likely that the Capital Adequacy Requirement will be breached in the future.</w:t>
            </w:r>
          </w:p>
        </w:tc>
      </w:tr>
      <w:tr w:rsidR="00511E9C" w14:paraId="5DD3BCBF" w14:textId="77777777" w:rsidTr="00511E9C">
        <w:tc>
          <w:tcPr>
            <w:tcW w:w="4428" w:type="dxa"/>
          </w:tcPr>
          <w:p w14:paraId="104764DC" w14:textId="088925CC" w:rsidR="00511E9C" w:rsidRPr="00511E9C" w:rsidRDefault="00511E9C" w:rsidP="00511E9C">
            <w:pPr>
              <w:spacing w:after="60"/>
              <w:rPr>
                <w:color w:val="FF0000"/>
              </w:rPr>
            </w:pPr>
            <w:r w:rsidRPr="00511E9C">
              <w:rPr>
                <w:color w:val="FF0000"/>
              </w:rPr>
              <w:t>Rather than paying a dividend from the next three years’ profits, the company will have sufficient retained profits to fund the capital requirements of new business over the next three years.</w:t>
            </w:r>
          </w:p>
        </w:tc>
        <w:tc>
          <w:tcPr>
            <w:tcW w:w="4590" w:type="dxa"/>
          </w:tcPr>
          <w:p w14:paraId="1DF51282" w14:textId="5B9F0457" w:rsidR="00511E9C" w:rsidRPr="00511E9C" w:rsidRDefault="00511E9C" w:rsidP="00511E9C">
            <w:pPr>
              <w:spacing w:after="60"/>
              <w:rPr>
                <w:color w:val="FF0000"/>
              </w:rPr>
            </w:pPr>
            <w:r w:rsidRPr="00511E9C">
              <w:rPr>
                <w:color w:val="FF0000"/>
              </w:rPr>
              <w:t>It is not critical that no dividend be paid</w:t>
            </w:r>
            <w:r>
              <w:rPr>
                <w:color w:val="FF0000"/>
              </w:rPr>
              <w:t>.</w:t>
            </w:r>
            <w:r w:rsidRPr="00511E9C">
              <w:rPr>
                <w:color w:val="FF0000"/>
              </w:rPr>
              <w:t xml:space="preserve"> A dividend can be paid, but it means a reduction in future dividends or an injection of capital may be required to fund new business.</w:t>
            </w:r>
          </w:p>
        </w:tc>
      </w:tr>
    </w:tbl>
    <w:p w14:paraId="5DF5965F" w14:textId="7E766B99" w:rsidR="00511E9C" w:rsidRDefault="00511E9C" w:rsidP="00511E9C">
      <w:pPr>
        <w:spacing w:after="60"/>
        <w:rPr>
          <w:color w:val="000000" w:themeColor="text1"/>
        </w:rPr>
      </w:pPr>
    </w:p>
    <w:p w14:paraId="6D512B0B" w14:textId="77777777" w:rsidR="00C35322" w:rsidRPr="00C35322" w:rsidRDefault="000971FB" w:rsidP="00C35322">
      <w:pPr>
        <w:spacing w:after="60"/>
        <w:rPr>
          <w:color w:val="000000" w:themeColor="text1"/>
        </w:rPr>
      </w:pPr>
      <w:r>
        <w:rPr>
          <w:color w:val="000000" w:themeColor="text1"/>
        </w:rPr>
        <w:t xml:space="preserve">1e) </w:t>
      </w:r>
      <w:r w:rsidR="00C35322" w:rsidRPr="00C35322">
        <w:rPr>
          <w:i/>
          <w:color w:val="000000" w:themeColor="text1"/>
        </w:rPr>
        <w:t>Actions you could take if the Directors ignore your recommendation and decide to pay a dividend to shareholders are:</w:t>
      </w:r>
    </w:p>
    <w:p w14:paraId="5DED3DDB" w14:textId="77777777" w:rsidR="00C35322" w:rsidRPr="00C35322" w:rsidRDefault="00C35322" w:rsidP="00C35322">
      <w:pPr>
        <w:spacing w:after="60"/>
        <w:rPr>
          <w:b/>
          <w:color w:val="000000" w:themeColor="text1"/>
        </w:rPr>
      </w:pPr>
      <w:r w:rsidRPr="00C35322">
        <w:rPr>
          <w:b/>
          <w:color w:val="000000" w:themeColor="text1"/>
        </w:rPr>
        <w:t>Compulsory Point:</w:t>
      </w:r>
    </w:p>
    <w:p w14:paraId="716AD3F2" w14:textId="04B905CA" w:rsidR="00C35322" w:rsidRPr="00C35322" w:rsidRDefault="00C35322" w:rsidP="00ED0690">
      <w:pPr>
        <w:pStyle w:val="ListParagraph"/>
        <w:numPr>
          <w:ilvl w:val="0"/>
          <w:numId w:val="3"/>
        </w:numPr>
        <w:spacing w:after="60"/>
        <w:rPr>
          <w:color w:val="000000" w:themeColor="text1"/>
        </w:rPr>
      </w:pPr>
      <w:r w:rsidRPr="00C35322">
        <w:rPr>
          <w:color w:val="000000" w:themeColor="text1"/>
        </w:rPr>
        <w:t xml:space="preserve">As a last resort, if the dividend paid meant the company breached the Solvency Requirement or the Capital Adequacy Requirement, use the </w:t>
      </w:r>
      <w:r w:rsidRPr="00C35322">
        <w:rPr>
          <w:color w:val="FF0000"/>
        </w:rPr>
        <w:t xml:space="preserve">whistle blowing powers </w:t>
      </w:r>
      <w:r w:rsidRPr="00C35322">
        <w:rPr>
          <w:color w:val="000000" w:themeColor="text1"/>
        </w:rPr>
        <w:t>of the Appointed Actuary under the Life Act and inform APRA immediately.</w:t>
      </w:r>
    </w:p>
    <w:p w14:paraId="21F8239E" w14:textId="77777777" w:rsidR="00C35322" w:rsidRPr="00C35322" w:rsidRDefault="00C35322" w:rsidP="00C35322">
      <w:pPr>
        <w:spacing w:after="60"/>
        <w:rPr>
          <w:b/>
          <w:color w:val="000000" w:themeColor="text1"/>
        </w:rPr>
      </w:pPr>
      <w:r w:rsidRPr="00C35322">
        <w:rPr>
          <w:b/>
          <w:color w:val="000000" w:themeColor="text1"/>
        </w:rPr>
        <w:t>Non-Compulsory Point:</w:t>
      </w:r>
    </w:p>
    <w:p w14:paraId="477B3060" w14:textId="4A235030" w:rsidR="00C35322" w:rsidRDefault="00C35322" w:rsidP="00ED0690">
      <w:pPr>
        <w:pStyle w:val="ListParagraph"/>
        <w:numPr>
          <w:ilvl w:val="0"/>
          <w:numId w:val="3"/>
        </w:numPr>
        <w:spacing w:after="60"/>
        <w:rPr>
          <w:color w:val="000000" w:themeColor="text1"/>
        </w:rPr>
      </w:pPr>
      <w:r w:rsidRPr="00C35322">
        <w:rPr>
          <w:color w:val="000000" w:themeColor="text1"/>
        </w:rPr>
        <w:t>Before it gets to this drastic stage, arrange a meeting as soon as possible with the Directors to discuss the issue and the consequences if a dividend is paid.</w:t>
      </w:r>
    </w:p>
    <w:p w14:paraId="57D2CC80" w14:textId="77777777" w:rsidR="00D66375" w:rsidRPr="00C35322" w:rsidRDefault="00D66375" w:rsidP="00D66375">
      <w:pPr>
        <w:pStyle w:val="ListParagraph"/>
        <w:spacing w:after="60"/>
        <w:rPr>
          <w:color w:val="000000" w:themeColor="text1"/>
        </w:rPr>
      </w:pPr>
    </w:p>
    <w:p w14:paraId="24EF7DA1" w14:textId="1328FFCB" w:rsidR="00164A64" w:rsidRPr="00511E9C" w:rsidRDefault="00D66375" w:rsidP="00C35322">
      <w:pPr>
        <w:spacing w:after="60"/>
        <w:rPr>
          <w:color w:val="000000" w:themeColor="text1"/>
        </w:rPr>
      </w:pPr>
      <w:r w:rsidRPr="00D66375">
        <w:rPr>
          <w:b/>
          <w:color w:val="000000" w:themeColor="text1"/>
        </w:rPr>
        <w:t>Q2</w:t>
      </w:r>
      <w:r>
        <w:rPr>
          <w:color w:val="000000" w:themeColor="text1"/>
        </w:rPr>
        <w:t xml:space="preserve"> a) </w:t>
      </w:r>
      <w:r w:rsidR="00D70580" w:rsidRPr="00D70580">
        <w:rPr>
          <w:color w:val="000000" w:themeColor="text1"/>
        </w:rPr>
        <w:t>Components of the Change in Policy Liabilities</w:t>
      </w:r>
      <w:r w:rsidR="00D70580">
        <w:rPr>
          <w:color w:val="000000" w:themeColor="text1"/>
        </w:rPr>
        <w:t>:</w:t>
      </w:r>
    </w:p>
    <w:tbl>
      <w:tblPr>
        <w:tblStyle w:val="TableGrid"/>
        <w:tblW w:w="8640" w:type="dxa"/>
        <w:tblLook w:val="04A0" w:firstRow="1" w:lastRow="0" w:firstColumn="1" w:lastColumn="0" w:noHBand="0" w:noVBand="1"/>
      </w:tblPr>
      <w:tblGrid>
        <w:gridCol w:w="2718"/>
        <w:gridCol w:w="90"/>
        <w:gridCol w:w="2232"/>
        <w:gridCol w:w="2304"/>
        <w:gridCol w:w="1296"/>
      </w:tblGrid>
      <w:tr w:rsidR="00164A64" w:rsidRPr="00164A64" w14:paraId="1F2C6266" w14:textId="77777777" w:rsidTr="00D70580">
        <w:tc>
          <w:tcPr>
            <w:tcW w:w="2808" w:type="dxa"/>
            <w:gridSpan w:val="2"/>
          </w:tcPr>
          <w:p w14:paraId="68596E9A" w14:textId="77777777" w:rsidR="00164A64" w:rsidRPr="00164A64" w:rsidRDefault="00164A64" w:rsidP="00164A64">
            <w:pPr>
              <w:rPr>
                <w:color w:val="000000" w:themeColor="text1"/>
                <w:sz w:val="20"/>
              </w:rPr>
            </w:pPr>
          </w:p>
        </w:tc>
        <w:tc>
          <w:tcPr>
            <w:tcW w:w="2232" w:type="dxa"/>
            <w:vAlign w:val="center"/>
          </w:tcPr>
          <w:p w14:paraId="49F50BA5" w14:textId="03342971" w:rsidR="00164A64" w:rsidRPr="00164A64" w:rsidRDefault="00164A64" w:rsidP="00164A64">
            <w:pPr>
              <w:jc w:val="center"/>
              <w:rPr>
                <w:b/>
                <w:color w:val="000000" w:themeColor="text1"/>
                <w:sz w:val="20"/>
              </w:rPr>
            </w:pPr>
            <w:r w:rsidRPr="00164A64">
              <w:rPr>
                <w:b/>
                <w:color w:val="000000" w:themeColor="text1"/>
                <w:sz w:val="20"/>
              </w:rPr>
              <w:t>Actual</w:t>
            </w:r>
          </w:p>
        </w:tc>
        <w:tc>
          <w:tcPr>
            <w:tcW w:w="2304" w:type="dxa"/>
            <w:vAlign w:val="center"/>
          </w:tcPr>
          <w:p w14:paraId="58CCA2E4" w14:textId="03267386" w:rsidR="00164A64" w:rsidRPr="00164A64" w:rsidRDefault="00164A64" w:rsidP="00164A64">
            <w:pPr>
              <w:jc w:val="center"/>
              <w:rPr>
                <w:b/>
                <w:color w:val="000000" w:themeColor="text1"/>
                <w:sz w:val="20"/>
              </w:rPr>
            </w:pPr>
            <w:r w:rsidRPr="00164A64">
              <w:rPr>
                <w:b/>
                <w:color w:val="000000" w:themeColor="text1"/>
                <w:sz w:val="20"/>
              </w:rPr>
              <w:t>Expected</w:t>
            </w:r>
          </w:p>
        </w:tc>
        <w:tc>
          <w:tcPr>
            <w:tcW w:w="1296" w:type="dxa"/>
            <w:vAlign w:val="center"/>
          </w:tcPr>
          <w:p w14:paraId="3D91D886" w14:textId="752A9A3F" w:rsidR="00164A64" w:rsidRPr="00164A64" w:rsidRDefault="00164A64" w:rsidP="00164A64">
            <w:pPr>
              <w:jc w:val="center"/>
              <w:rPr>
                <w:b/>
                <w:color w:val="000000" w:themeColor="text1"/>
                <w:sz w:val="20"/>
              </w:rPr>
            </w:pPr>
            <w:r w:rsidRPr="00164A64">
              <w:rPr>
                <w:b/>
                <w:color w:val="000000" w:themeColor="text1"/>
                <w:sz w:val="20"/>
              </w:rPr>
              <w:t>A - E</w:t>
            </w:r>
          </w:p>
        </w:tc>
      </w:tr>
      <w:tr w:rsidR="00164A64" w:rsidRPr="00164A64" w14:paraId="3A310A27" w14:textId="77777777" w:rsidTr="00D70580">
        <w:tc>
          <w:tcPr>
            <w:tcW w:w="2808" w:type="dxa"/>
            <w:gridSpan w:val="2"/>
            <w:shd w:val="clear" w:color="auto" w:fill="95B3D7" w:themeFill="accent1" w:themeFillTint="99"/>
          </w:tcPr>
          <w:p w14:paraId="04C7B51B" w14:textId="32749BE3" w:rsidR="00164A64" w:rsidRPr="00D70580" w:rsidRDefault="00164A64" w:rsidP="00164A64">
            <w:pPr>
              <w:rPr>
                <w:b/>
                <w:color w:val="000000" w:themeColor="text1"/>
                <w:sz w:val="20"/>
              </w:rPr>
            </w:pPr>
            <w:r w:rsidRPr="00D70580">
              <w:rPr>
                <w:b/>
                <w:color w:val="000000" w:themeColor="text1"/>
                <w:sz w:val="20"/>
              </w:rPr>
              <w:t xml:space="preserve">Policy Liability @ 30/6/2011 </w:t>
            </w:r>
          </w:p>
        </w:tc>
        <w:tc>
          <w:tcPr>
            <w:tcW w:w="2232" w:type="dxa"/>
            <w:shd w:val="clear" w:color="auto" w:fill="95B3D7" w:themeFill="accent1" w:themeFillTint="99"/>
            <w:vAlign w:val="center"/>
          </w:tcPr>
          <w:p w14:paraId="7C7B7C4F" w14:textId="46219CC3" w:rsidR="00164A64" w:rsidRPr="00164A64" w:rsidRDefault="00164A64" w:rsidP="00164A64">
            <w:pPr>
              <w:jc w:val="right"/>
              <w:rPr>
                <w:color w:val="000000" w:themeColor="text1"/>
                <w:sz w:val="20"/>
              </w:rPr>
            </w:pPr>
            <w:r w:rsidRPr="00164A64">
              <w:rPr>
                <w:color w:val="000000" w:themeColor="text1"/>
                <w:sz w:val="20"/>
              </w:rPr>
              <w:t xml:space="preserve">-238,500 </w:t>
            </w:r>
          </w:p>
        </w:tc>
        <w:tc>
          <w:tcPr>
            <w:tcW w:w="2304" w:type="dxa"/>
            <w:shd w:val="clear" w:color="auto" w:fill="95B3D7" w:themeFill="accent1" w:themeFillTint="99"/>
            <w:vAlign w:val="center"/>
          </w:tcPr>
          <w:p w14:paraId="285CE90C" w14:textId="7CD04933" w:rsidR="00164A64" w:rsidRPr="00164A64" w:rsidRDefault="00164A64" w:rsidP="00164A64">
            <w:pPr>
              <w:jc w:val="right"/>
              <w:rPr>
                <w:color w:val="000000" w:themeColor="text1"/>
                <w:sz w:val="20"/>
              </w:rPr>
            </w:pPr>
            <w:r w:rsidRPr="00164A64">
              <w:rPr>
                <w:color w:val="000000" w:themeColor="text1"/>
                <w:sz w:val="20"/>
              </w:rPr>
              <w:t xml:space="preserve">-238,500 </w:t>
            </w:r>
          </w:p>
        </w:tc>
        <w:tc>
          <w:tcPr>
            <w:tcW w:w="1296" w:type="dxa"/>
            <w:shd w:val="clear" w:color="auto" w:fill="95B3D7" w:themeFill="accent1" w:themeFillTint="99"/>
            <w:vAlign w:val="center"/>
          </w:tcPr>
          <w:p w14:paraId="0F653F10" w14:textId="77777777" w:rsidR="00164A64" w:rsidRPr="00164A64" w:rsidRDefault="00164A64" w:rsidP="00164A64">
            <w:pPr>
              <w:jc w:val="right"/>
              <w:rPr>
                <w:color w:val="000000" w:themeColor="text1"/>
                <w:sz w:val="20"/>
              </w:rPr>
            </w:pPr>
          </w:p>
        </w:tc>
      </w:tr>
      <w:tr w:rsidR="00D70580" w:rsidRPr="00164A64" w14:paraId="4C2E3734" w14:textId="77777777" w:rsidTr="00EB0E85">
        <w:tc>
          <w:tcPr>
            <w:tcW w:w="8640" w:type="dxa"/>
            <w:gridSpan w:val="5"/>
          </w:tcPr>
          <w:p w14:paraId="404FB060" w14:textId="77777777" w:rsidR="00D70580" w:rsidRPr="00164A64" w:rsidRDefault="00D70580" w:rsidP="00164A64">
            <w:pPr>
              <w:jc w:val="right"/>
              <w:rPr>
                <w:color w:val="000000" w:themeColor="text1"/>
                <w:sz w:val="20"/>
              </w:rPr>
            </w:pPr>
          </w:p>
        </w:tc>
      </w:tr>
      <w:tr w:rsidR="00D70580" w:rsidRPr="00164A64" w14:paraId="40405553" w14:textId="77777777" w:rsidTr="00D70580">
        <w:tc>
          <w:tcPr>
            <w:tcW w:w="8640" w:type="dxa"/>
            <w:gridSpan w:val="5"/>
            <w:vAlign w:val="center"/>
          </w:tcPr>
          <w:p w14:paraId="205A38C3" w14:textId="690E9D54" w:rsidR="00D70580" w:rsidRPr="00164A64" w:rsidRDefault="00D70580" w:rsidP="00D70580">
            <w:pPr>
              <w:rPr>
                <w:color w:val="000000" w:themeColor="text1"/>
                <w:sz w:val="20"/>
              </w:rPr>
            </w:pPr>
            <w:r w:rsidRPr="00D70580">
              <w:rPr>
                <w:b/>
                <w:color w:val="000000" w:themeColor="text1"/>
                <w:sz w:val="20"/>
              </w:rPr>
              <w:t>Change in Policy Liability from:</w:t>
            </w:r>
          </w:p>
        </w:tc>
      </w:tr>
      <w:tr w:rsidR="00164A64" w:rsidRPr="00164A64" w14:paraId="3DC203C1" w14:textId="77777777" w:rsidTr="00D70580">
        <w:tc>
          <w:tcPr>
            <w:tcW w:w="2718" w:type="dxa"/>
            <w:vAlign w:val="center"/>
          </w:tcPr>
          <w:p w14:paraId="7F162BBD" w14:textId="11AE7F2C" w:rsidR="00164A64" w:rsidRPr="00D70580" w:rsidRDefault="00164A64" w:rsidP="00D70580">
            <w:pPr>
              <w:jc w:val="right"/>
              <w:rPr>
                <w:color w:val="000000" w:themeColor="text1"/>
                <w:sz w:val="18"/>
              </w:rPr>
            </w:pPr>
            <w:r w:rsidRPr="00D70580">
              <w:rPr>
                <w:color w:val="000000" w:themeColor="text1"/>
                <w:sz w:val="18"/>
              </w:rPr>
              <w:t xml:space="preserve">Change in IBNR: </w:t>
            </w:r>
          </w:p>
        </w:tc>
        <w:tc>
          <w:tcPr>
            <w:tcW w:w="2322" w:type="dxa"/>
            <w:gridSpan w:val="2"/>
            <w:vAlign w:val="center"/>
          </w:tcPr>
          <w:p w14:paraId="0F7B4F2A" w14:textId="77777777" w:rsidR="00164A64" w:rsidRPr="00164A64" w:rsidRDefault="00164A64" w:rsidP="00164A64">
            <w:pPr>
              <w:jc w:val="right"/>
              <w:rPr>
                <w:color w:val="000000" w:themeColor="text1"/>
                <w:sz w:val="20"/>
              </w:rPr>
            </w:pPr>
            <w:r w:rsidRPr="00164A64">
              <w:rPr>
                <w:color w:val="000000" w:themeColor="text1"/>
                <w:sz w:val="20"/>
              </w:rPr>
              <w:t xml:space="preserve">600 </w:t>
            </w:r>
          </w:p>
          <w:p w14:paraId="1098E2A8" w14:textId="0898C25F" w:rsidR="00164A64" w:rsidRPr="00164A64" w:rsidRDefault="00164A64" w:rsidP="00164A64">
            <w:pPr>
              <w:jc w:val="right"/>
              <w:rPr>
                <w:i/>
                <w:color w:val="000000" w:themeColor="text1"/>
                <w:sz w:val="20"/>
              </w:rPr>
            </w:pPr>
            <w:r w:rsidRPr="00164A64">
              <w:rPr>
                <w:i/>
                <w:color w:val="000000" w:themeColor="text1"/>
                <w:sz w:val="20"/>
              </w:rPr>
              <w:t xml:space="preserve">=16,900 – 16,300 </w:t>
            </w:r>
          </w:p>
        </w:tc>
        <w:tc>
          <w:tcPr>
            <w:tcW w:w="2304" w:type="dxa"/>
            <w:vAlign w:val="center"/>
          </w:tcPr>
          <w:p w14:paraId="67656E42" w14:textId="77777777" w:rsidR="00164A64" w:rsidRDefault="00164A64" w:rsidP="00164A64">
            <w:pPr>
              <w:jc w:val="right"/>
              <w:rPr>
                <w:color w:val="000000" w:themeColor="text1"/>
                <w:sz w:val="20"/>
              </w:rPr>
            </w:pPr>
            <w:r w:rsidRPr="00164A64">
              <w:rPr>
                <w:color w:val="000000" w:themeColor="text1"/>
                <w:sz w:val="20"/>
              </w:rPr>
              <w:t xml:space="preserve">900 </w:t>
            </w:r>
          </w:p>
          <w:p w14:paraId="543BF736" w14:textId="3943B936" w:rsidR="00164A64" w:rsidRPr="00164A64" w:rsidRDefault="00164A64" w:rsidP="00164A64">
            <w:pPr>
              <w:jc w:val="right"/>
              <w:rPr>
                <w:i/>
                <w:color w:val="000000" w:themeColor="text1"/>
                <w:sz w:val="20"/>
              </w:rPr>
            </w:pPr>
            <w:r w:rsidRPr="00164A64">
              <w:rPr>
                <w:i/>
                <w:color w:val="000000" w:themeColor="text1"/>
                <w:sz w:val="20"/>
              </w:rPr>
              <w:t xml:space="preserve">= 17,200 – 16,300 </w:t>
            </w:r>
          </w:p>
        </w:tc>
        <w:tc>
          <w:tcPr>
            <w:tcW w:w="1296" w:type="dxa"/>
            <w:vAlign w:val="center"/>
          </w:tcPr>
          <w:p w14:paraId="1B87A497" w14:textId="12EA67D0" w:rsidR="00164A64" w:rsidRPr="00164A64" w:rsidRDefault="00164A64" w:rsidP="00164A64">
            <w:pPr>
              <w:jc w:val="right"/>
              <w:rPr>
                <w:color w:val="000000" w:themeColor="text1"/>
                <w:sz w:val="20"/>
              </w:rPr>
            </w:pPr>
            <w:r w:rsidRPr="00164A64">
              <w:rPr>
                <w:color w:val="000000" w:themeColor="text1"/>
                <w:sz w:val="20"/>
              </w:rPr>
              <w:t xml:space="preserve">-300 </w:t>
            </w:r>
          </w:p>
        </w:tc>
      </w:tr>
      <w:tr w:rsidR="00164A64" w:rsidRPr="00164A64" w14:paraId="71781F73" w14:textId="77777777" w:rsidTr="00D70580">
        <w:tc>
          <w:tcPr>
            <w:tcW w:w="2718" w:type="dxa"/>
            <w:vAlign w:val="center"/>
          </w:tcPr>
          <w:p w14:paraId="5716E737" w14:textId="459D54C1" w:rsidR="00164A64" w:rsidRPr="00D70580" w:rsidRDefault="00164A64" w:rsidP="00D70580">
            <w:pPr>
              <w:jc w:val="right"/>
              <w:rPr>
                <w:color w:val="000000" w:themeColor="text1"/>
                <w:sz w:val="18"/>
              </w:rPr>
            </w:pPr>
            <w:r w:rsidRPr="00D70580">
              <w:rPr>
                <w:color w:val="000000" w:themeColor="text1"/>
                <w:sz w:val="18"/>
              </w:rPr>
              <w:t xml:space="preserve">Lapses of policies inforce at 30/6/2011: </w:t>
            </w:r>
          </w:p>
        </w:tc>
        <w:tc>
          <w:tcPr>
            <w:tcW w:w="2322" w:type="dxa"/>
            <w:gridSpan w:val="2"/>
            <w:vAlign w:val="center"/>
          </w:tcPr>
          <w:p w14:paraId="0D7A5DB0" w14:textId="77777777" w:rsidR="00164A64" w:rsidRDefault="00164A64" w:rsidP="00164A64">
            <w:pPr>
              <w:jc w:val="right"/>
              <w:rPr>
                <w:color w:val="000000" w:themeColor="text1"/>
                <w:sz w:val="20"/>
              </w:rPr>
            </w:pPr>
            <w:r w:rsidRPr="00164A64">
              <w:rPr>
                <w:color w:val="000000" w:themeColor="text1"/>
                <w:sz w:val="20"/>
              </w:rPr>
              <w:t xml:space="preserve">17,000 </w:t>
            </w:r>
          </w:p>
          <w:p w14:paraId="24B11C99" w14:textId="2A68E601" w:rsidR="00164A64" w:rsidRPr="00164A64" w:rsidRDefault="00164A64" w:rsidP="00164A64">
            <w:pPr>
              <w:jc w:val="right"/>
              <w:rPr>
                <w:i/>
                <w:color w:val="000000" w:themeColor="text1"/>
                <w:sz w:val="20"/>
              </w:rPr>
            </w:pPr>
            <w:r w:rsidRPr="00164A64">
              <w:rPr>
                <w:i/>
                <w:color w:val="000000" w:themeColor="text1"/>
                <w:sz w:val="20"/>
              </w:rPr>
              <w:t>= -237,800 – (-254,800)</w:t>
            </w:r>
          </w:p>
        </w:tc>
        <w:tc>
          <w:tcPr>
            <w:tcW w:w="2304" w:type="dxa"/>
            <w:vAlign w:val="center"/>
          </w:tcPr>
          <w:p w14:paraId="154C8FA1" w14:textId="77777777" w:rsidR="00164A64" w:rsidRDefault="00164A64" w:rsidP="00164A64">
            <w:pPr>
              <w:jc w:val="right"/>
              <w:rPr>
                <w:color w:val="000000" w:themeColor="text1"/>
                <w:sz w:val="20"/>
              </w:rPr>
            </w:pPr>
            <w:r w:rsidRPr="00164A64">
              <w:rPr>
                <w:color w:val="000000" w:themeColor="text1"/>
                <w:sz w:val="20"/>
              </w:rPr>
              <w:t xml:space="preserve">14,400 </w:t>
            </w:r>
          </w:p>
          <w:p w14:paraId="39A2D779" w14:textId="734A9677" w:rsidR="00164A64" w:rsidRPr="00164A64" w:rsidRDefault="00164A64" w:rsidP="00164A64">
            <w:pPr>
              <w:jc w:val="right"/>
              <w:rPr>
                <w:i/>
                <w:color w:val="000000" w:themeColor="text1"/>
                <w:sz w:val="20"/>
              </w:rPr>
            </w:pPr>
            <w:r w:rsidRPr="00164A64">
              <w:rPr>
                <w:i/>
                <w:color w:val="000000" w:themeColor="text1"/>
                <w:sz w:val="20"/>
              </w:rPr>
              <w:t xml:space="preserve">= -240,400 – (-254,800) </w:t>
            </w:r>
          </w:p>
        </w:tc>
        <w:tc>
          <w:tcPr>
            <w:tcW w:w="1296" w:type="dxa"/>
            <w:vAlign w:val="center"/>
          </w:tcPr>
          <w:p w14:paraId="37311825" w14:textId="69F64ACA" w:rsidR="00164A64" w:rsidRPr="00164A64" w:rsidRDefault="00164A64" w:rsidP="00164A64">
            <w:pPr>
              <w:jc w:val="right"/>
              <w:rPr>
                <w:color w:val="000000" w:themeColor="text1"/>
                <w:sz w:val="20"/>
              </w:rPr>
            </w:pPr>
            <w:r w:rsidRPr="00164A64">
              <w:rPr>
                <w:color w:val="000000" w:themeColor="text1"/>
                <w:sz w:val="20"/>
              </w:rPr>
              <w:t xml:space="preserve">2,600 </w:t>
            </w:r>
          </w:p>
        </w:tc>
      </w:tr>
      <w:tr w:rsidR="00164A64" w:rsidRPr="00164A64" w14:paraId="04E1D528" w14:textId="77777777" w:rsidTr="00D70580">
        <w:tc>
          <w:tcPr>
            <w:tcW w:w="2718" w:type="dxa"/>
            <w:vAlign w:val="center"/>
          </w:tcPr>
          <w:p w14:paraId="285B8114" w14:textId="56251E50" w:rsidR="00164A64" w:rsidRPr="00D70580" w:rsidRDefault="00164A64" w:rsidP="00D70580">
            <w:pPr>
              <w:jc w:val="right"/>
              <w:rPr>
                <w:color w:val="000000" w:themeColor="text1"/>
                <w:sz w:val="18"/>
              </w:rPr>
            </w:pPr>
            <w:r w:rsidRPr="00D70580">
              <w:rPr>
                <w:color w:val="000000" w:themeColor="text1"/>
                <w:sz w:val="18"/>
              </w:rPr>
              <w:t>New Business inforce at 30/6/2012:</w:t>
            </w:r>
          </w:p>
        </w:tc>
        <w:tc>
          <w:tcPr>
            <w:tcW w:w="2322" w:type="dxa"/>
            <w:gridSpan w:val="2"/>
            <w:vAlign w:val="center"/>
          </w:tcPr>
          <w:p w14:paraId="5973B14F" w14:textId="427EBEDF" w:rsidR="00164A64" w:rsidRPr="00164A64" w:rsidRDefault="00164A64" w:rsidP="00164A64">
            <w:pPr>
              <w:jc w:val="right"/>
              <w:rPr>
                <w:color w:val="000000" w:themeColor="text1"/>
                <w:sz w:val="20"/>
              </w:rPr>
            </w:pPr>
            <w:r w:rsidRPr="00164A64">
              <w:rPr>
                <w:color w:val="000000" w:themeColor="text1"/>
                <w:sz w:val="20"/>
              </w:rPr>
              <w:t>-19,900</w:t>
            </w:r>
          </w:p>
        </w:tc>
        <w:tc>
          <w:tcPr>
            <w:tcW w:w="2304" w:type="dxa"/>
            <w:vAlign w:val="center"/>
          </w:tcPr>
          <w:p w14:paraId="466603C2" w14:textId="470D7E54" w:rsidR="00164A64" w:rsidRPr="00164A64" w:rsidRDefault="00164A64" w:rsidP="00164A64">
            <w:pPr>
              <w:jc w:val="right"/>
              <w:rPr>
                <w:color w:val="000000" w:themeColor="text1"/>
                <w:sz w:val="20"/>
              </w:rPr>
            </w:pPr>
            <w:r w:rsidRPr="00164A64">
              <w:rPr>
                <w:color w:val="000000" w:themeColor="text1"/>
                <w:sz w:val="20"/>
              </w:rPr>
              <w:t>-17,500</w:t>
            </w:r>
          </w:p>
        </w:tc>
        <w:tc>
          <w:tcPr>
            <w:tcW w:w="1296" w:type="dxa"/>
            <w:vAlign w:val="center"/>
          </w:tcPr>
          <w:p w14:paraId="52AAFE12" w14:textId="732C6C1C" w:rsidR="00164A64" w:rsidRPr="00164A64" w:rsidRDefault="00164A64" w:rsidP="00164A64">
            <w:pPr>
              <w:jc w:val="right"/>
              <w:rPr>
                <w:color w:val="000000" w:themeColor="text1"/>
                <w:sz w:val="20"/>
              </w:rPr>
            </w:pPr>
            <w:r w:rsidRPr="00164A64">
              <w:rPr>
                <w:color w:val="000000" w:themeColor="text1"/>
                <w:sz w:val="20"/>
              </w:rPr>
              <w:t>-2,400</w:t>
            </w:r>
          </w:p>
        </w:tc>
      </w:tr>
      <w:tr w:rsidR="00164A64" w:rsidRPr="00164A64" w14:paraId="4EA0A058" w14:textId="77777777" w:rsidTr="00D70580">
        <w:tc>
          <w:tcPr>
            <w:tcW w:w="2718" w:type="dxa"/>
            <w:vAlign w:val="center"/>
          </w:tcPr>
          <w:p w14:paraId="66BB001F" w14:textId="6F43D310" w:rsidR="00164A64" w:rsidRPr="00D70580" w:rsidRDefault="00164A64" w:rsidP="00D70580">
            <w:pPr>
              <w:jc w:val="right"/>
              <w:rPr>
                <w:color w:val="000000" w:themeColor="text1"/>
                <w:sz w:val="18"/>
              </w:rPr>
            </w:pPr>
            <w:r w:rsidRPr="00D70580">
              <w:rPr>
                <w:color w:val="000000" w:themeColor="text1"/>
                <w:sz w:val="18"/>
              </w:rPr>
              <w:t xml:space="preserve">Change in </w:t>
            </w:r>
            <w:r w:rsidR="00D70580" w:rsidRPr="00D70580">
              <w:rPr>
                <w:color w:val="000000" w:themeColor="text1"/>
                <w:sz w:val="18"/>
              </w:rPr>
              <w:t>RDR</w:t>
            </w:r>
            <w:r w:rsidRPr="00D70580">
              <w:rPr>
                <w:color w:val="000000" w:themeColor="text1"/>
                <w:sz w:val="18"/>
              </w:rPr>
              <w:t xml:space="preserve"> assumption from 5.5% to 5%:</w:t>
            </w:r>
          </w:p>
        </w:tc>
        <w:tc>
          <w:tcPr>
            <w:tcW w:w="2322" w:type="dxa"/>
            <w:gridSpan w:val="2"/>
            <w:vAlign w:val="center"/>
          </w:tcPr>
          <w:p w14:paraId="38358D01" w14:textId="77777777" w:rsidR="00164A64" w:rsidRDefault="00164A64" w:rsidP="00164A64">
            <w:pPr>
              <w:jc w:val="right"/>
              <w:rPr>
                <w:color w:val="000000" w:themeColor="text1"/>
                <w:sz w:val="20"/>
              </w:rPr>
            </w:pPr>
            <w:r>
              <w:rPr>
                <w:color w:val="000000" w:themeColor="text1"/>
                <w:sz w:val="20"/>
              </w:rPr>
              <w:t xml:space="preserve">-7,400 </w:t>
            </w:r>
          </w:p>
          <w:p w14:paraId="2F00A5FD" w14:textId="386EA08B" w:rsidR="00164A64" w:rsidRPr="00D56CE6" w:rsidRDefault="00164A64" w:rsidP="00164A64">
            <w:pPr>
              <w:jc w:val="right"/>
              <w:rPr>
                <w:i/>
                <w:color w:val="000000" w:themeColor="text1"/>
                <w:sz w:val="20"/>
              </w:rPr>
            </w:pPr>
            <w:r w:rsidRPr="00D56CE6">
              <w:rPr>
                <w:i/>
                <w:color w:val="000000" w:themeColor="text1"/>
                <w:sz w:val="20"/>
              </w:rPr>
              <w:t>= -245,200 – (-237,800)</w:t>
            </w:r>
          </w:p>
        </w:tc>
        <w:tc>
          <w:tcPr>
            <w:tcW w:w="2304" w:type="dxa"/>
            <w:vAlign w:val="center"/>
          </w:tcPr>
          <w:p w14:paraId="46ECB6FF" w14:textId="77777777" w:rsidR="00164A64" w:rsidRPr="00164A64" w:rsidRDefault="00164A64" w:rsidP="00164A64">
            <w:pPr>
              <w:jc w:val="right"/>
              <w:rPr>
                <w:color w:val="000000" w:themeColor="text1"/>
                <w:sz w:val="20"/>
              </w:rPr>
            </w:pPr>
          </w:p>
        </w:tc>
        <w:tc>
          <w:tcPr>
            <w:tcW w:w="1296" w:type="dxa"/>
            <w:vAlign w:val="center"/>
          </w:tcPr>
          <w:p w14:paraId="0235378C" w14:textId="77777777" w:rsidR="00164A64" w:rsidRPr="00164A64" w:rsidRDefault="00164A64" w:rsidP="00164A64">
            <w:pPr>
              <w:jc w:val="right"/>
              <w:rPr>
                <w:color w:val="000000" w:themeColor="text1"/>
                <w:sz w:val="20"/>
              </w:rPr>
            </w:pPr>
          </w:p>
        </w:tc>
      </w:tr>
      <w:tr w:rsidR="00D70580" w:rsidRPr="00164A64" w14:paraId="69353889" w14:textId="77777777" w:rsidTr="00D70580">
        <w:tc>
          <w:tcPr>
            <w:tcW w:w="2718" w:type="dxa"/>
            <w:shd w:val="clear" w:color="auto" w:fill="95B3D7" w:themeFill="accent1" w:themeFillTint="99"/>
          </w:tcPr>
          <w:p w14:paraId="585A4047" w14:textId="5E3782D6" w:rsidR="00D70580" w:rsidRPr="00D70580" w:rsidRDefault="00D70580" w:rsidP="00164A64">
            <w:pPr>
              <w:jc w:val="right"/>
              <w:rPr>
                <w:b/>
                <w:color w:val="000000" w:themeColor="text1"/>
                <w:sz w:val="20"/>
              </w:rPr>
            </w:pPr>
            <w:r w:rsidRPr="00D70580">
              <w:rPr>
                <w:b/>
                <w:color w:val="000000" w:themeColor="text1"/>
                <w:sz w:val="20"/>
              </w:rPr>
              <w:t>Total change in Policy Liability</w:t>
            </w:r>
          </w:p>
        </w:tc>
        <w:tc>
          <w:tcPr>
            <w:tcW w:w="2322" w:type="dxa"/>
            <w:gridSpan w:val="2"/>
            <w:shd w:val="clear" w:color="auto" w:fill="95B3D7" w:themeFill="accent1" w:themeFillTint="99"/>
          </w:tcPr>
          <w:p w14:paraId="1960D29D" w14:textId="705C6BE0" w:rsidR="00D70580" w:rsidRPr="00D70580" w:rsidRDefault="00D70580" w:rsidP="00164A64">
            <w:pPr>
              <w:jc w:val="right"/>
              <w:rPr>
                <w:color w:val="000000" w:themeColor="text1"/>
                <w:sz w:val="20"/>
                <w:u w:val="single"/>
              </w:rPr>
            </w:pPr>
            <w:r w:rsidRPr="00D70580">
              <w:rPr>
                <w:sz w:val="20"/>
                <w:u w:val="single"/>
              </w:rPr>
              <w:t>-9,700</w:t>
            </w:r>
          </w:p>
        </w:tc>
        <w:tc>
          <w:tcPr>
            <w:tcW w:w="2304" w:type="dxa"/>
            <w:shd w:val="clear" w:color="auto" w:fill="95B3D7" w:themeFill="accent1" w:themeFillTint="99"/>
          </w:tcPr>
          <w:p w14:paraId="327C9D50" w14:textId="7745BBEE" w:rsidR="00D70580" w:rsidRPr="00D70580" w:rsidRDefault="00313DC2" w:rsidP="00313DC2">
            <w:pPr>
              <w:jc w:val="right"/>
              <w:rPr>
                <w:color w:val="000000" w:themeColor="text1"/>
                <w:sz w:val="20"/>
                <w:u w:val="single"/>
              </w:rPr>
            </w:pPr>
            <w:r>
              <w:rPr>
                <w:sz w:val="20"/>
                <w:u w:val="single"/>
              </w:rPr>
              <w:t>-2</w:t>
            </w:r>
            <w:r w:rsidR="00D70580" w:rsidRPr="00D70580">
              <w:rPr>
                <w:sz w:val="20"/>
                <w:u w:val="single"/>
              </w:rPr>
              <w:t>,</w:t>
            </w:r>
            <w:r>
              <w:rPr>
                <w:sz w:val="20"/>
                <w:u w:val="single"/>
              </w:rPr>
              <w:t>2</w:t>
            </w:r>
            <w:r w:rsidR="00D70580" w:rsidRPr="00D70580">
              <w:rPr>
                <w:sz w:val="20"/>
                <w:u w:val="single"/>
              </w:rPr>
              <w:t>00</w:t>
            </w:r>
          </w:p>
        </w:tc>
        <w:tc>
          <w:tcPr>
            <w:tcW w:w="1296" w:type="dxa"/>
            <w:shd w:val="clear" w:color="auto" w:fill="95B3D7" w:themeFill="accent1" w:themeFillTint="99"/>
            <w:vAlign w:val="center"/>
          </w:tcPr>
          <w:p w14:paraId="71ABDC74" w14:textId="77777777" w:rsidR="00D70580" w:rsidRPr="00164A64" w:rsidRDefault="00D70580" w:rsidP="00164A64">
            <w:pPr>
              <w:jc w:val="right"/>
              <w:rPr>
                <w:color w:val="000000" w:themeColor="text1"/>
                <w:sz w:val="20"/>
              </w:rPr>
            </w:pPr>
          </w:p>
        </w:tc>
      </w:tr>
      <w:tr w:rsidR="00164A64" w:rsidRPr="00164A64" w14:paraId="2898674D" w14:textId="77777777" w:rsidTr="00D70580">
        <w:tc>
          <w:tcPr>
            <w:tcW w:w="2718" w:type="dxa"/>
          </w:tcPr>
          <w:p w14:paraId="34D00EB3" w14:textId="77777777" w:rsidR="00164A64" w:rsidRPr="00164A64" w:rsidRDefault="00164A64" w:rsidP="00164A64">
            <w:pPr>
              <w:jc w:val="right"/>
              <w:rPr>
                <w:color w:val="000000" w:themeColor="text1"/>
                <w:sz w:val="20"/>
              </w:rPr>
            </w:pPr>
          </w:p>
        </w:tc>
        <w:tc>
          <w:tcPr>
            <w:tcW w:w="2322" w:type="dxa"/>
            <w:gridSpan w:val="2"/>
            <w:vAlign w:val="center"/>
          </w:tcPr>
          <w:p w14:paraId="2CD0C1E5" w14:textId="77777777" w:rsidR="00164A64" w:rsidRDefault="00164A64" w:rsidP="00164A64">
            <w:pPr>
              <w:jc w:val="right"/>
              <w:rPr>
                <w:color w:val="000000" w:themeColor="text1"/>
                <w:sz w:val="20"/>
              </w:rPr>
            </w:pPr>
          </w:p>
        </w:tc>
        <w:tc>
          <w:tcPr>
            <w:tcW w:w="2304" w:type="dxa"/>
            <w:vAlign w:val="center"/>
          </w:tcPr>
          <w:p w14:paraId="5FAB3200" w14:textId="77777777" w:rsidR="00164A64" w:rsidRPr="00164A64" w:rsidRDefault="00164A64" w:rsidP="00164A64">
            <w:pPr>
              <w:jc w:val="right"/>
              <w:rPr>
                <w:color w:val="000000" w:themeColor="text1"/>
                <w:sz w:val="20"/>
              </w:rPr>
            </w:pPr>
          </w:p>
        </w:tc>
        <w:tc>
          <w:tcPr>
            <w:tcW w:w="1296" w:type="dxa"/>
            <w:vAlign w:val="center"/>
          </w:tcPr>
          <w:p w14:paraId="45AA129A" w14:textId="77777777" w:rsidR="00164A64" w:rsidRPr="00164A64" w:rsidRDefault="00164A64" w:rsidP="00164A64">
            <w:pPr>
              <w:jc w:val="right"/>
              <w:rPr>
                <w:color w:val="000000" w:themeColor="text1"/>
                <w:sz w:val="20"/>
              </w:rPr>
            </w:pPr>
          </w:p>
        </w:tc>
      </w:tr>
      <w:tr w:rsidR="00D70580" w:rsidRPr="00164A64" w14:paraId="25CB3F2D" w14:textId="77777777" w:rsidTr="00D70580">
        <w:tc>
          <w:tcPr>
            <w:tcW w:w="2718" w:type="dxa"/>
            <w:shd w:val="clear" w:color="auto" w:fill="95B3D7" w:themeFill="accent1" w:themeFillTint="99"/>
            <w:vAlign w:val="center"/>
          </w:tcPr>
          <w:p w14:paraId="3FF16AA8" w14:textId="6A52E25B" w:rsidR="00D70580" w:rsidRPr="00D70580" w:rsidRDefault="00D70580" w:rsidP="00D70580">
            <w:pPr>
              <w:jc w:val="right"/>
              <w:rPr>
                <w:b/>
                <w:color w:val="000000" w:themeColor="text1"/>
                <w:sz w:val="20"/>
              </w:rPr>
            </w:pPr>
            <w:r w:rsidRPr="00D70580">
              <w:rPr>
                <w:b/>
                <w:sz w:val="20"/>
              </w:rPr>
              <w:t xml:space="preserve">Policy Liability @ 30/6/2012 </w:t>
            </w:r>
          </w:p>
        </w:tc>
        <w:tc>
          <w:tcPr>
            <w:tcW w:w="2322" w:type="dxa"/>
            <w:gridSpan w:val="2"/>
            <w:shd w:val="clear" w:color="auto" w:fill="95B3D7" w:themeFill="accent1" w:themeFillTint="99"/>
            <w:vAlign w:val="center"/>
          </w:tcPr>
          <w:p w14:paraId="2B95782A" w14:textId="08C29CAC" w:rsidR="00D70580" w:rsidRPr="00D70580" w:rsidRDefault="00D70580" w:rsidP="00D70580">
            <w:pPr>
              <w:jc w:val="right"/>
              <w:rPr>
                <w:color w:val="000000" w:themeColor="text1"/>
                <w:sz w:val="20"/>
              </w:rPr>
            </w:pPr>
            <w:r w:rsidRPr="00D70580">
              <w:rPr>
                <w:sz w:val="20"/>
              </w:rPr>
              <w:t xml:space="preserve">-248,200 </w:t>
            </w:r>
          </w:p>
        </w:tc>
        <w:tc>
          <w:tcPr>
            <w:tcW w:w="2304" w:type="dxa"/>
            <w:shd w:val="clear" w:color="auto" w:fill="95B3D7" w:themeFill="accent1" w:themeFillTint="99"/>
            <w:vAlign w:val="center"/>
          </w:tcPr>
          <w:p w14:paraId="202FB887" w14:textId="2D011D45" w:rsidR="00D70580" w:rsidRPr="00D70580" w:rsidRDefault="00D70580" w:rsidP="00D70580">
            <w:pPr>
              <w:jc w:val="right"/>
              <w:rPr>
                <w:color w:val="000000" w:themeColor="text1"/>
                <w:sz w:val="20"/>
              </w:rPr>
            </w:pPr>
            <w:r w:rsidRPr="00D70580">
              <w:rPr>
                <w:sz w:val="20"/>
              </w:rPr>
              <w:t xml:space="preserve">-240,700 </w:t>
            </w:r>
          </w:p>
        </w:tc>
        <w:tc>
          <w:tcPr>
            <w:tcW w:w="1296" w:type="dxa"/>
            <w:shd w:val="clear" w:color="auto" w:fill="95B3D7" w:themeFill="accent1" w:themeFillTint="99"/>
            <w:vAlign w:val="center"/>
          </w:tcPr>
          <w:p w14:paraId="61C6E1A4" w14:textId="77777777" w:rsidR="00D70580" w:rsidRPr="00164A64" w:rsidRDefault="00D70580" w:rsidP="00164A64">
            <w:pPr>
              <w:jc w:val="right"/>
              <w:rPr>
                <w:color w:val="000000" w:themeColor="text1"/>
                <w:sz w:val="20"/>
              </w:rPr>
            </w:pPr>
          </w:p>
        </w:tc>
      </w:tr>
    </w:tbl>
    <w:p w14:paraId="0AAF3105" w14:textId="31A513A5" w:rsidR="000971FB" w:rsidRPr="00313DC2" w:rsidRDefault="000971FB" w:rsidP="00C35322">
      <w:pPr>
        <w:spacing w:after="60"/>
        <w:rPr>
          <w:color w:val="000000" w:themeColor="text1"/>
        </w:rPr>
      </w:pPr>
    </w:p>
    <w:p w14:paraId="45D2A438" w14:textId="77777777" w:rsidR="00313DC2" w:rsidRPr="00313DC2" w:rsidRDefault="00313DC2" w:rsidP="00313DC2">
      <w:pPr>
        <w:spacing w:after="60"/>
        <w:rPr>
          <w:i/>
          <w:color w:val="000000" w:themeColor="text1"/>
        </w:rPr>
      </w:pPr>
      <w:r w:rsidRPr="00313DC2">
        <w:rPr>
          <w:i/>
          <w:color w:val="000000" w:themeColor="text1"/>
        </w:rPr>
        <w:t>Each component of the change in policy liability needs to be allocated to the appropriate cashflow item as follows:</w:t>
      </w:r>
    </w:p>
    <w:p w14:paraId="0CF9773E" w14:textId="77777777" w:rsidR="00313DC2" w:rsidRDefault="00313DC2" w:rsidP="00313DC2">
      <w:pPr>
        <w:spacing w:after="60"/>
        <w:rPr>
          <w:b/>
          <w:color w:val="000000" w:themeColor="text1"/>
        </w:rPr>
      </w:pPr>
      <w:r>
        <w:rPr>
          <w:b/>
          <w:color w:val="000000" w:themeColor="text1"/>
        </w:rPr>
        <w:lastRenderedPageBreak/>
        <w:t xml:space="preserve">Gross Claims Experience Profit </w:t>
      </w:r>
    </w:p>
    <w:p w14:paraId="4AE92193" w14:textId="0DF8AADC" w:rsidR="00313DC2" w:rsidRPr="00313DC2" w:rsidRDefault="00313DC2" w:rsidP="00313DC2">
      <w:pPr>
        <w:spacing w:after="60"/>
        <w:rPr>
          <w:b/>
          <w:color w:val="000000" w:themeColor="text1"/>
        </w:rPr>
      </w:pPr>
      <w:r w:rsidRPr="00313DC2">
        <w:rPr>
          <w:color w:val="000000" w:themeColor="text1"/>
        </w:rPr>
        <w:t>= Gross Claims Payments Experience Profit with interest</w:t>
      </w:r>
      <w:r>
        <w:rPr>
          <w:color w:val="000000" w:themeColor="text1"/>
        </w:rPr>
        <w:t xml:space="preserve"> (</w:t>
      </w:r>
      <w:r w:rsidRPr="00313DC2">
        <w:rPr>
          <w:color w:val="000000" w:themeColor="text1"/>
        </w:rPr>
        <w:t>-4,314</w:t>
      </w:r>
      <w:r>
        <w:rPr>
          <w:color w:val="000000" w:themeColor="text1"/>
        </w:rPr>
        <w:t>)</w:t>
      </w:r>
    </w:p>
    <w:p w14:paraId="6CB9D266" w14:textId="034E48FE" w:rsidR="00313DC2" w:rsidRPr="00313DC2" w:rsidRDefault="00313DC2" w:rsidP="00313DC2">
      <w:pPr>
        <w:spacing w:after="60"/>
        <w:rPr>
          <w:color w:val="000000" w:themeColor="text1"/>
        </w:rPr>
      </w:pPr>
      <w:r w:rsidRPr="00313DC2">
        <w:rPr>
          <w:color w:val="000000" w:themeColor="text1"/>
        </w:rPr>
        <w:t>+ IBNR Experience Profit</w:t>
      </w:r>
      <w:r>
        <w:rPr>
          <w:color w:val="000000" w:themeColor="text1"/>
        </w:rPr>
        <w:t xml:space="preserve"> (</w:t>
      </w:r>
      <w:r w:rsidRPr="00313DC2">
        <w:rPr>
          <w:color w:val="000000" w:themeColor="text1"/>
        </w:rPr>
        <w:t>= 300 from above</w:t>
      </w:r>
      <w:r>
        <w:rPr>
          <w:color w:val="000000" w:themeColor="text1"/>
        </w:rPr>
        <w:t>)</w:t>
      </w:r>
    </w:p>
    <w:p w14:paraId="4BF8C503" w14:textId="77777777" w:rsidR="00313DC2" w:rsidRPr="00313DC2" w:rsidRDefault="00313DC2" w:rsidP="00313DC2">
      <w:pPr>
        <w:spacing w:after="60"/>
        <w:rPr>
          <w:color w:val="000000" w:themeColor="text1"/>
        </w:rPr>
      </w:pPr>
      <w:r w:rsidRPr="00313DC2">
        <w:rPr>
          <w:color w:val="000000" w:themeColor="text1"/>
        </w:rPr>
        <w:t>= -4,014</w:t>
      </w:r>
    </w:p>
    <w:p w14:paraId="35F383E6" w14:textId="77777777" w:rsidR="00313DC2" w:rsidRPr="00313DC2" w:rsidRDefault="00313DC2" w:rsidP="00313DC2">
      <w:pPr>
        <w:spacing w:after="60"/>
        <w:rPr>
          <w:color w:val="000000" w:themeColor="text1"/>
        </w:rPr>
      </w:pPr>
      <w:r w:rsidRPr="00313DC2">
        <w:rPr>
          <w:color w:val="000000" w:themeColor="text1"/>
        </w:rPr>
        <w:t>Reinsurance can be handled a number of ways.</w:t>
      </w:r>
    </w:p>
    <w:p w14:paraId="77F35D4B" w14:textId="77777777" w:rsidR="00313DC2" w:rsidRPr="00313DC2" w:rsidRDefault="00313DC2" w:rsidP="00313DC2">
      <w:pPr>
        <w:spacing w:after="60"/>
        <w:rPr>
          <w:b/>
          <w:color w:val="000000" w:themeColor="text1"/>
        </w:rPr>
      </w:pPr>
      <w:r w:rsidRPr="00313DC2">
        <w:rPr>
          <w:b/>
          <w:color w:val="000000" w:themeColor="text1"/>
        </w:rPr>
        <w:t>Cost of Reinsurance Experience Profit</w:t>
      </w:r>
    </w:p>
    <w:p w14:paraId="349B352A" w14:textId="06D03339" w:rsidR="009F3689" w:rsidRDefault="00313DC2" w:rsidP="00ED0690">
      <w:pPr>
        <w:pStyle w:val="ListParagraph"/>
        <w:numPr>
          <w:ilvl w:val="0"/>
          <w:numId w:val="3"/>
        </w:numPr>
        <w:spacing w:after="60"/>
        <w:ind w:left="180" w:hanging="180"/>
        <w:rPr>
          <w:i/>
          <w:color w:val="FF0000"/>
          <w:sz w:val="20"/>
        </w:rPr>
      </w:pPr>
      <w:r w:rsidRPr="00313DC2">
        <w:rPr>
          <w:i/>
          <w:color w:val="FF0000"/>
          <w:sz w:val="20"/>
        </w:rPr>
        <w:t>Actual Cost of Reinsurance = Actual Reinsurance Premiums - Actual Reinsurance Claims</w:t>
      </w:r>
    </w:p>
    <w:p w14:paraId="7C49CBA0" w14:textId="16CE6A37" w:rsidR="009F3689" w:rsidRPr="009F3689" w:rsidRDefault="009F3689" w:rsidP="009F3689">
      <w:pPr>
        <w:pStyle w:val="ListParagraph"/>
        <w:spacing w:after="60"/>
        <w:ind w:left="180"/>
        <w:rPr>
          <w:i/>
          <w:color w:val="FF0000"/>
          <w:sz w:val="20"/>
        </w:rPr>
      </w:pPr>
      <w:r>
        <w:rPr>
          <w:i/>
          <w:color w:val="FF0000"/>
          <w:sz w:val="20"/>
        </w:rPr>
        <w:tab/>
      </w:r>
      <w:r>
        <w:rPr>
          <w:i/>
          <w:color w:val="FF0000"/>
          <w:sz w:val="20"/>
        </w:rPr>
        <w:tab/>
      </w:r>
      <w:r>
        <w:rPr>
          <w:i/>
          <w:color w:val="FF0000"/>
          <w:sz w:val="20"/>
        </w:rPr>
        <w:tab/>
        <w:t xml:space="preserve">     = -10,800 + 4300 = -6,500</w:t>
      </w:r>
    </w:p>
    <w:p w14:paraId="472D6D2B" w14:textId="77777777" w:rsidR="00313DC2" w:rsidRDefault="00313DC2" w:rsidP="00ED0690">
      <w:pPr>
        <w:pStyle w:val="ListParagraph"/>
        <w:numPr>
          <w:ilvl w:val="0"/>
          <w:numId w:val="3"/>
        </w:numPr>
        <w:spacing w:after="60"/>
        <w:ind w:left="180" w:hanging="180"/>
        <w:rPr>
          <w:i/>
          <w:color w:val="FF0000"/>
          <w:sz w:val="20"/>
        </w:rPr>
      </w:pPr>
      <w:r w:rsidRPr="00313DC2">
        <w:rPr>
          <w:i/>
          <w:color w:val="FF0000"/>
          <w:sz w:val="20"/>
        </w:rPr>
        <w:t>Expected Cost of Reinsurance = Expected Reinsurance Premiums - Expected Reinsurance Claims</w:t>
      </w:r>
    </w:p>
    <w:p w14:paraId="615F4682" w14:textId="0CF142F9" w:rsidR="009F3689" w:rsidRPr="00313DC2" w:rsidRDefault="009F3689" w:rsidP="009F3689">
      <w:pPr>
        <w:pStyle w:val="ListParagraph"/>
        <w:spacing w:after="60"/>
        <w:ind w:left="180"/>
        <w:rPr>
          <w:i/>
          <w:color w:val="FF0000"/>
          <w:sz w:val="20"/>
        </w:rPr>
      </w:pPr>
      <w:r>
        <w:rPr>
          <w:i/>
          <w:color w:val="FF0000"/>
          <w:sz w:val="20"/>
        </w:rPr>
        <w:t xml:space="preserve">  </w:t>
      </w:r>
      <w:r>
        <w:rPr>
          <w:i/>
          <w:color w:val="FF0000"/>
          <w:sz w:val="20"/>
        </w:rPr>
        <w:tab/>
      </w:r>
      <w:r>
        <w:rPr>
          <w:i/>
          <w:color w:val="FF0000"/>
          <w:sz w:val="20"/>
        </w:rPr>
        <w:tab/>
      </w:r>
      <w:r>
        <w:rPr>
          <w:i/>
          <w:color w:val="FF0000"/>
          <w:sz w:val="20"/>
        </w:rPr>
        <w:tab/>
        <w:t xml:space="preserve">         = -10,700 + 7500 = -3,200</w:t>
      </w:r>
    </w:p>
    <w:p w14:paraId="6A521B65" w14:textId="5474F51F" w:rsidR="009F3689" w:rsidRPr="009F3689" w:rsidRDefault="00313DC2" w:rsidP="00ED0690">
      <w:pPr>
        <w:pStyle w:val="ListParagraph"/>
        <w:numPr>
          <w:ilvl w:val="0"/>
          <w:numId w:val="3"/>
        </w:numPr>
        <w:spacing w:after="60"/>
        <w:ind w:left="180" w:hanging="180"/>
        <w:rPr>
          <w:i/>
          <w:color w:val="FF0000"/>
          <w:sz w:val="20"/>
        </w:rPr>
      </w:pPr>
      <w:r w:rsidRPr="00313DC2">
        <w:rPr>
          <w:i/>
          <w:color w:val="FF0000"/>
          <w:sz w:val="20"/>
        </w:rPr>
        <w:t>Cost of Reinsurance Experience Profit = Actual Cost of Reinsurance – Expected Cost of Reinsurance</w:t>
      </w:r>
      <w:r w:rsidR="009F3689" w:rsidRPr="009F3689">
        <w:rPr>
          <w:i/>
          <w:color w:val="FF0000"/>
          <w:sz w:val="20"/>
        </w:rPr>
        <w:t xml:space="preserve">                              </w:t>
      </w:r>
      <w:r w:rsidR="009F3689">
        <w:rPr>
          <w:i/>
          <w:color w:val="FF0000"/>
          <w:sz w:val="20"/>
        </w:rPr>
        <w:t xml:space="preserve"> </w:t>
      </w:r>
      <w:r w:rsidR="009F3689">
        <w:rPr>
          <w:i/>
          <w:color w:val="FF0000"/>
          <w:sz w:val="20"/>
        </w:rPr>
        <w:tab/>
      </w:r>
      <w:r w:rsidR="009F3689">
        <w:rPr>
          <w:i/>
          <w:color w:val="FF0000"/>
          <w:sz w:val="20"/>
        </w:rPr>
        <w:tab/>
      </w:r>
      <w:r w:rsidR="009F3689" w:rsidRPr="009F3689">
        <w:rPr>
          <w:i/>
          <w:color w:val="FF0000"/>
          <w:sz w:val="20"/>
        </w:rPr>
        <w:t xml:space="preserve">= (Actual Re Premiums - Expected Re Premiums) – (Actual Re Claims - Expected Re Claims) </w:t>
      </w:r>
    </w:p>
    <w:p w14:paraId="0BB44812" w14:textId="77777777" w:rsidR="00313DC2" w:rsidRPr="00313DC2" w:rsidRDefault="00313DC2" w:rsidP="00313DC2">
      <w:pPr>
        <w:spacing w:after="60"/>
        <w:rPr>
          <w:color w:val="000000" w:themeColor="text1"/>
        </w:rPr>
      </w:pPr>
      <w:r w:rsidRPr="00313DC2">
        <w:rPr>
          <w:color w:val="000000" w:themeColor="text1"/>
        </w:rPr>
        <w:t>From the information given in the question, this can be expressed as:</w:t>
      </w:r>
    </w:p>
    <w:p w14:paraId="1E3D9609" w14:textId="77777777" w:rsidR="00313DC2" w:rsidRPr="00313DC2" w:rsidRDefault="00313DC2" w:rsidP="00ED0690">
      <w:pPr>
        <w:pStyle w:val="ListParagraph"/>
        <w:numPr>
          <w:ilvl w:val="0"/>
          <w:numId w:val="3"/>
        </w:numPr>
        <w:spacing w:after="60"/>
        <w:ind w:left="180" w:hanging="180"/>
        <w:rPr>
          <w:i/>
          <w:color w:val="FF0000"/>
          <w:sz w:val="20"/>
        </w:rPr>
      </w:pPr>
      <w:r w:rsidRPr="00313DC2">
        <w:rPr>
          <w:i/>
          <w:color w:val="FF0000"/>
          <w:sz w:val="20"/>
        </w:rPr>
        <w:t>Reinsurance Premiums Experience Profit - Reinsurance Claims Experience Profit</w:t>
      </w:r>
    </w:p>
    <w:p w14:paraId="4947855C" w14:textId="11D4C0DA" w:rsidR="00313DC2" w:rsidRDefault="00313DC2" w:rsidP="00313DC2">
      <w:pPr>
        <w:spacing w:after="60"/>
        <w:rPr>
          <w:color w:val="000000" w:themeColor="text1"/>
        </w:rPr>
      </w:pPr>
      <w:r>
        <w:rPr>
          <w:color w:val="000000" w:themeColor="text1"/>
        </w:rPr>
        <w:t xml:space="preserve">= </w:t>
      </w:r>
      <w:r w:rsidR="00BB774F">
        <w:rPr>
          <w:color w:val="000000" w:themeColor="text1"/>
        </w:rPr>
        <w:t>–</w:t>
      </w:r>
      <w:r>
        <w:rPr>
          <w:color w:val="000000" w:themeColor="text1"/>
        </w:rPr>
        <w:t xml:space="preserve"> 103 – 3,287 </w:t>
      </w:r>
      <w:r w:rsidRPr="00313DC2">
        <w:rPr>
          <w:color w:val="000000" w:themeColor="text1"/>
        </w:rPr>
        <w:t>= - 3,390</w:t>
      </w:r>
    </w:p>
    <w:p w14:paraId="240D242E" w14:textId="77777777" w:rsidR="007B3B79" w:rsidRPr="007B3B79" w:rsidRDefault="007B3B79" w:rsidP="007B3B79">
      <w:pPr>
        <w:spacing w:after="60"/>
        <w:rPr>
          <w:b/>
          <w:color w:val="000000" w:themeColor="text1"/>
        </w:rPr>
      </w:pPr>
      <w:r w:rsidRPr="007B3B79">
        <w:rPr>
          <w:b/>
          <w:color w:val="000000" w:themeColor="text1"/>
        </w:rPr>
        <w:t>Lapse Experience Profit</w:t>
      </w:r>
    </w:p>
    <w:p w14:paraId="2731B9AD" w14:textId="77777777" w:rsidR="007B3B79" w:rsidRPr="007B3B79" w:rsidRDefault="007B3B79" w:rsidP="007B3B79">
      <w:pPr>
        <w:spacing w:after="60"/>
        <w:rPr>
          <w:color w:val="000000" w:themeColor="text1"/>
        </w:rPr>
      </w:pPr>
      <w:r w:rsidRPr="007B3B79">
        <w:rPr>
          <w:color w:val="000000" w:themeColor="text1"/>
        </w:rPr>
        <w:t>There are no surrender payments on lapses.</w:t>
      </w:r>
    </w:p>
    <w:p w14:paraId="724D94F5" w14:textId="77777777" w:rsidR="007B3B79" w:rsidRPr="003138A6" w:rsidRDefault="007B3B79" w:rsidP="007B3B79">
      <w:pPr>
        <w:spacing w:after="60"/>
        <w:rPr>
          <w:color w:val="FF0000"/>
        </w:rPr>
      </w:pPr>
      <w:r w:rsidRPr="003138A6">
        <w:rPr>
          <w:color w:val="FF0000"/>
        </w:rPr>
        <w:t xml:space="preserve">= </w:t>
      </w:r>
      <w:r w:rsidRPr="003138A6">
        <w:rPr>
          <w:b/>
          <w:color w:val="FF0000"/>
        </w:rPr>
        <w:t>–</w:t>
      </w:r>
      <w:r w:rsidRPr="003138A6">
        <w:rPr>
          <w:color w:val="FF0000"/>
        </w:rPr>
        <w:t xml:space="preserve"> (Policy Liability released on actual lapses</w:t>
      </w:r>
      <w:r w:rsidRPr="003138A6">
        <w:rPr>
          <w:rFonts w:hint="eastAsia"/>
          <w:color w:val="FF0000"/>
        </w:rPr>
        <w:t>–</w:t>
      </w:r>
      <w:r w:rsidRPr="003138A6">
        <w:rPr>
          <w:color w:val="FF0000"/>
        </w:rPr>
        <w:t>Policy Liability released on expected lapses)</w:t>
      </w:r>
    </w:p>
    <w:p w14:paraId="65E37D09" w14:textId="0272EFB7" w:rsidR="007B3B79" w:rsidRPr="007B3B79" w:rsidRDefault="007B3B79" w:rsidP="007B3B79">
      <w:pPr>
        <w:spacing w:after="60"/>
        <w:rPr>
          <w:color w:val="000000" w:themeColor="text1"/>
        </w:rPr>
      </w:pPr>
      <w:r w:rsidRPr="007B3B79">
        <w:rPr>
          <w:color w:val="000000" w:themeColor="text1"/>
        </w:rPr>
        <w:t>= –</w:t>
      </w:r>
      <w:r>
        <w:rPr>
          <w:color w:val="000000" w:themeColor="text1"/>
        </w:rPr>
        <w:t xml:space="preserve"> (</w:t>
      </w:r>
      <w:r w:rsidRPr="00164A64">
        <w:rPr>
          <w:color w:val="000000" w:themeColor="text1"/>
          <w:sz w:val="20"/>
        </w:rPr>
        <w:t xml:space="preserve">17,000 </w:t>
      </w:r>
      <w:r w:rsidR="00AD3D43" w:rsidRPr="007B3B79">
        <w:rPr>
          <w:color w:val="000000" w:themeColor="text1"/>
        </w:rPr>
        <w:t>–</w:t>
      </w:r>
      <w:r w:rsidR="00AD3D43">
        <w:rPr>
          <w:color w:val="000000" w:themeColor="text1"/>
        </w:rPr>
        <w:t xml:space="preserve">14,400) = </w:t>
      </w:r>
      <w:r w:rsidR="003138A6">
        <w:rPr>
          <w:color w:val="000000" w:themeColor="text1"/>
        </w:rPr>
        <w:t>-</w:t>
      </w:r>
      <w:r w:rsidRPr="007B3B79">
        <w:rPr>
          <w:color w:val="000000" w:themeColor="text1"/>
        </w:rPr>
        <w:t>2,600 (from above)</w:t>
      </w:r>
    </w:p>
    <w:p w14:paraId="4152A89A" w14:textId="77777777" w:rsidR="007B3B79" w:rsidRPr="007B3B79" w:rsidRDefault="007B3B79" w:rsidP="007B3B79">
      <w:pPr>
        <w:spacing w:after="60"/>
        <w:rPr>
          <w:b/>
          <w:color w:val="000000" w:themeColor="text1"/>
        </w:rPr>
      </w:pPr>
      <w:r w:rsidRPr="007B3B79">
        <w:rPr>
          <w:b/>
          <w:color w:val="000000" w:themeColor="text1"/>
        </w:rPr>
        <w:t>New Business Experience Profit</w:t>
      </w:r>
    </w:p>
    <w:p w14:paraId="742BB380" w14:textId="67E70DDD" w:rsidR="007B3B79" w:rsidRPr="003138A6" w:rsidRDefault="007B3B79" w:rsidP="007B3B79">
      <w:pPr>
        <w:spacing w:after="60"/>
        <w:rPr>
          <w:color w:val="FF0000"/>
        </w:rPr>
      </w:pPr>
      <w:r w:rsidRPr="003138A6">
        <w:rPr>
          <w:color w:val="FF0000"/>
        </w:rPr>
        <w:t xml:space="preserve">= Acquisition expenses </w:t>
      </w:r>
      <w:r w:rsidR="003138A6" w:rsidRPr="003138A6">
        <w:rPr>
          <w:color w:val="FF0000"/>
        </w:rPr>
        <w:t>experience profit with interest</w:t>
      </w:r>
      <w:r w:rsidRPr="003138A6">
        <w:rPr>
          <w:rFonts w:hint="eastAsia"/>
          <w:color w:val="FF0000"/>
        </w:rPr>
        <w:t>–</w:t>
      </w:r>
      <w:r w:rsidRPr="003138A6">
        <w:rPr>
          <w:color w:val="FF0000"/>
        </w:rPr>
        <w:t>New Business Policy Liability Experience Profit</w:t>
      </w:r>
    </w:p>
    <w:p w14:paraId="27D3E075" w14:textId="77777777" w:rsidR="001555D0" w:rsidRDefault="007B3B79" w:rsidP="001555D0">
      <w:pPr>
        <w:spacing w:after="60"/>
        <w:rPr>
          <w:color w:val="000000" w:themeColor="text1"/>
        </w:rPr>
      </w:pPr>
      <w:r w:rsidRPr="007B3B79">
        <w:rPr>
          <w:color w:val="000000" w:themeColor="text1"/>
        </w:rPr>
        <w:t>= -2,465 + 2,400</w:t>
      </w:r>
      <w:r w:rsidR="001555D0">
        <w:rPr>
          <w:color w:val="000000" w:themeColor="text1"/>
        </w:rPr>
        <w:t xml:space="preserve"> (from above) </w:t>
      </w:r>
      <w:r w:rsidR="001555D0" w:rsidRPr="007B3B79">
        <w:rPr>
          <w:color w:val="000000" w:themeColor="text1"/>
        </w:rPr>
        <w:t>= -65</w:t>
      </w:r>
    </w:p>
    <w:p w14:paraId="76009FE2" w14:textId="7D30B6A4" w:rsidR="00693E5E" w:rsidRPr="00693E5E" w:rsidRDefault="00693E5E" w:rsidP="00693E5E">
      <w:pPr>
        <w:spacing w:after="60"/>
        <w:rPr>
          <w:b/>
          <w:color w:val="000000" w:themeColor="text1"/>
        </w:rPr>
      </w:pPr>
      <w:r w:rsidRPr="00693E5E">
        <w:rPr>
          <w:b/>
          <w:color w:val="000000" w:themeColor="text1"/>
        </w:rPr>
        <w:t xml:space="preserve">Change in </w:t>
      </w:r>
      <w:r w:rsidR="00B466B1">
        <w:rPr>
          <w:b/>
          <w:color w:val="000000" w:themeColor="text1"/>
        </w:rPr>
        <w:t>RDR</w:t>
      </w:r>
      <w:r w:rsidRPr="00693E5E">
        <w:rPr>
          <w:b/>
          <w:color w:val="000000" w:themeColor="text1"/>
        </w:rPr>
        <w:t xml:space="preserve"> assumption</w:t>
      </w:r>
    </w:p>
    <w:p w14:paraId="1102A68D" w14:textId="3E72B8B9" w:rsidR="00693E5E" w:rsidRPr="00693E5E" w:rsidRDefault="00693E5E" w:rsidP="00693E5E">
      <w:pPr>
        <w:spacing w:after="60"/>
        <w:rPr>
          <w:color w:val="000000" w:themeColor="text1"/>
        </w:rPr>
      </w:pPr>
      <w:r w:rsidRPr="00693E5E">
        <w:rPr>
          <w:color w:val="000000" w:themeColor="text1"/>
        </w:rPr>
        <w:t xml:space="preserve">= – Change in Policy Liability from change in </w:t>
      </w:r>
      <w:r>
        <w:rPr>
          <w:color w:val="000000" w:themeColor="text1"/>
        </w:rPr>
        <w:t>RDR</w:t>
      </w:r>
      <w:r w:rsidRPr="00693E5E">
        <w:rPr>
          <w:color w:val="000000" w:themeColor="text1"/>
        </w:rPr>
        <w:t xml:space="preserve"> assumption</w:t>
      </w:r>
    </w:p>
    <w:p w14:paraId="521DDD49" w14:textId="2DBC3608" w:rsidR="007B3B79" w:rsidRPr="007B3B79" w:rsidRDefault="00693E5E" w:rsidP="00693E5E">
      <w:pPr>
        <w:spacing w:after="60"/>
        <w:rPr>
          <w:color w:val="000000" w:themeColor="text1"/>
        </w:rPr>
      </w:pPr>
      <w:r w:rsidRPr="00693E5E">
        <w:rPr>
          <w:color w:val="000000" w:themeColor="text1"/>
        </w:rPr>
        <w:t>= +7,400 (from above)</w:t>
      </w:r>
    </w:p>
    <w:p w14:paraId="1D6B3337" w14:textId="77777777" w:rsidR="00693E5E" w:rsidRPr="00693E5E" w:rsidRDefault="00693E5E" w:rsidP="00693E5E">
      <w:pPr>
        <w:spacing w:after="60"/>
        <w:rPr>
          <w:b/>
          <w:color w:val="000000" w:themeColor="text1"/>
        </w:rPr>
      </w:pPr>
      <w:r w:rsidRPr="00693E5E">
        <w:rPr>
          <w:b/>
          <w:color w:val="000000" w:themeColor="text1"/>
        </w:rPr>
        <w:t>Calculate Total Explained Experience Profit</w:t>
      </w:r>
    </w:p>
    <w:tbl>
      <w:tblPr>
        <w:tblStyle w:val="TableGrid"/>
        <w:tblW w:w="0" w:type="auto"/>
        <w:tblLook w:val="04A0" w:firstRow="1" w:lastRow="0" w:firstColumn="1" w:lastColumn="0" w:noHBand="0" w:noVBand="1"/>
      </w:tblPr>
      <w:tblGrid>
        <w:gridCol w:w="4032"/>
        <w:gridCol w:w="1008"/>
      </w:tblGrid>
      <w:tr w:rsidR="00693E5E" w:rsidRPr="00693E5E" w14:paraId="5DE89090" w14:textId="77777777" w:rsidTr="00693E5E">
        <w:tc>
          <w:tcPr>
            <w:tcW w:w="4032" w:type="dxa"/>
            <w:shd w:val="clear" w:color="auto" w:fill="DBE5F1" w:themeFill="accent1" w:themeFillTint="33"/>
            <w:vAlign w:val="center"/>
          </w:tcPr>
          <w:p w14:paraId="0A3ACA3E" w14:textId="77777777" w:rsidR="00693E5E" w:rsidRPr="00693E5E" w:rsidRDefault="00693E5E" w:rsidP="00693E5E">
            <w:pPr>
              <w:jc w:val="right"/>
              <w:rPr>
                <w:color w:val="000000" w:themeColor="text1"/>
                <w:sz w:val="20"/>
              </w:rPr>
            </w:pPr>
            <w:r w:rsidRPr="00693E5E">
              <w:rPr>
                <w:color w:val="000000" w:themeColor="text1"/>
                <w:sz w:val="20"/>
              </w:rPr>
              <w:t>Investment Experience Profit</w:t>
            </w:r>
          </w:p>
        </w:tc>
        <w:tc>
          <w:tcPr>
            <w:tcW w:w="1008" w:type="dxa"/>
            <w:shd w:val="clear" w:color="auto" w:fill="DBE5F1" w:themeFill="accent1" w:themeFillTint="33"/>
            <w:vAlign w:val="center"/>
          </w:tcPr>
          <w:p w14:paraId="0C6D732F" w14:textId="77777777" w:rsidR="00693E5E" w:rsidRPr="00693E5E" w:rsidRDefault="00693E5E" w:rsidP="00693E5E">
            <w:pPr>
              <w:jc w:val="right"/>
              <w:rPr>
                <w:color w:val="000000" w:themeColor="text1"/>
                <w:sz w:val="20"/>
              </w:rPr>
            </w:pPr>
            <w:r w:rsidRPr="00693E5E">
              <w:rPr>
                <w:color w:val="000000" w:themeColor="text1"/>
                <w:sz w:val="20"/>
              </w:rPr>
              <w:t>0</w:t>
            </w:r>
          </w:p>
        </w:tc>
      </w:tr>
      <w:tr w:rsidR="00693E5E" w:rsidRPr="00693E5E" w14:paraId="68170D29" w14:textId="77777777" w:rsidTr="00693E5E">
        <w:tc>
          <w:tcPr>
            <w:tcW w:w="4032" w:type="dxa"/>
            <w:shd w:val="clear" w:color="auto" w:fill="DBE5F1" w:themeFill="accent1" w:themeFillTint="33"/>
            <w:vAlign w:val="center"/>
          </w:tcPr>
          <w:p w14:paraId="3DFED0E2" w14:textId="77777777" w:rsidR="00693E5E" w:rsidRPr="00693E5E" w:rsidRDefault="00693E5E" w:rsidP="00693E5E">
            <w:pPr>
              <w:jc w:val="right"/>
              <w:rPr>
                <w:color w:val="000000" w:themeColor="text1"/>
                <w:sz w:val="20"/>
              </w:rPr>
            </w:pPr>
            <w:r w:rsidRPr="00693E5E">
              <w:rPr>
                <w:color w:val="000000" w:themeColor="text1"/>
                <w:sz w:val="20"/>
              </w:rPr>
              <w:t>Gross Claims Experience Profit</w:t>
            </w:r>
          </w:p>
        </w:tc>
        <w:tc>
          <w:tcPr>
            <w:tcW w:w="1008" w:type="dxa"/>
            <w:shd w:val="clear" w:color="auto" w:fill="DBE5F1" w:themeFill="accent1" w:themeFillTint="33"/>
            <w:vAlign w:val="center"/>
          </w:tcPr>
          <w:p w14:paraId="73A04F81" w14:textId="77777777" w:rsidR="00693E5E" w:rsidRPr="00693E5E" w:rsidRDefault="00693E5E" w:rsidP="00693E5E">
            <w:pPr>
              <w:jc w:val="right"/>
              <w:rPr>
                <w:color w:val="000000" w:themeColor="text1"/>
                <w:sz w:val="20"/>
              </w:rPr>
            </w:pPr>
            <w:r w:rsidRPr="00693E5E">
              <w:rPr>
                <w:color w:val="000000" w:themeColor="text1"/>
                <w:sz w:val="20"/>
              </w:rPr>
              <w:t>-4,014</w:t>
            </w:r>
          </w:p>
        </w:tc>
      </w:tr>
      <w:tr w:rsidR="00693E5E" w:rsidRPr="00693E5E" w14:paraId="1D7C639D" w14:textId="77777777" w:rsidTr="00693E5E">
        <w:tc>
          <w:tcPr>
            <w:tcW w:w="4032" w:type="dxa"/>
            <w:shd w:val="clear" w:color="auto" w:fill="DBE5F1" w:themeFill="accent1" w:themeFillTint="33"/>
            <w:vAlign w:val="center"/>
          </w:tcPr>
          <w:p w14:paraId="5760BD21" w14:textId="77777777" w:rsidR="00693E5E" w:rsidRPr="00693E5E" w:rsidRDefault="00693E5E" w:rsidP="00693E5E">
            <w:pPr>
              <w:jc w:val="right"/>
              <w:rPr>
                <w:color w:val="000000" w:themeColor="text1"/>
                <w:sz w:val="20"/>
              </w:rPr>
            </w:pPr>
            <w:r w:rsidRPr="00693E5E">
              <w:rPr>
                <w:color w:val="000000" w:themeColor="text1"/>
                <w:sz w:val="20"/>
              </w:rPr>
              <w:t>Cost of Reinsurance Experience Profit</w:t>
            </w:r>
          </w:p>
        </w:tc>
        <w:tc>
          <w:tcPr>
            <w:tcW w:w="1008" w:type="dxa"/>
            <w:shd w:val="clear" w:color="auto" w:fill="DBE5F1" w:themeFill="accent1" w:themeFillTint="33"/>
            <w:vAlign w:val="center"/>
          </w:tcPr>
          <w:p w14:paraId="35446FA9" w14:textId="77777777" w:rsidR="00693E5E" w:rsidRPr="00693E5E" w:rsidRDefault="00693E5E" w:rsidP="00693E5E">
            <w:pPr>
              <w:jc w:val="right"/>
              <w:rPr>
                <w:color w:val="000000" w:themeColor="text1"/>
                <w:sz w:val="20"/>
              </w:rPr>
            </w:pPr>
            <w:r w:rsidRPr="00693E5E">
              <w:rPr>
                <w:color w:val="000000" w:themeColor="text1"/>
                <w:sz w:val="20"/>
              </w:rPr>
              <w:t>-3,390</w:t>
            </w:r>
          </w:p>
        </w:tc>
      </w:tr>
      <w:tr w:rsidR="00693E5E" w:rsidRPr="00693E5E" w14:paraId="435EEF51" w14:textId="77777777" w:rsidTr="00693E5E">
        <w:tc>
          <w:tcPr>
            <w:tcW w:w="4032" w:type="dxa"/>
            <w:shd w:val="clear" w:color="auto" w:fill="DBE5F1" w:themeFill="accent1" w:themeFillTint="33"/>
            <w:vAlign w:val="center"/>
          </w:tcPr>
          <w:p w14:paraId="480640DF" w14:textId="77777777" w:rsidR="00693E5E" w:rsidRPr="00693E5E" w:rsidRDefault="00693E5E" w:rsidP="00693E5E">
            <w:pPr>
              <w:jc w:val="right"/>
              <w:rPr>
                <w:color w:val="000000" w:themeColor="text1"/>
                <w:sz w:val="20"/>
              </w:rPr>
            </w:pPr>
            <w:r w:rsidRPr="00693E5E">
              <w:rPr>
                <w:color w:val="000000" w:themeColor="text1"/>
                <w:sz w:val="20"/>
              </w:rPr>
              <w:t>Renewal Expenses Experience Profit</w:t>
            </w:r>
          </w:p>
        </w:tc>
        <w:tc>
          <w:tcPr>
            <w:tcW w:w="1008" w:type="dxa"/>
            <w:shd w:val="clear" w:color="auto" w:fill="DBE5F1" w:themeFill="accent1" w:themeFillTint="33"/>
            <w:vAlign w:val="center"/>
          </w:tcPr>
          <w:p w14:paraId="32F385C0" w14:textId="77777777" w:rsidR="00693E5E" w:rsidRPr="00693E5E" w:rsidRDefault="00693E5E" w:rsidP="00693E5E">
            <w:pPr>
              <w:jc w:val="right"/>
              <w:rPr>
                <w:color w:val="000000" w:themeColor="text1"/>
                <w:sz w:val="20"/>
              </w:rPr>
            </w:pPr>
            <w:r w:rsidRPr="00693E5E">
              <w:rPr>
                <w:color w:val="000000" w:themeColor="text1"/>
                <w:sz w:val="20"/>
              </w:rPr>
              <w:t>-4,211</w:t>
            </w:r>
          </w:p>
        </w:tc>
      </w:tr>
      <w:tr w:rsidR="00693E5E" w:rsidRPr="00693E5E" w14:paraId="7B619319" w14:textId="77777777" w:rsidTr="00693E5E">
        <w:tc>
          <w:tcPr>
            <w:tcW w:w="4032" w:type="dxa"/>
            <w:shd w:val="clear" w:color="auto" w:fill="DBE5F1" w:themeFill="accent1" w:themeFillTint="33"/>
            <w:vAlign w:val="center"/>
          </w:tcPr>
          <w:p w14:paraId="2C0FC4BA" w14:textId="77777777" w:rsidR="00693E5E" w:rsidRPr="00693E5E" w:rsidRDefault="00693E5E" w:rsidP="00693E5E">
            <w:pPr>
              <w:jc w:val="right"/>
              <w:rPr>
                <w:color w:val="000000" w:themeColor="text1"/>
                <w:sz w:val="20"/>
              </w:rPr>
            </w:pPr>
            <w:r w:rsidRPr="00693E5E">
              <w:rPr>
                <w:color w:val="000000" w:themeColor="text1"/>
                <w:sz w:val="20"/>
              </w:rPr>
              <w:t>Lapse Experience Profit</w:t>
            </w:r>
          </w:p>
        </w:tc>
        <w:tc>
          <w:tcPr>
            <w:tcW w:w="1008" w:type="dxa"/>
            <w:shd w:val="clear" w:color="auto" w:fill="DBE5F1" w:themeFill="accent1" w:themeFillTint="33"/>
            <w:vAlign w:val="center"/>
          </w:tcPr>
          <w:p w14:paraId="73FAE64A" w14:textId="77777777" w:rsidR="00693E5E" w:rsidRPr="00693E5E" w:rsidRDefault="00693E5E" w:rsidP="00693E5E">
            <w:pPr>
              <w:jc w:val="right"/>
              <w:rPr>
                <w:color w:val="000000" w:themeColor="text1"/>
                <w:sz w:val="20"/>
              </w:rPr>
            </w:pPr>
            <w:r w:rsidRPr="00693E5E">
              <w:rPr>
                <w:color w:val="000000" w:themeColor="text1"/>
                <w:sz w:val="20"/>
              </w:rPr>
              <w:t>-2,600</w:t>
            </w:r>
          </w:p>
        </w:tc>
      </w:tr>
      <w:tr w:rsidR="00693E5E" w:rsidRPr="00693E5E" w14:paraId="77EEBE20" w14:textId="77777777" w:rsidTr="00693E5E">
        <w:tc>
          <w:tcPr>
            <w:tcW w:w="4032" w:type="dxa"/>
            <w:shd w:val="clear" w:color="auto" w:fill="DBE5F1" w:themeFill="accent1" w:themeFillTint="33"/>
            <w:vAlign w:val="center"/>
          </w:tcPr>
          <w:p w14:paraId="69552DC6" w14:textId="77777777" w:rsidR="00693E5E" w:rsidRPr="00693E5E" w:rsidRDefault="00693E5E" w:rsidP="00693E5E">
            <w:pPr>
              <w:jc w:val="right"/>
              <w:rPr>
                <w:color w:val="000000" w:themeColor="text1"/>
                <w:sz w:val="20"/>
              </w:rPr>
            </w:pPr>
            <w:r w:rsidRPr="00693E5E">
              <w:rPr>
                <w:color w:val="000000" w:themeColor="text1"/>
                <w:sz w:val="20"/>
              </w:rPr>
              <w:t>New Business Experience Profit</w:t>
            </w:r>
          </w:p>
        </w:tc>
        <w:tc>
          <w:tcPr>
            <w:tcW w:w="1008" w:type="dxa"/>
            <w:shd w:val="clear" w:color="auto" w:fill="DBE5F1" w:themeFill="accent1" w:themeFillTint="33"/>
            <w:vAlign w:val="center"/>
          </w:tcPr>
          <w:p w14:paraId="03CA0356" w14:textId="77777777" w:rsidR="00693E5E" w:rsidRPr="00693E5E" w:rsidRDefault="00693E5E" w:rsidP="00693E5E">
            <w:pPr>
              <w:jc w:val="right"/>
              <w:rPr>
                <w:color w:val="000000" w:themeColor="text1"/>
                <w:sz w:val="20"/>
              </w:rPr>
            </w:pPr>
            <w:r w:rsidRPr="00693E5E">
              <w:rPr>
                <w:color w:val="000000" w:themeColor="text1"/>
                <w:sz w:val="20"/>
              </w:rPr>
              <w:t>-65</w:t>
            </w:r>
          </w:p>
        </w:tc>
      </w:tr>
      <w:tr w:rsidR="00693E5E" w:rsidRPr="00693E5E" w14:paraId="4681DC78" w14:textId="77777777" w:rsidTr="00693E5E">
        <w:tc>
          <w:tcPr>
            <w:tcW w:w="4032" w:type="dxa"/>
            <w:shd w:val="clear" w:color="auto" w:fill="DBE5F1" w:themeFill="accent1" w:themeFillTint="33"/>
            <w:vAlign w:val="center"/>
          </w:tcPr>
          <w:p w14:paraId="1D00C132" w14:textId="7E859423" w:rsidR="00693E5E" w:rsidRPr="00693E5E" w:rsidRDefault="00693E5E" w:rsidP="00F63CBF">
            <w:pPr>
              <w:jc w:val="right"/>
              <w:rPr>
                <w:color w:val="000000" w:themeColor="text1"/>
                <w:sz w:val="20"/>
              </w:rPr>
            </w:pPr>
            <w:r w:rsidRPr="00693E5E">
              <w:rPr>
                <w:color w:val="000000" w:themeColor="text1"/>
                <w:sz w:val="20"/>
              </w:rPr>
              <w:t xml:space="preserve">Change in </w:t>
            </w:r>
            <w:r w:rsidR="00F63CBF">
              <w:rPr>
                <w:color w:val="000000" w:themeColor="text1"/>
                <w:sz w:val="20"/>
              </w:rPr>
              <w:t>RDR</w:t>
            </w:r>
            <w:r w:rsidRPr="00693E5E">
              <w:rPr>
                <w:color w:val="000000" w:themeColor="text1"/>
                <w:sz w:val="20"/>
              </w:rPr>
              <w:t xml:space="preserve"> assumption</w:t>
            </w:r>
          </w:p>
        </w:tc>
        <w:tc>
          <w:tcPr>
            <w:tcW w:w="1008" w:type="dxa"/>
            <w:shd w:val="clear" w:color="auto" w:fill="DBE5F1" w:themeFill="accent1" w:themeFillTint="33"/>
            <w:vAlign w:val="center"/>
          </w:tcPr>
          <w:p w14:paraId="41006079" w14:textId="77777777" w:rsidR="00693E5E" w:rsidRPr="00693E5E" w:rsidRDefault="00693E5E" w:rsidP="00693E5E">
            <w:pPr>
              <w:jc w:val="right"/>
              <w:rPr>
                <w:color w:val="000000" w:themeColor="text1"/>
                <w:sz w:val="20"/>
              </w:rPr>
            </w:pPr>
            <w:r w:rsidRPr="00693E5E">
              <w:rPr>
                <w:color w:val="000000" w:themeColor="text1"/>
                <w:sz w:val="20"/>
              </w:rPr>
              <w:t>+7,400</w:t>
            </w:r>
          </w:p>
        </w:tc>
      </w:tr>
      <w:tr w:rsidR="00693E5E" w:rsidRPr="00693E5E" w14:paraId="0140B86A" w14:textId="77777777" w:rsidTr="00693E5E">
        <w:tc>
          <w:tcPr>
            <w:tcW w:w="4032" w:type="dxa"/>
            <w:shd w:val="clear" w:color="auto" w:fill="95B3D7" w:themeFill="accent1" w:themeFillTint="99"/>
            <w:vAlign w:val="center"/>
          </w:tcPr>
          <w:p w14:paraId="7EF3D19D" w14:textId="77777777" w:rsidR="00693E5E" w:rsidRPr="00693E5E" w:rsidRDefault="00693E5E" w:rsidP="00693E5E">
            <w:pPr>
              <w:jc w:val="right"/>
              <w:rPr>
                <w:b/>
                <w:color w:val="000000" w:themeColor="text1"/>
                <w:sz w:val="20"/>
              </w:rPr>
            </w:pPr>
            <w:r w:rsidRPr="00693E5E">
              <w:rPr>
                <w:b/>
                <w:color w:val="000000" w:themeColor="text1"/>
                <w:sz w:val="20"/>
              </w:rPr>
              <w:t>Total Explained Experience Profit</w:t>
            </w:r>
          </w:p>
        </w:tc>
        <w:tc>
          <w:tcPr>
            <w:tcW w:w="1008" w:type="dxa"/>
            <w:shd w:val="clear" w:color="auto" w:fill="95B3D7" w:themeFill="accent1" w:themeFillTint="99"/>
            <w:vAlign w:val="center"/>
          </w:tcPr>
          <w:p w14:paraId="6ABD750F" w14:textId="77777777" w:rsidR="00693E5E" w:rsidRPr="00693E5E" w:rsidRDefault="00693E5E" w:rsidP="00693E5E">
            <w:pPr>
              <w:jc w:val="right"/>
              <w:rPr>
                <w:b/>
                <w:color w:val="000000" w:themeColor="text1"/>
                <w:sz w:val="20"/>
              </w:rPr>
            </w:pPr>
            <w:r w:rsidRPr="00693E5E">
              <w:rPr>
                <w:b/>
                <w:color w:val="000000" w:themeColor="text1"/>
                <w:sz w:val="20"/>
              </w:rPr>
              <w:t>-6,880</w:t>
            </w:r>
          </w:p>
        </w:tc>
      </w:tr>
    </w:tbl>
    <w:p w14:paraId="0D28C6CE" w14:textId="77777777" w:rsidR="00693E5E" w:rsidRDefault="00693E5E" w:rsidP="00693E5E">
      <w:pPr>
        <w:spacing w:after="60"/>
        <w:rPr>
          <w:b/>
          <w:color w:val="000000" w:themeColor="text1"/>
        </w:rPr>
      </w:pPr>
      <w:r>
        <w:rPr>
          <w:b/>
          <w:color w:val="000000" w:themeColor="text1"/>
        </w:rPr>
        <w:t>Unexplained Experience Profit</w:t>
      </w:r>
    </w:p>
    <w:p w14:paraId="6F44DC5D" w14:textId="5C355A97" w:rsidR="009F3689" w:rsidRDefault="00693E5E" w:rsidP="00693E5E">
      <w:pPr>
        <w:spacing w:after="60"/>
        <w:rPr>
          <w:color w:val="000000" w:themeColor="text1"/>
        </w:rPr>
      </w:pPr>
      <w:r w:rsidRPr="00693E5E">
        <w:rPr>
          <w:color w:val="000000" w:themeColor="text1"/>
        </w:rPr>
        <w:t>= Total Experience Profit – Total Explained Experience Profit = -6,900 – (-6,880)</w:t>
      </w:r>
      <w:r>
        <w:rPr>
          <w:b/>
          <w:color w:val="000000" w:themeColor="text1"/>
        </w:rPr>
        <w:t xml:space="preserve"> </w:t>
      </w:r>
      <w:r w:rsidRPr="00693E5E">
        <w:rPr>
          <w:color w:val="000000" w:themeColor="text1"/>
        </w:rPr>
        <w:t>= -20</w:t>
      </w:r>
    </w:p>
    <w:p w14:paraId="05E132EB" w14:textId="12697A2D" w:rsidR="00693E5E" w:rsidRDefault="00693E5E" w:rsidP="00693E5E">
      <w:pPr>
        <w:spacing w:after="60"/>
        <w:rPr>
          <w:color w:val="000000" w:themeColor="text1"/>
        </w:rPr>
      </w:pPr>
      <w:r w:rsidRPr="00693E5E">
        <w:rPr>
          <w:color w:val="000000" w:themeColor="text1"/>
        </w:rPr>
        <w:t>As the unexplained is a small -20, we have covered all the experience items.</w:t>
      </w:r>
    </w:p>
    <w:p w14:paraId="4B54A5DC" w14:textId="77777777" w:rsidR="00F03B05" w:rsidRDefault="00F03B05" w:rsidP="00693E5E">
      <w:pPr>
        <w:spacing w:after="60"/>
        <w:rPr>
          <w:color w:val="000000" w:themeColor="text1"/>
        </w:rPr>
      </w:pPr>
    </w:p>
    <w:p w14:paraId="6F651F8E" w14:textId="01EA4E18" w:rsidR="00F03B05" w:rsidRDefault="00F03B05" w:rsidP="00693E5E">
      <w:pPr>
        <w:spacing w:after="60"/>
        <w:rPr>
          <w:color w:val="000000" w:themeColor="text1"/>
        </w:rPr>
      </w:pPr>
      <w:r>
        <w:rPr>
          <w:color w:val="000000" w:themeColor="text1"/>
        </w:rPr>
        <w:lastRenderedPageBreak/>
        <w:t>2b)</w:t>
      </w:r>
      <w:r w:rsidR="00F01313">
        <w:rPr>
          <w:color w:val="000000" w:themeColor="text1"/>
        </w:rPr>
        <w:t xml:space="preserve"> </w:t>
      </w:r>
      <w:r w:rsidR="006022FB">
        <w:rPr>
          <w:color w:val="000000" w:themeColor="text1"/>
        </w:rPr>
        <w:t xml:space="preserve">&amp; 2c) </w:t>
      </w:r>
      <w:r w:rsidR="00863F13" w:rsidRPr="00863F13">
        <w:rPr>
          <w:i/>
          <w:color w:val="000000" w:themeColor="text1"/>
        </w:rPr>
        <w:t>Comment on each experience item</w:t>
      </w:r>
      <w:r w:rsidR="00863F13">
        <w:rPr>
          <w:i/>
          <w:color w:val="000000" w:themeColor="text1"/>
        </w:rPr>
        <w:t xml:space="preserve">, </w:t>
      </w:r>
      <w:r w:rsidR="00863F13" w:rsidRPr="00863F13">
        <w:rPr>
          <w:i/>
          <w:color w:val="000000" w:themeColor="text1"/>
        </w:rPr>
        <w:t>whether or not there is a potential issue:</w:t>
      </w:r>
    </w:p>
    <w:tbl>
      <w:tblPr>
        <w:tblStyle w:val="TableGrid"/>
        <w:tblW w:w="9826" w:type="dxa"/>
        <w:tblInd w:w="-268" w:type="dxa"/>
        <w:tblLayout w:type="fixed"/>
        <w:tblLook w:val="04A0" w:firstRow="1" w:lastRow="0" w:firstColumn="1" w:lastColumn="0" w:noHBand="0" w:noVBand="1"/>
      </w:tblPr>
      <w:tblGrid>
        <w:gridCol w:w="1276"/>
        <w:gridCol w:w="812"/>
        <w:gridCol w:w="3328"/>
        <w:gridCol w:w="4410"/>
      </w:tblGrid>
      <w:tr w:rsidR="00777037" w:rsidRPr="00777037" w14:paraId="6DB81C53" w14:textId="7D1A9B3D" w:rsidTr="00777037">
        <w:tc>
          <w:tcPr>
            <w:tcW w:w="1276" w:type="dxa"/>
            <w:vAlign w:val="center"/>
          </w:tcPr>
          <w:p w14:paraId="50DC90F6" w14:textId="77777777" w:rsidR="00777037" w:rsidRPr="00777037" w:rsidRDefault="00777037" w:rsidP="00E7157A">
            <w:pPr>
              <w:spacing w:after="60"/>
              <w:jc w:val="center"/>
              <w:rPr>
                <w:b/>
                <w:color w:val="000000" w:themeColor="text1"/>
                <w:sz w:val="20"/>
              </w:rPr>
            </w:pPr>
            <w:r w:rsidRPr="00777037">
              <w:rPr>
                <w:b/>
                <w:color w:val="000000" w:themeColor="text1"/>
                <w:sz w:val="20"/>
              </w:rPr>
              <w:t>Experience Item</w:t>
            </w:r>
          </w:p>
        </w:tc>
        <w:tc>
          <w:tcPr>
            <w:tcW w:w="812" w:type="dxa"/>
            <w:vAlign w:val="center"/>
          </w:tcPr>
          <w:p w14:paraId="38B20077" w14:textId="200273C4" w:rsidR="00777037" w:rsidRPr="00777037" w:rsidRDefault="00777037" w:rsidP="00E7157A">
            <w:pPr>
              <w:spacing w:after="60"/>
              <w:jc w:val="center"/>
              <w:rPr>
                <w:b/>
                <w:color w:val="000000" w:themeColor="text1"/>
                <w:sz w:val="20"/>
              </w:rPr>
            </w:pPr>
            <w:r w:rsidRPr="00777037">
              <w:rPr>
                <w:b/>
                <w:color w:val="000000" w:themeColor="text1"/>
                <w:sz w:val="20"/>
              </w:rPr>
              <w:t>Profit Impact ($m)</w:t>
            </w:r>
          </w:p>
        </w:tc>
        <w:tc>
          <w:tcPr>
            <w:tcW w:w="3328" w:type="dxa"/>
            <w:vAlign w:val="center"/>
          </w:tcPr>
          <w:p w14:paraId="1FC89991" w14:textId="4F0C628A" w:rsidR="00777037" w:rsidRPr="00777037" w:rsidRDefault="00777037" w:rsidP="00E7157A">
            <w:pPr>
              <w:spacing w:after="60"/>
              <w:jc w:val="center"/>
              <w:rPr>
                <w:b/>
                <w:color w:val="000000" w:themeColor="text1"/>
                <w:sz w:val="20"/>
              </w:rPr>
            </w:pPr>
            <w:r w:rsidRPr="00777037">
              <w:rPr>
                <w:b/>
                <w:color w:val="000000" w:themeColor="text1"/>
                <w:sz w:val="20"/>
              </w:rPr>
              <w:t>Comments</w:t>
            </w:r>
          </w:p>
        </w:tc>
        <w:tc>
          <w:tcPr>
            <w:tcW w:w="4410" w:type="dxa"/>
            <w:vAlign w:val="center"/>
          </w:tcPr>
          <w:p w14:paraId="00C26C06" w14:textId="4FC9C9A1" w:rsidR="00777037" w:rsidRPr="00777037" w:rsidRDefault="00777037" w:rsidP="00777037">
            <w:pPr>
              <w:spacing w:after="60"/>
              <w:jc w:val="center"/>
              <w:rPr>
                <w:b/>
                <w:color w:val="000000" w:themeColor="text1"/>
                <w:sz w:val="20"/>
              </w:rPr>
            </w:pPr>
            <w:r>
              <w:rPr>
                <w:b/>
                <w:color w:val="000000" w:themeColor="text1"/>
                <w:sz w:val="20"/>
              </w:rPr>
              <w:t>Investigations</w:t>
            </w:r>
          </w:p>
        </w:tc>
      </w:tr>
      <w:tr w:rsidR="00777037" w:rsidRPr="00777037" w14:paraId="104E3E86" w14:textId="3DB6D535" w:rsidTr="00777037">
        <w:tc>
          <w:tcPr>
            <w:tcW w:w="1276" w:type="dxa"/>
            <w:vAlign w:val="center"/>
          </w:tcPr>
          <w:p w14:paraId="4B239563" w14:textId="592C38DF" w:rsidR="00777037" w:rsidRPr="00777037" w:rsidRDefault="00777037" w:rsidP="00E7157A">
            <w:pPr>
              <w:jc w:val="center"/>
              <w:rPr>
                <w:color w:val="000000" w:themeColor="text1"/>
                <w:sz w:val="20"/>
              </w:rPr>
            </w:pPr>
            <w:r w:rsidRPr="00777037">
              <w:rPr>
                <w:color w:val="000000" w:themeColor="text1"/>
                <w:sz w:val="20"/>
              </w:rPr>
              <w:t>Investment Income</w:t>
            </w:r>
          </w:p>
        </w:tc>
        <w:tc>
          <w:tcPr>
            <w:tcW w:w="812" w:type="dxa"/>
            <w:vAlign w:val="center"/>
          </w:tcPr>
          <w:p w14:paraId="2F26CCC2" w14:textId="108EB91A" w:rsidR="00777037" w:rsidRPr="00777037" w:rsidRDefault="00777037" w:rsidP="00E7157A">
            <w:pPr>
              <w:jc w:val="center"/>
              <w:rPr>
                <w:color w:val="000000" w:themeColor="text1"/>
                <w:sz w:val="20"/>
              </w:rPr>
            </w:pPr>
            <w:r w:rsidRPr="00777037">
              <w:rPr>
                <w:color w:val="000000" w:themeColor="text1"/>
                <w:sz w:val="20"/>
              </w:rPr>
              <w:t>0</w:t>
            </w:r>
          </w:p>
        </w:tc>
        <w:tc>
          <w:tcPr>
            <w:tcW w:w="3328" w:type="dxa"/>
          </w:tcPr>
          <w:p w14:paraId="7E8A077D" w14:textId="40FB3CC9" w:rsidR="00777037" w:rsidRPr="00777037" w:rsidRDefault="00777037" w:rsidP="00ED0690">
            <w:pPr>
              <w:pStyle w:val="ListParagraph"/>
              <w:numPr>
                <w:ilvl w:val="0"/>
                <w:numId w:val="4"/>
              </w:numPr>
              <w:rPr>
                <w:color w:val="000000" w:themeColor="text1"/>
                <w:sz w:val="20"/>
              </w:rPr>
            </w:pPr>
            <w:r w:rsidRPr="00777037">
              <w:rPr>
                <w:color w:val="000000" w:themeColor="text1"/>
                <w:sz w:val="20"/>
              </w:rPr>
              <w:t>No issue as actual equals the expected investment earning rate.</w:t>
            </w:r>
          </w:p>
        </w:tc>
        <w:tc>
          <w:tcPr>
            <w:tcW w:w="4410" w:type="dxa"/>
          </w:tcPr>
          <w:p w14:paraId="2A1E207B" w14:textId="77777777" w:rsidR="00777037" w:rsidRPr="00777037" w:rsidRDefault="00777037" w:rsidP="00777037">
            <w:pPr>
              <w:pStyle w:val="ListParagraph"/>
              <w:ind w:left="405"/>
              <w:rPr>
                <w:color w:val="000000" w:themeColor="text1"/>
                <w:sz w:val="20"/>
              </w:rPr>
            </w:pPr>
          </w:p>
        </w:tc>
      </w:tr>
      <w:tr w:rsidR="00777037" w:rsidRPr="00777037" w14:paraId="50754717" w14:textId="60D0E5E6" w:rsidTr="00777037">
        <w:tc>
          <w:tcPr>
            <w:tcW w:w="1276" w:type="dxa"/>
            <w:vAlign w:val="center"/>
          </w:tcPr>
          <w:p w14:paraId="48E13DD3" w14:textId="77777777" w:rsidR="00777037" w:rsidRPr="00777037" w:rsidRDefault="00777037" w:rsidP="00E7157A">
            <w:pPr>
              <w:jc w:val="center"/>
              <w:rPr>
                <w:color w:val="000000" w:themeColor="text1"/>
                <w:sz w:val="20"/>
              </w:rPr>
            </w:pPr>
            <w:r w:rsidRPr="00777037">
              <w:rPr>
                <w:color w:val="000000" w:themeColor="text1"/>
                <w:sz w:val="20"/>
              </w:rPr>
              <w:t>Gross Claims</w:t>
            </w:r>
          </w:p>
        </w:tc>
        <w:tc>
          <w:tcPr>
            <w:tcW w:w="812" w:type="dxa"/>
            <w:vAlign w:val="center"/>
          </w:tcPr>
          <w:p w14:paraId="040DAFCF" w14:textId="77777777" w:rsidR="00777037" w:rsidRPr="00777037" w:rsidRDefault="00777037" w:rsidP="00E7157A">
            <w:pPr>
              <w:jc w:val="center"/>
              <w:rPr>
                <w:color w:val="000000" w:themeColor="text1"/>
                <w:sz w:val="20"/>
              </w:rPr>
            </w:pPr>
            <w:r w:rsidRPr="00777037">
              <w:rPr>
                <w:color w:val="000000" w:themeColor="text1"/>
                <w:sz w:val="20"/>
              </w:rPr>
              <w:t>-4.0</w:t>
            </w:r>
          </w:p>
        </w:tc>
        <w:tc>
          <w:tcPr>
            <w:tcW w:w="3328" w:type="dxa"/>
          </w:tcPr>
          <w:p w14:paraId="651B33D0" w14:textId="77777777" w:rsidR="00777037" w:rsidRDefault="00777037" w:rsidP="00ED0690">
            <w:pPr>
              <w:pStyle w:val="ListParagraph"/>
              <w:numPr>
                <w:ilvl w:val="0"/>
                <w:numId w:val="4"/>
              </w:numPr>
              <w:rPr>
                <w:color w:val="FF0000"/>
                <w:sz w:val="20"/>
              </w:rPr>
            </w:pPr>
            <w:r w:rsidRPr="00777037">
              <w:rPr>
                <w:color w:val="FF0000"/>
                <w:sz w:val="20"/>
              </w:rPr>
              <w:t>An issue that needs to be investigated as there is a significant impact on profit with claim payments contributing -$4.3m.</w:t>
            </w:r>
          </w:p>
          <w:p w14:paraId="401A660D" w14:textId="77777777" w:rsidR="00777037" w:rsidRPr="00777037" w:rsidRDefault="00777037" w:rsidP="00777037">
            <w:pPr>
              <w:pStyle w:val="ListParagraph"/>
              <w:ind w:left="405"/>
              <w:rPr>
                <w:color w:val="FF0000"/>
                <w:sz w:val="20"/>
              </w:rPr>
            </w:pPr>
          </w:p>
          <w:p w14:paraId="1C1E4622" w14:textId="5F9FA74D" w:rsidR="00777037" w:rsidRPr="00777037" w:rsidRDefault="00777037" w:rsidP="00ED0690">
            <w:pPr>
              <w:pStyle w:val="ListParagraph"/>
              <w:numPr>
                <w:ilvl w:val="0"/>
                <w:numId w:val="4"/>
              </w:numPr>
              <w:rPr>
                <w:color w:val="000000" w:themeColor="text1"/>
                <w:sz w:val="20"/>
              </w:rPr>
            </w:pPr>
            <w:r w:rsidRPr="00777037">
              <w:rPr>
                <w:color w:val="000000" w:themeColor="text1"/>
                <w:sz w:val="20"/>
              </w:rPr>
              <w:t>No issue with Change in IBNR as has a small +$0.3m positive impact.</w:t>
            </w:r>
          </w:p>
        </w:tc>
        <w:tc>
          <w:tcPr>
            <w:tcW w:w="4410" w:type="dxa"/>
          </w:tcPr>
          <w:p w14:paraId="062A1EC8" w14:textId="63E9A39F" w:rsidR="00777037" w:rsidRPr="00777037" w:rsidRDefault="00777037" w:rsidP="00ED0690">
            <w:pPr>
              <w:pStyle w:val="ListParagraph"/>
              <w:numPr>
                <w:ilvl w:val="0"/>
                <w:numId w:val="4"/>
              </w:numPr>
              <w:rPr>
                <w:color w:val="FF0000"/>
                <w:sz w:val="20"/>
              </w:rPr>
            </w:pPr>
            <w:r w:rsidRPr="00777037">
              <w:rPr>
                <w:color w:val="FF0000"/>
                <w:sz w:val="20"/>
              </w:rPr>
              <w:t xml:space="preserve">First question is whether the </w:t>
            </w:r>
            <w:r w:rsidRPr="00777037">
              <w:rPr>
                <w:b/>
                <w:color w:val="FF0000"/>
                <w:sz w:val="20"/>
              </w:rPr>
              <w:t>actual claims figure is correct</w:t>
            </w:r>
            <w:r w:rsidRPr="00777037">
              <w:rPr>
                <w:color w:val="FF0000"/>
                <w:sz w:val="20"/>
              </w:rPr>
              <w:t>. One would check the actual claims paid against another source, possibly the experience study, altho</w:t>
            </w:r>
            <w:r>
              <w:rPr>
                <w:color w:val="FF0000"/>
                <w:sz w:val="20"/>
              </w:rPr>
              <w:t>ugh this may not be up to date.</w:t>
            </w:r>
          </w:p>
          <w:p w14:paraId="18EB8147" w14:textId="329D8D2D" w:rsidR="00777037" w:rsidRPr="00777037" w:rsidRDefault="00777037" w:rsidP="00ED0690">
            <w:pPr>
              <w:pStyle w:val="ListParagraph"/>
              <w:numPr>
                <w:ilvl w:val="0"/>
                <w:numId w:val="4"/>
              </w:numPr>
              <w:rPr>
                <w:color w:val="FF0000"/>
                <w:sz w:val="20"/>
              </w:rPr>
            </w:pPr>
            <w:r w:rsidRPr="00777037">
              <w:rPr>
                <w:color w:val="FF0000"/>
                <w:sz w:val="20"/>
              </w:rPr>
              <w:t xml:space="preserve">Investigate the actual claims to see if there are </w:t>
            </w:r>
            <w:r w:rsidRPr="00777037">
              <w:rPr>
                <w:b/>
                <w:color w:val="FF0000"/>
                <w:sz w:val="20"/>
              </w:rPr>
              <w:t>any large claims</w:t>
            </w:r>
            <w:r w:rsidRPr="00777037">
              <w:rPr>
                <w:color w:val="FF0000"/>
                <w:sz w:val="20"/>
              </w:rPr>
              <w:t xml:space="preserve"> which may have caused the claims experience loss. </w:t>
            </w:r>
          </w:p>
          <w:p w14:paraId="1DCB3120" w14:textId="75ECF6BB" w:rsidR="00777037" w:rsidRPr="00777037" w:rsidRDefault="00777037" w:rsidP="00ED0690">
            <w:pPr>
              <w:pStyle w:val="ListParagraph"/>
              <w:numPr>
                <w:ilvl w:val="0"/>
                <w:numId w:val="4"/>
              </w:numPr>
              <w:rPr>
                <w:color w:val="FF0000"/>
                <w:sz w:val="20"/>
              </w:rPr>
            </w:pPr>
            <w:r w:rsidRPr="00777037">
              <w:rPr>
                <w:color w:val="FF0000"/>
                <w:sz w:val="20"/>
              </w:rPr>
              <w:t xml:space="preserve">Further investigation is required to </w:t>
            </w:r>
            <w:r w:rsidRPr="00777037">
              <w:rPr>
                <w:b/>
                <w:color w:val="FF0000"/>
                <w:sz w:val="20"/>
              </w:rPr>
              <w:t>understand the nature of the claims</w:t>
            </w:r>
            <w:r w:rsidRPr="00777037">
              <w:rPr>
                <w:color w:val="FF0000"/>
                <w:sz w:val="20"/>
              </w:rPr>
              <w:t>, whether the experience is a statistical deviation or the result of a rise in claim rates</w:t>
            </w:r>
            <w:r>
              <w:rPr>
                <w:color w:val="FF0000"/>
                <w:sz w:val="20"/>
              </w:rPr>
              <w:t>.</w:t>
            </w:r>
          </w:p>
          <w:p w14:paraId="1728522C" w14:textId="1ACCF0AA" w:rsidR="00777037" w:rsidRPr="00777037" w:rsidRDefault="00777037" w:rsidP="00ED0690">
            <w:pPr>
              <w:pStyle w:val="ListParagraph"/>
              <w:numPr>
                <w:ilvl w:val="0"/>
                <w:numId w:val="4"/>
              </w:numPr>
              <w:rPr>
                <w:color w:val="FF0000"/>
                <w:sz w:val="20"/>
              </w:rPr>
            </w:pPr>
            <w:r w:rsidRPr="00777037">
              <w:rPr>
                <w:color w:val="FF0000"/>
                <w:sz w:val="20"/>
              </w:rPr>
              <w:t xml:space="preserve">Analysis of claims experience </w:t>
            </w:r>
            <w:r w:rsidRPr="00777037">
              <w:rPr>
                <w:b/>
                <w:color w:val="FF0000"/>
                <w:sz w:val="20"/>
              </w:rPr>
              <w:t xml:space="preserve">by number of claims and sum assured </w:t>
            </w:r>
            <w:r w:rsidRPr="00777037">
              <w:rPr>
                <w:color w:val="FF0000"/>
                <w:sz w:val="20"/>
              </w:rPr>
              <w:t>would provide a credible indication of the level of claims incide</w:t>
            </w:r>
            <w:r>
              <w:rPr>
                <w:color w:val="FF0000"/>
                <w:sz w:val="20"/>
              </w:rPr>
              <w:t>nce experience versus expected.</w:t>
            </w:r>
          </w:p>
          <w:p w14:paraId="00E528A5" w14:textId="5CE23566" w:rsidR="00777037" w:rsidRPr="00777037" w:rsidRDefault="00777037" w:rsidP="00ED0690">
            <w:pPr>
              <w:pStyle w:val="ListParagraph"/>
              <w:numPr>
                <w:ilvl w:val="0"/>
                <w:numId w:val="4"/>
              </w:numPr>
              <w:rPr>
                <w:color w:val="FF0000"/>
                <w:sz w:val="20"/>
              </w:rPr>
            </w:pPr>
            <w:r w:rsidRPr="00777037">
              <w:rPr>
                <w:color w:val="FF0000"/>
                <w:sz w:val="20"/>
              </w:rPr>
              <w:t xml:space="preserve">The large loss in YRT could be caused by poor underwriting. In this case, your investigation would show that extra deaths had occurred at the early duration. In this case, this is a risk management issue, so need to </w:t>
            </w:r>
            <w:r w:rsidRPr="00777037">
              <w:rPr>
                <w:b/>
                <w:color w:val="FF0000"/>
                <w:sz w:val="20"/>
              </w:rPr>
              <w:t>review the underwriting process</w:t>
            </w:r>
            <w:r>
              <w:rPr>
                <w:color w:val="FF0000"/>
                <w:sz w:val="20"/>
              </w:rPr>
              <w:t>.</w:t>
            </w:r>
          </w:p>
          <w:p w14:paraId="7255006E" w14:textId="153F06E6" w:rsidR="00777037" w:rsidRPr="00777037" w:rsidRDefault="00777037" w:rsidP="00ED0690">
            <w:pPr>
              <w:pStyle w:val="ListParagraph"/>
              <w:numPr>
                <w:ilvl w:val="0"/>
                <w:numId w:val="4"/>
              </w:numPr>
              <w:rPr>
                <w:color w:val="FF0000"/>
                <w:sz w:val="20"/>
              </w:rPr>
            </w:pPr>
            <w:r w:rsidRPr="00777037">
              <w:rPr>
                <w:b/>
                <w:color w:val="FF0000"/>
                <w:sz w:val="20"/>
              </w:rPr>
              <w:t>Compare against industry experience</w:t>
            </w:r>
            <w:r w:rsidRPr="00777037">
              <w:rPr>
                <w:color w:val="FF0000"/>
                <w:sz w:val="20"/>
              </w:rPr>
              <w:t xml:space="preserve"> such as recent IAA mortality experience. </w:t>
            </w:r>
          </w:p>
          <w:p w14:paraId="491092E1" w14:textId="2BCF915A" w:rsidR="00777037" w:rsidRPr="00777037" w:rsidRDefault="00777037" w:rsidP="00ED0690">
            <w:pPr>
              <w:pStyle w:val="ListParagraph"/>
              <w:numPr>
                <w:ilvl w:val="0"/>
                <w:numId w:val="4"/>
              </w:numPr>
              <w:rPr>
                <w:color w:val="FF0000"/>
                <w:sz w:val="20"/>
              </w:rPr>
            </w:pPr>
            <w:r w:rsidRPr="00777037">
              <w:rPr>
                <w:color w:val="FF0000"/>
                <w:sz w:val="20"/>
              </w:rPr>
              <w:t xml:space="preserve">Compare against </w:t>
            </w:r>
            <w:r w:rsidRPr="00777037">
              <w:rPr>
                <w:b/>
                <w:color w:val="FF0000"/>
                <w:sz w:val="20"/>
              </w:rPr>
              <w:t>experience studies that the reinsurer has conducted</w:t>
            </w:r>
            <w:r w:rsidRPr="00777037">
              <w:rPr>
                <w:color w:val="FF0000"/>
                <w:sz w:val="20"/>
              </w:rPr>
              <w:t>.</w:t>
            </w:r>
          </w:p>
        </w:tc>
      </w:tr>
      <w:tr w:rsidR="00777037" w:rsidRPr="00777037" w14:paraId="0F7DE4F9" w14:textId="1BDF91EA" w:rsidTr="00777037">
        <w:tc>
          <w:tcPr>
            <w:tcW w:w="1276" w:type="dxa"/>
            <w:vAlign w:val="center"/>
          </w:tcPr>
          <w:p w14:paraId="212670B6" w14:textId="14841C24" w:rsidR="00777037" w:rsidRPr="00777037" w:rsidRDefault="00777037" w:rsidP="00E7157A">
            <w:pPr>
              <w:jc w:val="center"/>
              <w:rPr>
                <w:color w:val="000000" w:themeColor="text1"/>
                <w:sz w:val="20"/>
              </w:rPr>
            </w:pPr>
            <w:r w:rsidRPr="00777037">
              <w:rPr>
                <w:color w:val="000000" w:themeColor="text1"/>
                <w:sz w:val="20"/>
              </w:rPr>
              <w:t>Cost of Reinsurance</w:t>
            </w:r>
          </w:p>
        </w:tc>
        <w:tc>
          <w:tcPr>
            <w:tcW w:w="812" w:type="dxa"/>
            <w:vAlign w:val="center"/>
          </w:tcPr>
          <w:p w14:paraId="5ABEC949" w14:textId="5A10C32F" w:rsidR="00777037" w:rsidRPr="00777037" w:rsidRDefault="00777037" w:rsidP="00E7157A">
            <w:pPr>
              <w:jc w:val="center"/>
              <w:rPr>
                <w:color w:val="000000" w:themeColor="text1"/>
                <w:sz w:val="20"/>
              </w:rPr>
            </w:pPr>
            <w:r w:rsidRPr="00777037">
              <w:rPr>
                <w:color w:val="000000" w:themeColor="text1"/>
                <w:sz w:val="20"/>
              </w:rPr>
              <w:t>-3.4</w:t>
            </w:r>
          </w:p>
        </w:tc>
        <w:tc>
          <w:tcPr>
            <w:tcW w:w="3328" w:type="dxa"/>
          </w:tcPr>
          <w:p w14:paraId="05021607" w14:textId="77777777" w:rsidR="00777037" w:rsidRPr="00777037" w:rsidRDefault="00777037" w:rsidP="00ED0690">
            <w:pPr>
              <w:pStyle w:val="ListParagraph"/>
              <w:numPr>
                <w:ilvl w:val="0"/>
                <w:numId w:val="4"/>
              </w:numPr>
              <w:rPr>
                <w:color w:val="000000" w:themeColor="text1"/>
                <w:sz w:val="20"/>
              </w:rPr>
            </w:pPr>
            <w:r w:rsidRPr="00777037">
              <w:rPr>
                <w:color w:val="000000" w:themeColor="text1"/>
                <w:sz w:val="20"/>
              </w:rPr>
              <w:t>An issue that needs to be investigated as there is a significant impact on profit. Normally there is a small loss on reinsurance, reflecting the reinsurer’s profit margins.</w:t>
            </w:r>
          </w:p>
          <w:p w14:paraId="7EFF1146" w14:textId="77777777" w:rsidR="00777037" w:rsidRPr="00777037" w:rsidRDefault="00777037" w:rsidP="00ED0690">
            <w:pPr>
              <w:pStyle w:val="ListParagraph"/>
              <w:numPr>
                <w:ilvl w:val="0"/>
                <w:numId w:val="4"/>
              </w:numPr>
              <w:rPr>
                <w:color w:val="000000" w:themeColor="text1"/>
                <w:sz w:val="20"/>
              </w:rPr>
            </w:pPr>
            <w:r w:rsidRPr="00777037">
              <w:rPr>
                <w:color w:val="000000" w:themeColor="text1"/>
                <w:sz w:val="20"/>
              </w:rPr>
              <w:t>No issue with reinsurance premium as experience profit is a small -$0.1m.</w:t>
            </w:r>
          </w:p>
          <w:p w14:paraId="5A3A9C15" w14:textId="77777777" w:rsidR="00777037" w:rsidRPr="00777037" w:rsidRDefault="00777037" w:rsidP="00ED0690">
            <w:pPr>
              <w:pStyle w:val="ListParagraph"/>
              <w:numPr>
                <w:ilvl w:val="0"/>
                <w:numId w:val="4"/>
              </w:numPr>
              <w:rPr>
                <w:color w:val="000000" w:themeColor="text1"/>
                <w:sz w:val="20"/>
              </w:rPr>
            </w:pPr>
            <w:r w:rsidRPr="00777037">
              <w:rPr>
                <w:color w:val="000000" w:themeColor="text1"/>
                <w:sz w:val="20"/>
              </w:rPr>
              <w:t>The issue is with the reinsurance claims where there is a $3.3m loss, with actual reinsurance recoveries 57% of expected reinsurance recoveries.</w:t>
            </w:r>
          </w:p>
          <w:p w14:paraId="643CE72F" w14:textId="559EF6B9" w:rsidR="00777037" w:rsidRPr="00777037" w:rsidRDefault="00777037" w:rsidP="00ED0690">
            <w:pPr>
              <w:pStyle w:val="ListParagraph"/>
              <w:numPr>
                <w:ilvl w:val="0"/>
                <w:numId w:val="4"/>
              </w:numPr>
              <w:rPr>
                <w:color w:val="000000" w:themeColor="text1"/>
                <w:sz w:val="20"/>
              </w:rPr>
            </w:pPr>
            <w:r w:rsidRPr="00777037">
              <w:rPr>
                <w:color w:val="FF0000"/>
                <w:sz w:val="20"/>
              </w:rPr>
              <w:t>You might expect that there would be an increase in reinsurance claims to offset the adverse gross claims experience</w:t>
            </w:r>
            <w:r w:rsidRPr="00777037">
              <w:rPr>
                <w:color w:val="000000" w:themeColor="text1"/>
                <w:sz w:val="20"/>
              </w:rPr>
              <w:t>.</w:t>
            </w:r>
          </w:p>
        </w:tc>
        <w:tc>
          <w:tcPr>
            <w:tcW w:w="4410" w:type="dxa"/>
          </w:tcPr>
          <w:p w14:paraId="291E7058" w14:textId="02233DA0" w:rsidR="00777037" w:rsidRDefault="00777037" w:rsidP="00ED0690">
            <w:pPr>
              <w:pStyle w:val="ListParagraph"/>
              <w:numPr>
                <w:ilvl w:val="0"/>
                <w:numId w:val="4"/>
              </w:numPr>
              <w:rPr>
                <w:color w:val="000000" w:themeColor="text1"/>
                <w:sz w:val="20"/>
              </w:rPr>
            </w:pPr>
            <w:r w:rsidRPr="00777037">
              <w:rPr>
                <w:color w:val="000000" w:themeColor="text1"/>
                <w:sz w:val="20"/>
              </w:rPr>
              <w:t xml:space="preserve">If there are a few large claims causing the adverse gross claims experience, investigate whether the low reinsurance recoveries are </w:t>
            </w:r>
            <w:r w:rsidRPr="00777037">
              <w:rPr>
                <w:b/>
                <w:color w:val="FF0000"/>
                <w:sz w:val="20"/>
              </w:rPr>
              <w:t>a timing issue</w:t>
            </w:r>
            <w:r w:rsidRPr="00777037">
              <w:rPr>
                <w:color w:val="000000" w:themeColor="text1"/>
                <w:sz w:val="20"/>
              </w:rPr>
              <w:t xml:space="preserve">. The reinsurer may have yet to pay the reinsurance claim because there is usually </w:t>
            </w:r>
            <w:r w:rsidRPr="00777037">
              <w:rPr>
                <w:color w:val="FF0000"/>
                <w:sz w:val="20"/>
              </w:rPr>
              <w:t>a delay between the company paying the gross claim and the reinsurer paying the company in respect of this claim</w:t>
            </w:r>
            <w:r>
              <w:rPr>
                <w:color w:val="000000" w:themeColor="text1"/>
                <w:sz w:val="20"/>
              </w:rPr>
              <w:t>.</w:t>
            </w:r>
          </w:p>
          <w:p w14:paraId="0242A5B0" w14:textId="77777777" w:rsidR="00777037" w:rsidRPr="00777037" w:rsidRDefault="00777037" w:rsidP="00777037">
            <w:pPr>
              <w:pStyle w:val="ListParagraph"/>
              <w:ind w:left="405"/>
              <w:rPr>
                <w:color w:val="000000" w:themeColor="text1"/>
                <w:sz w:val="20"/>
              </w:rPr>
            </w:pPr>
          </w:p>
          <w:p w14:paraId="6AED7F1E" w14:textId="4AE2F771" w:rsidR="00777037" w:rsidRPr="00F86A5F" w:rsidRDefault="00777037" w:rsidP="00ED0690">
            <w:pPr>
              <w:pStyle w:val="ListParagraph"/>
              <w:numPr>
                <w:ilvl w:val="0"/>
                <w:numId w:val="4"/>
              </w:numPr>
              <w:rPr>
                <w:color w:val="000000" w:themeColor="text1"/>
                <w:sz w:val="20"/>
              </w:rPr>
            </w:pPr>
            <w:r w:rsidRPr="00777037">
              <w:rPr>
                <w:color w:val="000000" w:themeColor="text1"/>
                <w:sz w:val="20"/>
              </w:rPr>
              <w:t>Review the accounts to check if the provision for accrual of reinsurance recoveries is working correctly. A provision for a reinsurance recovery should be raised in the accounts whenever a large claim (which is covered by reinsurance) has already been pai</w:t>
            </w:r>
            <w:r>
              <w:rPr>
                <w:color w:val="000000" w:themeColor="text1"/>
                <w:sz w:val="20"/>
              </w:rPr>
              <w:t>d out.</w:t>
            </w:r>
          </w:p>
        </w:tc>
      </w:tr>
      <w:tr w:rsidR="00777037" w:rsidRPr="00777037" w14:paraId="2D65BA96" w14:textId="34329C2F" w:rsidTr="00777037">
        <w:tc>
          <w:tcPr>
            <w:tcW w:w="1276" w:type="dxa"/>
            <w:vAlign w:val="center"/>
          </w:tcPr>
          <w:p w14:paraId="70B637C3" w14:textId="77777777" w:rsidR="00777037" w:rsidRPr="00777037" w:rsidRDefault="00777037" w:rsidP="00E7157A">
            <w:pPr>
              <w:jc w:val="center"/>
              <w:rPr>
                <w:color w:val="000000" w:themeColor="text1"/>
                <w:sz w:val="20"/>
              </w:rPr>
            </w:pPr>
            <w:r w:rsidRPr="00777037">
              <w:rPr>
                <w:color w:val="000000" w:themeColor="text1"/>
                <w:sz w:val="20"/>
              </w:rPr>
              <w:lastRenderedPageBreak/>
              <w:t>Renewal Expenses</w:t>
            </w:r>
          </w:p>
        </w:tc>
        <w:tc>
          <w:tcPr>
            <w:tcW w:w="812" w:type="dxa"/>
            <w:vAlign w:val="center"/>
          </w:tcPr>
          <w:p w14:paraId="19862908" w14:textId="77777777" w:rsidR="00777037" w:rsidRPr="00777037" w:rsidRDefault="00777037" w:rsidP="00E7157A">
            <w:pPr>
              <w:jc w:val="center"/>
              <w:rPr>
                <w:color w:val="000000" w:themeColor="text1"/>
                <w:sz w:val="20"/>
              </w:rPr>
            </w:pPr>
            <w:r w:rsidRPr="00777037">
              <w:rPr>
                <w:color w:val="000000" w:themeColor="text1"/>
                <w:sz w:val="20"/>
              </w:rPr>
              <w:t>-4.2</w:t>
            </w:r>
          </w:p>
        </w:tc>
        <w:tc>
          <w:tcPr>
            <w:tcW w:w="3328" w:type="dxa"/>
          </w:tcPr>
          <w:p w14:paraId="4AE0CEAE" w14:textId="77777777" w:rsidR="00777037" w:rsidRPr="00777037" w:rsidRDefault="00777037" w:rsidP="00ED0690">
            <w:pPr>
              <w:pStyle w:val="ListParagraph"/>
              <w:numPr>
                <w:ilvl w:val="0"/>
                <w:numId w:val="4"/>
              </w:numPr>
              <w:rPr>
                <w:color w:val="000000" w:themeColor="text1"/>
                <w:sz w:val="20"/>
              </w:rPr>
            </w:pPr>
            <w:r w:rsidRPr="00777037">
              <w:rPr>
                <w:color w:val="000000" w:themeColor="text1"/>
                <w:sz w:val="20"/>
              </w:rPr>
              <w:t>An issue that needs to be investigated as it is a very large item in terms of impact on profit.</w:t>
            </w:r>
          </w:p>
        </w:tc>
        <w:tc>
          <w:tcPr>
            <w:tcW w:w="4410" w:type="dxa"/>
          </w:tcPr>
          <w:p w14:paraId="002179CF" w14:textId="633649A6" w:rsidR="00F86A5F" w:rsidRPr="00F86A5F" w:rsidRDefault="00F86A5F" w:rsidP="00ED0690">
            <w:pPr>
              <w:pStyle w:val="ListParagraph"/>
              <w:numPr>
                <w:ilvl w:val="0"/>
                <w:numId w:val="4"/>
              </w:numPr>
              <w:rPr>
                <w:color w:val="000000" w:themeColor="text1"/>
                <w:sz w:val="20"/>
              </w:rPr>
            </w:pPr>
            <w:r w:rsidRPr="00F86A5F">
              <w:rPr>
                <w:color w:val="000000" w:themeColor="text1"/>
                <w:sz w:val="20"/>
              </w:rPr>
              <w:t>Check whether this relates to a direct expense (such as renewal commission) or to indirect expenses, where e</w:t>
            </w:r>
            <w:r>
              <w:rPr>
                <w:color w:val="000000" w:themeColor="text1"/>
                <w:sz w:val="20"/>
              </w:rPr>
              <w:t>xpenses need to be apportioned.</w:t>
            </w:r>
          </w:p>
          <w:p w14:paraId="1F4AA00A" w14:textId="500001B1" w:rsidR="00F86A5F" w:rsidRPr="00F86A5F" w:rsidRDefault="00F86A5F" w:rsidP="00ED0690">
            <w:pPr>
              <w:pStyle w:val="ListParagraph"/>
              <w:numPr>
                <w:ilvl w:val="0"/>
                <w:numId w:val="4"/>
              </w:numPr>
              <w:rPr>
                <w:color w:val="000000" w:themeColor="text1"/>
                <w:sz w:val="20"/>
              </w:rPr>
            </w:pPr>
            <w:r w:rsidRPr="00F86A5F">
              <w:rPr>
                <w:b/>
                <w:color w:val="FF0000"/>
                <w:sz w:val="20"/>
              </w:rPr>
              <w:t>Review expense allocation by product</w:t>
            </w:r>
            <w:r w:rsidRPr="00F86A5F">
              <w:rPr>
                <w:color w:val="000000" w:themeColor="text1"/>
                <w:sz w:val="20"/>
              </w:rPr>
              <w:t xml:space="preserve">. Check to see if there is an offsetting expense experience profit on other products, which might indicate an </w:t>
            </w:r>
            <w:r w:rsidRPr="00F86A5F">
              <w:rPr>
                <w:color w:val="FF0000"/>
                <w:sz w:val="20"/>
              </w:rPr>
              <w:t>error in the expense allocation process</w:t>
            </w:r>
            <w:r>
              <w:rPr>
                <w:color w:val="000000" w:themeColor="text1"/>
                <w:sz w:val="20"/>
              </w:rPr>
              <w:t>.</w:t>
            </w:r>
          </w:p>
          <w:p w14:paraId="0CEA6F10" w14:textId="7E3E6AA9" w:rsidR="00F86A5F" w:rsidRPr="00F86A5F" w:rsidRDefault="00F86A5F" w:rsidP="00ED0690">
            <w:pPr>
              <w:pStyle w:val="ListParagraph"/>
              <w:numPr>
                <w:ilvl w:val="0"/>
                <w:numId w:val="4"/>
              </w:numPr>
              <w:rPr>
                <w:color w:val="000000" w:themeColor="text1"/>
                <w:sz w:val="20"/>
              </w:rPr>
            </w:pPr>
            <w:r w:rsidRPr="00F86A5F">
              <w:rPr>
                <w:color w:val="000000" w:themeColor="text1"/>
                <w:sz w:val="20"/>
              </w:rPr>
              <w:t xml:space="preserve">Check expense </w:t>
            </w:r>
            <w:r w:rsidRPr="00F86A5F">
              <w:rPr>
                <w:color w:val="FF0000"/>
                <w:sz w:val="20"/>
              </w:rPr>
              <w:t>allocation between acquisition and maintenance expenses</w:t>
            </w:r>
            <w:r w:rsidRPr="00F86A5F">
              <w:rPr>
                <w:color w:val="000000" w:themeColor="text1"/>
                <w:sz w:val="20"/>
              </w:rPr>
              <w:t>. Perhaps there is an error (or change of allocation methodology) with too many expenses allocated to maintenance ra</w:t>
            </w:r>
            <w:r>
              <w:rPr>
                <w:color w:val="000000" w:themeColor="text1"/>
                <w:sz w:val="20"/>
              </w:rPr>
              <w:t>ther than acquisition expenses.</w:t>
            </w:r>
          </w:p>
          <w:p w14:paraId="18B368FE" w14:textId="6F075E62" w:rsidR="00F86A5F" w:rsidRPr="00F86A5F" w:rsidRDefault="00F86A5F" w:rsidP="00ED0690">
            <w:pPr>
              <w:pStyle w:val="ListParagraph"/>
              <w:numPr>
                <w:ilvl w:val="0"/>
                <w:numId w:val="4"/>
              </w:numPr>
              <w:rPr>
                <w:color w:val="000000" w:themeColor="text1"/>
                <w:sz w:val="20"/>
              </w:rPr>
            </w:pPr>
            <w:r w:rsidRPr="00F86A5F">
              <w:rPr>
                <w:color w:val="FF0000"/>
                <w:sz w:val="20"/>
              </w:rPr>
              <w:t>Check actual expenses against budgeted expenses, by product and type of expense</w:t>
            </w:r>
            <w:r w:rsidRPr="00F86A5F">
              <w:rPr>
                <w:color w:val="000000" w:themeColor="text1"/>
                <w:sz w:val="20"/>
              </w:rPr>
              <w:t>.</w:t>
            </w:r>
          </w:p>
          <w:p w14:paraId="7AC301C8" w14:textId="7A4D3FFA" w:rsidR="00F86A5F" w:rsidRPr="00F86A5F" w:rsidRDefault="00F86A5F" w:rsidP="00ED0690">
            <w:pPr>
              <w:pStyle w:val="ListParagraph"/>
              <w:numPr>
                <w:ilvl w:val="0"/>
                <w:numId w:val="4"/>
              </w:numPr>
              <w:rPr>
                <w:color w:val="000000" w:themeColor="text1"/>
                <w:sz w:val="20"/>
              </w:rPr>
            </w:pPr>
            <w:r w:rsidRPr="00F86A5F">
              <w:rPr>
                <w:color w:val="000000" w:themeColor="text1"/>
                <w:sz w:val="20"/>
              </w:rPr>
              <w:t xml:space="preserve">Gain information on </w:t>
            </w:r>
            <w:r w:rsidRPr="00F86A5F">
              <w:rPr>
                <w:b/>
                <w:color w:val="FF0000"/>
                <w:sz w:val="20"/>
              </w:rPr>
              <w:t>any special one off costs</w:t>
            </w:r>
            <w:r w:rsidRPr="00F86A5F">
              <w:rPr>
                <w:color w:val="FF0000"/>
                <w:sz w:val="20"/>
              </w:rPr>
              <w:t xml:space="preserve"> </w:t>
            </w:r>
            <w:r>
              <w:rPr>
                <w:color w:val="000000" w:themeColor="text1"/>
                <w:sz w:val="20"/>
              </w:rPr>
              <w:t>that may have occurred.</w:t>
            </w:r>
          </w:p>
          <w:p w14:paraId="26286020" w14:textId="07D4D9C3" w:rsidR="00F86A5F" w:rsidRPr="00F86A5F" w:rsidRDefault="00F86A5F" w:rsidP="00ED0690">
            <w:pPr>
              <w:pStyle w:val="ListParagraph"/>
              <w:numPr>
                <w:ilvl w:val="0"/>
                <w:numId w:val="4"/>
              </w:numPr>
              <w:rPr>
                <w:color w:val="000000" w:themeColor="text1"/>
                <w:sz w:val="20"/>
              </w:rPr>
            </w:pPr>
            <w:r w:rsidRPr="00F86A5F">
              <w:rPr>
                <w:color w:val="000000" w:themeColor="text1"/>
                <w:sz w:val="20"/>
              </w:rPr>
              <w:t>Check the expense apportionment from the current year and compare to previous years. This will identify if any business areas have changed their split up of expenses and this has resulted in more being attributed to this product than there should be.</w:t>
            </w:r>
          </w:p>
          <w:p w14:paraId="149E7B56" w14:textId="75FC78E0" w:rsidR="00777037" w:rsidRPr="00777037" w:rsidRDefault="00F86A5F" w:rsidP="00ED0690">
            <w:pPr>
              <w:pStyle w:val="ListParagraph"/>
              <w:numPr>
                <w:ilvl w:val="0"/>
                <w:numId w:val="4"/>
              </w:numPr>
              <w:rPr>
                <w:color w:val="000000" w:themeColor="text1"/>
                <w:sz w:val="20"/>
              </w:rPr>
            </w:pPr>
            <w:r w:rsidRPr="00F86A5F">
              <w:rPr>
                <w:color w:val="000000" w:themeColor="text1"/>
                <w:sz w:val="20"/>
              </w:rPr>
              <w:t>Check modelled expenses in the valuation system, used to derive projected expected expenses for the year ending 30/6/2012. It is a requirement under LPS1.04 that the best estimate expense assumption set at 30/6/2011 must reflect the expected level in the year following the valuation date.</w:t>
            </w:r>
          </w:p>
        </w:tc>
      </w:tr>
      <w:tr w:rsidR="00777037" w:rsidRPr="00777037" w14:paraId="5503B69D" w14:textId="1EEE57EE" w:rsidTr="00777037">
        <w:tc>
          <w:tcPr>
            <w:tcW w:w="1276" w:type="dxa"/>
            <w:vAlign w:val="center"/>
          </w:tcPr>
          <w:p w14:paraId="32B3CA02" w14:textId="1CCE3641" w:rsidR="00777037" w:rsidRPr="00777037" w:rsidRDefault="00777037" w:rsidP="00E7157A">
            <w:pPr>
              <w:jc w:val="center"/>
              <w:rPr>
                <w:color w:val="000000" w:themeColor="text1"/>
                <w:sz w:val="20"/>
              </w:rPr>
            </w:pPr>
            <w:r w:rsidRPr="00777037">
              <w:rPr>
                <w:color w:val="000000" w:themeColor="text1"/>
                <w:sz w:val="20"/>
              </w:rPr>
              <w:t>Lapses</w:t>
            </w:r>
          </w:p>
        </w:tc>
        <w:tc>
          <w:tcPr>
            <w:tcW w:w="812" w:type="dxa"/>
            <w:vAlign w:val="center"/>
          </w:tcPr>
          <w:p w14:paraId="36598D70" w14:textId="6D75EF02" w:rsidR="00777037" w:rsidRPr="00777037" w:rsidRDefault="00777037" w:rsidP="00E7157A">
            <w:pPr>
              <w:jc w:val="center"/>
              <w:rPr>
                <w:color w:val="000000" w:themeColor="text1"/>
                <w:sz w:val="20"/>
              </w:rPr>
            </w:pPr>
            <w:r w:rsidRPr="00777037">
              <w:rPr>
                <w:color w:val="000000" w:themeColor="text1"/>
                <w:sz w:val="20"/>
              </w:rPr>
              <w:t>-2.6</w:t>
            </w:r>
          </w:p>
        </w:tc>
        <w:tc>
          <w:tcPr>
            <w:tcW w:w="3328" w:type="dxa"/>
          </w:tcPr>
          <w:p w14:paraId="2493CBF2" w14:textId="64C6A365" w:rsidR="00777037" w:rsidRPr="00777037" w:rsidRDefault="00777037" w:rsidP="00ED0690">
            <w:pPr>
              <w:pStyle w:val="ListParagraph"/>
              <w:numPr>
                <w:ilvl w:val="0"/>
                <w:numId w:val="4"/>
              </w:numPr>
              <w:rPr>
                <w:color w:val="000000" w:themeColor="text1"/>
                <w:sz w:val="20"/>
              </w:rPr>
            </w:pPr>
            <w:r w:rsidRPr="00777037">
              <w:rPr>
                <w:color w:val="FF0000"/>
                <w:sz w:val="20"/>
              </w:rPr>
              <w:t>Not an issue as an 11% actual lapse rate is within 2 standard deviations (2 x 1%) of a 10% expected lapse rate. This is within the range for statistical fluctuations.</w:t>
            </w:r>
          </w:p>
        </w:tc>
        <w:tc>
          <w:tcPr>
            <w:tcW w:w="4410" w:type="dxa"/>
          </w:tcPr>
          <w:p w14:paraId="38AFF617" w14:textId="77777777" w:rsidR="00777037" w:rsidRPr="00777037" w:rsidRDefault="00777037" w:rsidP="00EE4AAD">
            <w:pPr>
              <w:pStyle w:val="ListParagraph"/>
              <w:ind w:left="405"/>
              <w:rPr>
                <w:color w:val="FF0000"/>
                <w:sz w:val="20"/>
              </w:rPr>
            </w:pPr>
          </w:p>
        </w:tc>
      </w:tr>
      <w:tr w:rsidR="00777037" w:rsidRPr="00777037" w14:paraId="7920F871" w14:textId="5180A5C6" w:rsidTr="00777037">
        <w:tc>
          <w:tcPr>
            <w:tcW w:w="1276" w:type="dxa"/>
            <w:vAlign w:val="center"/>
          </w:tcPr>
          <w:p w14:paraId="0A818B9E" w14:textId="2F14EAA9" w:rsidR="00777037" w:rsidRPr="00777037" w:rsidRDefault="00777037" w:rsidP="00E7157A">
            <w:pPr>
              <w:jc w:val="center"/>
              <w:rPr>
                <w:color w:val="000000" w:themeColor="text1"/>
                <w:sz w:val="20"/>
              </w:rPr>
            </w:pPr>
            <w:r w:rsidRPr="00777037">
              <w:rPr>
                <w:color w:val="000000" w:themeColor="text1"/>
                <w:sz w:val="20"/>
              </w:rPr>
              <w:t>New Business</w:t>
            </w:r>
          </w:p>
        </w:tc>
        <w:tc>
          <w:tcPr>
            <w:tcW w:w="812" w:type="dxa"/>
            <w:vAlign w:val="center"/>
          </w:tcPr>
          <w:p w14:paraId="26D5D310" w14:textId="0483CD1A" w:rsidR="00777037" w:rsidRPr="00777037" w:rsidRDefault="00777037" w:rsidP="00E7157A">
            <w:pPr>
              <w:jc w:val="center"/>
              <w:rPr>
                <w:color w:val="000000" w:themeColor="text1"/>
                <w:sz w:val="20"/>
              </w:rPr>
            </w:pPr>
            <w:r w:rsidRPr="00777037">
              <w:rPr>
                <w:color w:val="000000" w:themeColor="text1"/>
                <w:sz w:val="20"/>
              </w:rPr>
              <w:t>-0.1</w:t>
            </w:r>
          </w:p>
        </w:tc>
        <w:tc>
          <w:tcPr>
            <w:tcW w:w="3328" w:type="dxa"/>
          </w:tcPr>
          <w:p w14:paraId="740EDC29" w14:textId="5182A8B3" w:rsidR="00777037" w:rsidRPr="00777037" w:rsidRDefault="00777037" w:rsidP="00ED0690">
            <w:pPr>
              <w:pStyle w:val="ListParagraph"/>
              <w:numPr>
                <w:ilvl w:val="0"/>
                <w:numId w:val="4"/>
              </w:numPr>
              <w:rPr>
                <w:color w:val="000000" w:themeColor="text1"/>
                <w:sz w:val="20"/>
              </w:rPr>
            </w:pPr>
            <w:r w:rsidRPr="00777037">
              <w:rPr>
                <w:color w:val="000000" w:themeColor="text1"/>
                <w:sz w:val="20"/>
              </w:rPr>
              <w:t>No issue as a small negative impact. Higher sales have meant acquisition expenses have increased, but this has been offset by the increase in new business policy liability.</w:t>
            </w:r>
          </w:p>
        </w:tc>
        <w:tc>
          <w:tcPr>
            <w:tcW w:w="4410" w:type="dxa"/>
          </w:tcPr>
          <w:p w14:paraId="4F647977" w14:textId="77777777" w:rsidR="00777037" w:rsidRPr="00777037" w:rsidRDefault="00777037" w:rsidP="00EE4AAD">
            <w:pPr>
              <w:pStyle w:val="ListParagraph"/>
              <w:ind w:left="405"/>
              <w:rPr>
                <w:color w:val="000000" w:themeColor="text1"/>
                <w:sz w:val="20"/>
              </w:rPr>
            </w:pPr>
          </w:p>
        </w:tc>
      </w:tr>
      <w:tr w:rsidR="00777037" w:rsidRPr="00777037" w14:paraId="1CC6C159" w14:textId="5C94B095" w:rsidTr="00777037">
        <w:tc>
          <w:tcPr>
            <w:tcW w:w="1276" w:type="dxa"/>
            <w:vAlign w:val="center"/>
          </w:tcPr>
          <w:p w14:paraId="3B1D4559" w14:textId="6C67CB38" w:rsidR="00777037" w:rsidRPr="00777037" w:rsidRDefault="00777037" w:rsidP="00E7157A">
            <w:pPr>
              <w:jc w:val="center"/>
              <w:rPr>
                <w:color w:val="000000" w:themeColor="text1"/>
                <w:sz w:val="20"/>
              </w:rPr>
            </w:pPr>
            <w:r w:rsidRPr="00777037">
              <w:rPr>
                <w:color w:val="000000" w:themeColor="text1"/>
                <w:sz w:val="20"/>
              </w:rPr>
              <w:t>Change in RDR assumption</w:t>
            </w:r>
          </w:p>
        </w:tc>
        <w:tc>
          <w:tcPr>
            <w:tcW w:w="812" w:type="dxa"/>
            <w:vAlign w:val="center"/>
          </w:tcPr>
          <w:p w14:paraId="6CFA3182" w14:textId="77777777" w:rsidR="00777037" w:rsidRPr="00777037" w:rsidRDefault="00777037" w:rsidP="00E7157A">
            <w:pPr>
              <w:jc w:val="center"/>
              <w:rPr>
                <w:color w:val="000000" w:themeColor="text1"/>
                <w:sz w:val="20"/>
              </w:rPr>
            </w:pPr>
            <w:r w:rsidRPr="00777037">
              <w:rPr>
                <w:color w:val="000000" w:themeColor="text1"/>
                <w:sz w:val="20"/>
              </w:rPr>
              <w:t>+7.4</w:t>
            </w:r>
          </w:p>
        </w:tc>
        <w:tc>
          <w:tcPr>
            <w:tcW w:w="3328" w:type="dxa"/>
          </w:tcPr>
          <w:p w14:paraId="554A41AF" w14:textId="4C5D4A0A" w:rsidR="00777037" w:rsidRPr="00777037" w:rsidRDefault="00777037" w:rsidP="00ED0690">
            <w:pPr>
              <w:pStyle w:val="ListParagraph"/>
              <w:numPr>
                <w:ilvl w:val="0"/>
                <w:numId w:val="4"/>
              </w:numPr>
              <w:rPr>
                <w:color w:val="000000" w:themeColor="text1"/>
                <w:sz w:val="20"/>
              </w:rPr>
            </w:pPr>
            <w:r w:rsidRPr="00777037">
              <w:rPr>
                <w:color w:val="FF0000"/>
                <w:sz w:val="20"/>
              </w:rPr>
              <w:t>An issue that needs to be investigated as this is the most significant item in absolute terms. Although a positive impact, it needs to be confirmed.</w:t>
            </w:r>
          </w:p>
        </w:tc>
        <w:tc>
          <w:tcPr>
            <w:tcW w:w="4410" w:type="dxa"/>
          </w:tcPr>
          <w:p w14:paraId="2111ABC4" w14:textId="5E31FD24" w:rsidR="00F86A5F" w:rsidRPr="00F86A5F" w:rsidRDefault="00F86A5F" w:rsidP="00F86A5F">
            <w:pPr>
              <w:pStyle w:val="ListParagraph"/>
              <w:ind w:left="72"/>
              <w:rPr>
                <w:color w:val="FF0000"/>
                <w:sz w:val="20"/>
              </w:rPr>
            </w:pPr>
            <w:r w:rsidRPr="00F86A5F">
              <w:rPr>
                <w:color w:val="FF0000"/>
                <w:sz w:val="20"/>
              </w:rPr>
              <w:t>Confirm this by:</w:t>
            </w:r>
          </w:p>
          <w:p w14:paraId="3DF73AF8" w14:textId="72C224B8" w:rsidR="00F86A5F" w:rsidRPr="00F86A5F" w:rsidRDefault="00F86A5F" w:rsidP="00ED0690">
            <w:pPr>
              <w:pStyle w:val="ListParagraph"/>
              <w:numPr>
                <w:ilvl w:val="0"/>
                <w:numId w:val="4"/>
              </w:numPr>
              <w:rPr>
                <w:color w:val="FF0000"/>
                <w:sz w:val="20"/>
              </w:rPr>
            </w:pPr>
            <w:r w:rsidRPr="00F86A5F">
              <w:rPr>
                <w:b/>
                <w:color w:val="FF0000"/>
                <w:sz w:val="20"/>
              </w:rPr>
              <w:t>Checking the change in RDR assumption is consistent with the change in a benchmark yield over the year</w:t>
            </w:r>
            <w:r w:rsidRPr="00F86A5F">
              <w:rPr>
                <w:color w:val="FF0000"/>
                <w:sz w:val="20"/>
              </w:rPr>
              <w:t xml:space="preserve">, </w:t>
            </w:r>
            <w:r>
              <w:rPr>
                <w:color w:val="FF0000"/>
                <w:sz w:val="20"/>
              </w:rPr>
              <w:t>such as the 10 year.</w:t>
            </w:r>
          </w:p>
          <w:p w14:paraId="4F47229D" w14:textId="02DE191C" w:rsidR="00777037" w:rsidRPr="00777037" w:rsidRDefault="00F86A5F" w:rsidP="00ED0690">
            <w:pPr>
              <w:pStyle w:val="ListParagraph"/>
              <w:numPr>
                <w:ilvl w:val="0"/>
                <w:numId w:val="4"/>
              </w:numPr>
              <w:rPr>
                <w:color w:val="FF0000"/>
                <w:sz w:val="20"/>
              </w:rPr>
            </w:pPr>
            <w:r w:rsidRPr="00F86A5F">
              <w:rPr>
                <w:color w:val="FF0000"/>
                <w:sz w:val="20"/>
              </w:rPr>
              <w:t xml:space="preserve">Check size of impact by looking at the amount policy liabilities change by for a 1% change in </w:t>
            </w:r>
            <w:r>
              <w:rPr>
                <w:color w:val="FF0000"/>
                <w:sz w:val="20"/>
              </w:rPr>
              <w:t>RDR</w:t>
            </w:r>
            <w:r w:rsidRPr="00F86A5F">
              <w:rPr>
                <w:color w:val="FF0000"/>
                <w:sz w:val="20"/>
              </w:rPr>
              <w:t xml:space="preserve"> assumption (Source: 3</w:t>
            </w:r>
            <w:r>
              <w:rPr>
                <w:color w:val="FF0000"/>
                <w:sz w:val="20"/>
              </w:rPr>
              <w:t>0/6/2011 financial statements).</w:t>
            </w:r>
          </w:p>
        </w:tc>
      </w:tr>
    </w:tbl>
    <w:p w14:paraId="7F941881" w14:textId="3AB65A24" w:rsidR="009E1273" w:rsidRDefault="007036BD" w:rsidP="00E7157A">
      <w:pPr>
        <w:spacing w:after="60"/>
        <w:rPr>
          <w:color w:val="000000" w:themeColor="text1"/>
        </w:rPr>
      </w:pPr>
      <w:r w:rsidRPr="007036BD">
        <w:rPr>
          <w:b/>
          <w:color w:val="000000" w:themeColor="text1"/>
        </w:rPr>
        <w:lastRenderedPageBreak/>
        <w:t>Q3</w:t>
      </w:r>
      <w:r>
        <w:rPr>
          <w:color w:val="000000" w:themeColor="text1"/>
        </w:rPr>
        <w:t xml:space="preserve"> a) </w:t>
      </w:r>
      <w:r w:rsidR="00FA575B">
        <w:rPr>
          <w:color w:val="000000" w:themeColor="text1"/>
        </w:rPr>
        <w:t>i.</w:t>
      </w:r>
    </w:p>
    <w:p w14:paraId="53414C6D" w14:textId="77777777" w:rsidR="00B92FE2" w:rsidRPr="00B92FE2" w:rsidRDefault="00B92FE2" w:rsidP="00B92FE2">
      <w:pPr>
        <w:pStyle w:val="Default"/>
        <w:rPr>
          <w:rFonts w:asciiTheme="minorHAnsi" w:hAnsiTheme="minorHAnsi"/>
          <w:sz w:val="22"/>
          <w:szCs w:val="22"/>
        </w:rPr>
      </w:pPr>
      <w:r w:rsidRPr="00B92FE2">
        <w:rPr>
          <w:rFonts w:asciiTheme="minorHAnsi" w:hAnsiTheme="minorHAnsi"/>
          <w:sz w:val="22"/>
          <w:szCs w:val="22"/>
        </w:rPr>
        <w:t>VIF</w:t>
      </w:r>
      <w:r w:rsidR="00E56CBC" w:rsidRPr="00B92FE2">
        <w:rPr>
          <w:rFonts w:asciiTheme="minorHAnsi" w:hAnsiTheme="minorHAnsi"/>
          <w:sz w:val="22"/>
          <w:szCs w:val="22"/>
        </w:rPr>
        <w:t xml:space="preserve"> = PV o</w:t>
      </w:r>
      <w:r w:rsidRPr="00B92FE2">
        <w:rPr>
          <w:rFonts w:asciiTheme="minorHAnsi" w:hAnsiTheme="minorHAnsi"/>
          <w:sz w:val="22"/>
          <w:szCs w:val="22"/>
        </w:rPr>
        <w:t xml:space="preserve">f future distributable profits </w:t>
      </w:r>
    </w:p>
    <w:p w14:paraId="6E33E518" w14:textId="1C9543DC" w:rsidR="00B92FE2" w:rsidRPr="00B92FE2" w:rsidRDefault="00184833" w:rsidP="00B92FE2">
      <w:pPr>
        <w:pStyle w:val="Default"/>
        <w:rPr>
          <w:rFonts w:asciiTheme="minorHAnsi" w:hAnsiTheme="minorHAnsi"/>
          <w:sz w:val="22"/>
          <w:szCs w:val="22"/>
        </w:rPr>
      </w:pPr>
      <w:r>
        <w:rPr>
          <w:rFonts w:asciiTheme="minorHAnsi" w:hAnsiTheme="minorHAnsi"/>
          <w:sz w:val="22"/>
          <w:szCs w:val="22"/>
        </w:rPr>
        <w:t xml:space="preserve">       </w:t>
      </w:r>
      <w:r w:rsidR="00E56CBC" w:rsidRPr="00B92FE2">
        <w:rPr>
          <w:rFonts w:asciiTheme="minorHAnsi" w:hAnsiTheme="minorHAnsi"/>
          <w:sz w:val="22"/>
          <w:szCs w:val="22"/>
        </w:rPr>
        <w:t>= Σ</w:t>
      </w:r>
      <w:r w:rsidR="00B92FE2" w:rsidRPr="00B92FE2">
        <w:rPr>
          <w:rFonts w:asciiTheme="minorHAnsi" w:hAnsiTheme="minorHAnsi"/>
          <w:sz w:val="22"/>
          <w:szCs w:val="22"/>
          <w:vertAlign w:val="subscript"/>
        </w:rPr>
        <w:t>t</w:t>
      </w:r>
      <w:r w:rsidR="00B92FE2">
        <w:rPr>
          <w:rFonts w:asciiTheme="minorHAnsi" w:hAnsiTheme="minorHAnsi"/>
          <w:sz w:val="22"/>
          <w:szCs w:val="22"/>
          <w:vertAlign w:val="subscript"/>
        </w:rPr>
        <w:t>=1</w:t>
      </w:r>
      <w:r w:rsidR="00E56CBC" w:rsidRPr="00B92FE2">
        <w:rPr>
          <w:rFonts w:asciiTheme="minorHAnsi" w:hAnsiTheme="minorHAnsi"/>
          <w:sz w:val="22"/>
          <w:szCs w:val="22"/>
        </w:rPr>
        <w:t>(</w:t>
      </w:r>
      <w:r w:rsidR="00BA53B8">
        <w:rPr>
          <w:rFonts w:asciiTheme="minorHAnsi" w:hAnsiTheme="minorHAnsi"/>
          <w:sz w:val="22"/>
          <w:szCs w:val="22"/>
        </w:rPr>
        <w:t xml:space="preserve"> Premiums</w:t>
      </w:r>
      <w:r w:rsidR="00E56CBC" w:rsidRPr="00BA53B8">
        <w:rPr>
          <w:rFonts w:asciiTheme="minorHAnsi" w:hAnsiTheme="minorHAnsi"/>
          <w:sz w:val="22"/>
          <w:szCs w:val="22"/>
          <w:vertAlign w:val="subscript"/>
        </w:rPr>
        <w:t>t</w:t>
      </w:r>
      <w:r w:rsidR="00E56CBC" w:rsidRPr="00B92FE2">
        <w:rPr>
          <w:rFonts w:asciiTheme="minorHAnsi" w:hAnsiTheme="minorHAnsi"/>
          <w:sz w:val="22"/>
          <w:szCs w:val="22"/>
        </w:rPr>
        <w:t xml:space="preserve"> + </w:t>
      </w:r>
      <w:r w:rsidR="00BA53B8" w:rsidRPr="00297D92">
        <w:rPr>
          <w:rFonts w:asciiTheme="minorHAnsi" w:hAnsiTheme="minorHAnsi"/>
          <w:color w:val="FF0000"/>
          <w:sz w:val="22"/>
          <w:szCs w:val="22"/>
        </w:rPr>
        <w:t>Investment Income</w:t>
      </w:r>
      <w:r w:rsidR="00BA53B8" w:rsidRPr="00297D92">
        <w:rPr>
          <w:rFonts w:asciiTheme="minorHAnsi" w:hAnsiTheme="minorHAnsi"/>
          <w:color w:val="FF0000"/>
          <w:sz w:val="22"/>
          <w:szCs w:val="22"/>
          <w:vertAlign w:val="subscript"/>
        </w:rPr>
        <w:t>t</w:t>
      </w:r>
      <w:r w:rsidR="00B92FE2" w:rsidRPr="00297D92">
        <w:rPr>
          <w:rFonts w:asciiTheme="minorHAnsi" w:hAnsiTheme="minorHAnsi"/>
          <w:color w:val="FF0000"/>
          <w:sz w:val="22"/>
          <w:szCs w:val="22"/>
        </w:rPr>
        <w:t xml:space="preserve"> </w:t>
      </w:r>
      <w:r w:rsidR="00B92FE2">
        <w:rPr>
          <w:rFonts w:asciiTheme="minorHAnsi" w:hAnsiTheme="minorHAnsi"/>
          <w:sz w:val="22"/>
          <w:szCs w:val="22"/>
        </w:rPr>
        <w:t>– Expenses</w:t>
      </w:r>
      <w:r w:rsidR="00BA53B8" w:rsidRPr="00BA53B8">
        <w:rPr>
          <w:rFonts w:asciiTheme="minorHAnsi" w:hAnsiTheme="minorHAnsi"/>
          <w:sz w:val="22"/>
          <w:szCs w:val="22"/>
          <w:vertAlign w:val="subscript"/>
        </w:rPr>
        <w:t>t</w:t>
      </w:r>
      <w:r w:rsidR="00B92FE2">
        <w:rPr>
          <w:rFonts w:asciiTheme="minorHAnsi" w:hAnsiTheme="minorHAnsi"/>
          <w:sz w:val="22"/>
          <w:szCs w:val="22"/>
        </w:rPr>
        <w:t xml:space="preserve"> – Commission</w:t>
      </w:r>
      <w:r w:rsidR="00BA53B8" w:rsidRPr="00BA53B8">
        <w:rPr>
          <w:rFonts w:asciiTheme="minorHAnsi" w:hAnsiTheme="minorHAnsi"/>
          <w:sz w:val="22"/>
          <w:szCs w:val="22"/>
          <w:vertAlign w:val="subscript"/>
        </w:rPr>
        <w:t>t</w:t>
      </w:r>
      <w:r w:rsidR="00B92FE2">
        <w:rPr>
          <w:rFonts w:asciiTheme="minorHAnsi" w:hAnsiTheme="minorHAnsi"/>
          <w:sz w:val="22"/>
          <w:szCs w:val="22"/>
        </w:rPr>
        <w:t xml:space="preserve"> – Claims</w:t>
      </w:r>
      <w:r w:rsidR="00BA53B8" w:rsidRPr="00BA53B8">
        <w:rPr>
          <w:rFonts w:asciiTheme="minorHAnsi" w:hAnsiTheme="minorHAnsi"/>
          <w:sz w:val="22"/>
          <w:szCs w:val="22"/>
          <w:vertAlign w:val="subscript"/>
        </w:rPr>
        <w:t>t</w:t>
      </w:r>
      <w:r w:rsidR="00B92FE2">
        <w:rPr>
          <w:rFonts w:asciiTheme="minorHAnsi" w:hAnsiTheme="minorHAnsi"/>
          <w:sz w:val="22"/>
          <w:szCs w:val="22"/>
        </w:rPr>
        <w:t xml:space="preserve"> </w:t>
      </w:r>
      <w:r w:rsidR="00B92FE2" w:rsidRPr="00B92FE2">
        <w:rPr>
          <w:rFonts w:asciiTheme="minorHAnsi" w:hAnsiTheme="minorHAnsi"/>
          <w:sz w:val="22"/>
          <w:szCs w:val="22"/>
        </w:rPr>
        <w:t>–</w:t>
      </w:r>
    </w:p>
    <w:p w14:paraId="54614AC3" w14:textId="6261D8DD" w:rsidR="00F86A5F" w:rsidRPr="00B92FE2" w:rsidRDefault="00BA53B8" w:rsidP="00B92FE2">
      <w:pPr>
        <w:pStyle w:val="Default"/>
        <w:rPr>
          <w:rFonts w:asciiTheme="minorHAnsi" w:hAnsiTheme="minorHAnsi"/>
          <w:sz w:val="22"/>
          <w:szCs w:val="22"/>
        </w:rPr>
      </w:pPr>
      <w:r>
        <w:rPr>
          <w:rFonts w:asciiTheme="minorHAnsi" w:hAnsiTheme="minorHAnsi"/>
          <w:sz w:val="22"/>
          <w:szCs w:val="22"/>
        </w:rPr>
        <w:t xml:space="preserve">            </w:t>
      </w:r>
      <w:r w:rsidR="00184833">
        <w:rPr>
          <w:rFonts w:asciiTheme="minorHAnsi" w:hAnsiTheme="minorHAnsi"/>
          <w:sz w:val="22"/>
          <w:szCs w:val="22"/>
        </w:rPr>
        <w:t xml:space="preserve">    </w:t>
      </w:r>
      <w:r w:rsidR="00B92FE2" w:rsidRPr="00297D92">
        <w:rPr>
          <w:rFonts w:asciiTheme="minorHAnsi" w:hAnsiTheme="minorHAnsi"/>
          <w:color w:val="FF0000"/>
          <w:sz w:val="22"/>
          <w:szCs w:val="22"/>
        </w:rPr>
        <w:t>[</w:t>
      </w:r>
      <w:r w:rsidR="00FA575B" w:rsidRPr="00297D92">
        <w:rPr>
          <w:rFonts w:asciiTheme="minorHAnsi" w:hAnsiTheme="minorHAnsi"/>
          <w:color w:val="FF0000"/>
          <w:sz w:val="22"/>
          <w:szCs w:val="22"/>
        </w:rPr>
        <w:t>PCR</w:t>
      </w:r>
      <w:r w:rsidR="00B92FE2" w:rsidRPr="00297D92">
        <w:rPr>
          <w:rFonts w:asciiTheme="minorHAnsi" w:hAnsiTheme="minorHAnsi"/>
          <w:color w:val="FF0000"/>
          <w:sz w:val="22"/>
          <w:szCs w:val="22"/>
        </w:rPr>
        <w:t xml:space="preserve"> end of year </w:t>
      </w:r>
      <w:r w:rsidRPr="00297D92">
        <w:rPr>
          <w:rFonts w:asciiTheme="minorHAnsi" w:hAnsiTheme="minorHAnsi"/>
          <w:color w:val="FF0000"/>
          <w:sz w:val="22"/>
          <w:szCs w:val="22"/>
        </w:rPr>
        <w:t>t</w:t>
      </w:r>
      <w:r w:rsidR="00E56CBC" w:rsidRPr="00297D92">
        <w:rPr>
          <w:rFonts w:asciiTheme="minorHAnsi" w:hAnsiTheme="minorHAnsi"/>
          <w:color w:val="FF0000"/>
          <w:sz w:val="22"/>
          <w:szCs w:val="22"/>
        </w:rPr>
        <w:t xml:space="preserve"> – </w:t>
      </w:r>
      <w:r w:rsidR="00FA575B" w:rsidRPr="00297D92">
        <w:rPr>
          <w:rFonts w:asciiTheme="minorHAnsi" w:hAnsiTheme="minorHAnsi"/>
          <w:color w:val="FF0000"/>
          <w:sz w:val="22"/>
          <w:szCs w:val="22"/>
        </w:rPr>
        <w:t xml:space="preserve">PCR </w:t>
      </w:r>
      <w:r w:rsidRPr="00297D92">
        <w:rPr>
          <w:rFonts w:asciiTheme="minorHAnsi" w:hAnsiTheme="minorHAnsi"/>
          <w:color w:val="FF0000"/>
          <w:sz w:val="22"/>
          <w:szCs w:val="22"/>
        </w:rPr>
        <w:t xml:space="preserve">start of year </w:t>
      </w:r>
      <w:r w:rsidR="00E56CBC" w:rsidRPr="00297D92">
        <w:rPr>
          <w:rFonts w:asciiTheme="minorHAnsi" w:hAnsiTheme="minorHAnsi"/>
          <w:color w:val="FF0000"/>
          <w:sz w:val="22"/>
          <w:szCs w:val="22"/>
        </w:rPr>
        <w:t xml:space="preserve">t] </w:t>
      </w:r>
      <w:r w:rsidR="00E56CBC" w:rsidRPr="00B92FE2">
        <w:rPr>
          <w:rFonts w:asciiTheme="minorHAnsi" w:hAnsiTheme="minorHAnsi"/>
          <w:sz w:val="22"/>
          <w:szCs w:val="22"/>
        </w:rPr>
        <w:t>) x v</w:t>
      </w:r>
      <w:r w:rsidR="00E56CBC" w:rsidRPr="00B92FE2">
        <w:rPr>
          <w:rFonts w:asciiTheme="minorHAnsi" w:hAnsiTheme="minorHAnsi"/>
          <w:sz w:val="22"/>
          <w:szCs w:val="22"/>
          <w:vertAlign w:val="superscript"/>
        </w:rPr>
        <w:t xml:space="preserve">t </w:t>
      </w:r>
      <w:r w:rsidR="00B92FE2">
        <w:rPr>
          <w:rFonts w:asciiTheme="minorHAnsi" w:hAnsiTheme="minorHAnsi"/>
          <w:sz w:val="22"/>
          <w:szCs w:val="22"/>
          <w:vertAlign w:val="superscript"/>
        </w:rPr>
        <w:t xml:space="preserve"> </w:t>
      </w:r>
      <w:r w:rsidR="00E56CBC" w:rsidRPr="00B92FE2">
        <w:rPr>
          <w:rFonts w:asciiTheme="minorHAnsi" w:hAnsiTheme="minorHAnsi"/>
          <w:sz w:val="22"/>
          <w:szCs w:val="22"/>
        </w:rPr>
        <w:t>@ 8%</w:t>
      </w:r>
    </w:p>
    <w:p w14:paraId="3D7BE4F7" w14:textId="77777777" w:rsidR="00B92FE2" w:rsidRDefault="00B92FE2" w:rsidP="00B92FE2">
      <w:pPr>
        <w:pStyle w:val="Default"/>
        <w:rPr>
          <w:rFonts w:asciiTheme="minorHAnsi" w:hAnsiTheme="minorHAnsi"/>
          <w:sz w:val="20"/>
          <w:szCs w:val="20"/>
        </w:rPr>
      </w:pPr>
    </w:p>
    <w:p w14:paraId="1BF9933F" w14:textId="77777777" w:rsidR="00683597" w:rsidRPr="00297D92" w:rsidRDefault="00AD5DD2" w:rsidP="00683597">
      <w:pPr>
        <w:pStyle w:val="Default"/>
        <w:rPr>
          <w:rFonts w:asciiTheme="minorHAnsi" w:hAnsiTheme="minorHAnsi"/>
          <w:i/>
          <w:sz w:val="22"/>
          <w:szCs w:val="22"/>
        </w:rPr>
      </w:pPr>
      <w:r w:rsidRPr="00683597">
        <w:rPr>
          <w:rFonts w:asciiTheme="minorHAnsi" w:hAnsiTheme="minorHAnsi"/>
          <w:sz w:val="22"/>
          <w:szCs w:val="22"/>
        </w:rPr>
        <w:t xml:space="preserve">ii. </w:t>
      </w:r>
      <w:r w:rsidR="00683597" w:rsidRPr="00297D92">
        <w:rPr>
          <w:rFonts w:asciiTheme="minorHAnsi" w:hAnsiTheme="minorHAnsi"/>
          <w:i/>
          <w:sz w:val="22"/>
          <w:szCs w:val="22"/>
        </w:rPr>
        <w:t xml:space="preserve">Step 1: The formula in i) can be re-expressed as: </w:t>
      </w:r>
    </w:p>
    <w:p w14:paraId="25320FD5" w14:textId="4DE8540F" w:rsidR="00683597" w:rsidRPr="00C67918" w:rsidRDefault="00683597" w:rsidP="00297D92">
      <w:pPr>
        <w:pStyle w:val="Default"/>
        <w:ind w:left="180" w:hanging="180"/>
        <w:rPr>
          <w:rFonts w:asciiTheme="minorHAnsi" w:hAnsiTheme="minorHAnsi"/>
          <w:color w:val="00B050"/>
          <w:sz w:val="22"/>
          <w:szCs w:val="22"/>
        </w:rPr>
      </w:pPr>
      <w:r w:rsidRPr="00C67918">
        <w:rPr>
          <w:rFonts w:asciiTheme="minorHAnsi" w:hAnsiTheme="minorHAnsi"/>
          <w:color w:val="00B050"/>
          <w:sz w:val="22"/>
          <w:szCs w:val="22"/>
        </w:rPr>
        <w:t>= Σ</w:t>
      </w:r>
      <w:r w:rsidRPr="00C67918">
        <w:rPr>
          <w:rFonts w:asciiTheme="minorHAnsi" w:hAnsiTheme="minorHAnsi"/>
          <w:color w:val="00B050"/>
          <w:sz w:val="22"/>
          <w:szCs w:val="22"/>
          <w:vertAlign w:val="subscript"/>
        </w:rPr>
        <w:t>t=1</w:t>
      </w:r>
      <w:r w:rsidRPr="00C67918">
        <w:rPr>
          <w:rFonts w:asciiTheme="minorHAnsi" w:hAnsiTheme="minorHAnsi"/>
          <w:color w:val="00B050"/>
          <w:sz w:val="22"/>
          <w:szCs w:val="22"/>
        </w:rPr>
        <w:t xml:space="preserve"> (Premiums</w:t>
      </w:r>
      <w:r w:rsidRPr="00C67918">
        <w:rPr>
          <w:rFonts w:asciiTheme="minorHAnsi" w:hAnsiTheme="minorHAnsi"/>
          <w:color w:val="00B050"/>
          <w:sz w:val="22"/>
          <w:szCs w:val="22"/>
          <w:vertAlign w:val="subscript"/>
        </w:rPr>
        <w:t>t</w:t>
      </w:r>
      <w:r w:rsidRPr="00C67918">
        <w:rPr>
          <w:rFonts w:asciiTheme="minorHAnsi" w:hAnsiTheme="minorHAnsi"/>
          <w:color w:val="00B050"/>
          <w:sz w:val="22"/>
          <w:szCs w:val="22"/>
        </w:rPr>
        <w:t xml:space="preserve"> + Investment Income on Policy Liabilities start of year and Net CF (t) – Expenses</w:t>
      </w:r>
      <w:r w:rsidRPr="00C67918">
        <w:rPr>
          <w:rFonts w:asciiTheme="minorHAnsi" w:hAnsiTheme="minorHAnsi"/>
          <w:color w:val="00B050"/>
          <w:sz w:val="22"/>
          <w:szCs w:val="22"/>
          <w:vertAlign w:val="subscript"/>
        </w:rPr>
        <w:t>t</w:t>
      </w:r>
      <w:r w:rsidRPr="00C67918">
        <w:rPr>
          <w:rFonts w:asciiTheme="minorHAnsi" w:hAnsiTheme="minorHAnsi"/>
          <w:color w:val="00B050"/>
          <w:sz w:val="22"/>
          <w:szCs w:val="22"/>
        </w:rPr>
        <w:t xml:space="preserve"> – Commission</w:t>
      </w:r>
      <w:r w:rsidRPr="00C67918">
        <w:rPr>
          <w:rFonts w:asciiTheme="minorHAnsi" w:hAnsiTheme="minorHAnsi"/>
          <w:color w:val="00B050"/>
          <w:sz w:val="22"/>
          <w:szCs w:val="22"/>
          <w:vertAlign w:val="subscript"/>
        </w:rPr>
        <w:t>t</w:t>
      </w:r>
      <w:r w:rsidRPr="00C67918">
        <w:rPr>
          <w:rFonts w:asciiTheme="minorHAnsi" w:hAnsiTheme="minorHAnsi"/>
          <w:color w:val="00B050"/>
          <w:sz w:val="22"/>
          <w:szCs w:val="22"/>
        </w:rPr>
        <w:t xml:space="preserve"> – Claims</w:t>
      </w:r>
      <w:r w:rsidRPr="00C67918">
        <w:rPr>
          <w:rFonts w:asciiTheme="minorHAnsi" w:hAnsiTheme="minorHAnsi"/>
          <w:color w:val="00B050"/>
          <w:sz w:val="22"/>
          <w:szCs w:val="22"/>
          <w:vertAlign w:val="subscript"/>
        </w:rPr>
        <w:t>t</w:t>
      </w:r>
      <w:r w:rsidRPr="00C67918">
        <w:rPr>
          <w:rFonts w:asciiTheme="minorHAnsi" w:hAnsiTheme="minorHAnsi"/>
          <w:color w:val="00B050"/>
          <w:sz w:val="22"/>
          <w:szCs w:val="22"/>
        </w:rPr>
        <w:t xml:space="preserve"> </w:t>
      </w:r>
    </w:p>
    <w:p w14:paraId="0C9628C9" w14:textId="7FC0848C" w:rsidR="00683597" w:rsidRPr="00C67918" w:rsidRDefault="00683597" w:rsidP="00297D92">
      <w:pPr>
        <w:pStyle w:val="Default"/>
        <w:ind w:left="180" w:hanging="180"/>
        <w:rPr>
          <w:rFonts w:asciiTheme="minorHAnsi" w:hAnsiTheme="minorHAnsi"/>
          <w:color w:val="00B050"/>
          <w:sz w:val="22"/>
          <w:szCs w:val="22"/>
        </w:rPr>
      </w:pPr>
      <w:r w:rsidRPr="00C67918">
        <w:rPr>
          <w:rFonts w:asciiTheme="minorHAnsi" w:hAnsiTheme="minorHAnsi"/>
          <w:color w:val="00B050"/>
          <w:sz w:val="22"/>
          <w:szCs w:val="22"/>
        </w:rPr>
        <w:t>– [</w:t>
      </w:r>
      <w:r w:rsidR="00C67918" w:rsidRPr="00C67918">
        <w:rPr>
          <w:rFonts w:asciiTheme="minorHAnsi" w:hAnsiTheme="minorHAnsi"/>
          <w:color w:val="00B050"/>
          <w:sz w:val="22"/>
          <w:szCs w:val="22"/>
        </w:rPr>
        <w:t>PL</w:t>
      </w:r>
      <w:r w:rsidRPr="00C67918">
        <w:rPr>
          <w:rFonts w:asciiTheme="minorHAnsi" w:hAnsiTheme="minorHAnsi"/>
          <w:color w:val="00B050"/>
          <w:sz w:val="22"/>
          <w:szCs w:val="22"/>
        </w:rPr>
        <w:t xml:space="preserve"> end of year (t) – </w:t>
      </w:r>
      <w:r w:rsidR="00C67918" w:rsidRPr="00C67918">
        <w:rPr>
          <w:rFonts w:asciiTheme="minorHAnsi" w:hAnsiTheme="minorHAnsi"/>
          <w:color w:val="00B050"/>
          <w:sz w:val="22"/>
          <w:szCs w:val="22"/>
        </w:rPr>
        <w:t>PL</w:t>
      </w:r>
      <w:r w:rsidRPr="00C67918">
        <w:rPr>
          <w:rFonts w:asciiTheme="minorHAnsi" w:hAnsiTheme="minorHAnsi"/>
          <w:color w:val="00B050"/>
          <w:sz w:val="22"/>
          <w:szCs w:val="22"/>
        </w:rPr>
        <w:t xml:space="preserve"> start of year (t)] </w:t>
      </w:r>
    </w:p>
    <w:p w14:paraId="6C66D35D" w14:textId="01C3463F" w:rsidR="00683597" w:rsidRPr="00C67918" w:rsidRDefault="00683597" w:rsidP="00297D92">
      <w:pPr>
        <w:pStyle w:val="Default"/>
        <w:ind w:left="180" w:hanging="180"/>
        <w:rPr>
          <w:rFonts w:asciiTheme="minorHAnsi" w:hAnsiTheme="minorHAnsi"/>
          <w:color w:val="FF0000"/>
          <w:sz w:val="22"/>
          <w:szCs w:val="22"/>
        </w:rPr>
      </w:pPr>
      <w:r w:rsidRPr="00C67918">
        <w:rPr>
          <w:rFonts w:asciiTheme="minorHAnsi" w:hAnsiTheme="minorHAnsi"/>
          <w:color w:val="FF0000"/>
          <w:sz w:val="22"/>
          <w:szCs w:val="22"/>
        </w:rPr>
        <w:t xml:space="preserve">– [(PCR end of year (t) – PL end of year (t)) – (PCR start of year (t) – PL start of year (t))] </w:t>
      </w:r>
    </w:p>
    <w:p w14:paraId="0C504B38" w14:textId="2C085FC3" w:rsidR="00AD5DD2" w:rsidRPr="00C67918" w:rsidRDefault="00683597" w:rsidP="00297D92">
      <w:pPr>
        <w:pStyle w:val="Default"/>
        <w:ind w:left="180" w:hanging="180"/>
        <w:rPr>
          <w:rFonts w:asciiTheme="minorHAnsi" w:hAnsiTheme="minorHAnsi"/>
          <w:color w:val="FF0000"/>
          <w:sz w:val="22"/>
          <w:szCs w:val="22"/>
        </w:rPr>
      </w:pPr>
      <w:r w:rsidRPr="00C67918">
        <w:rPr>
          <w:rFonts w:asciiTheme="minorHAnsi" w:hAnsiTheme="minorHAnsi"/>
          <w:color w:val="FF0000"/>
          <w:sz w:val="22"/>
          <w:szCs w:val="22"/>
        </w:rPr>
        <w:t xml:space="preserve">+ Investment income on {PCR start of year (t) – </w:t>
      </w:r>
      <w:r w:rsidR="00C67918" w:rsidRPr="00C67918">
        <w:rPr>
          <w:rFonts w:asciiTheme="minorHAnsi" w:hAnsiTheme="minorHAnsi"/>
          <w:color w:val="FF0000"/>
          <w:sz w:val="22"/>
          <w:szCs w:val="22"/>
        </w:rPr>
        <w:t>PL</w:t>
      </w:r>
      <w:r w:rsidRPr="00C67918">
        <w:rPr>
          <w:rFonts w:asciiTheme="minorHAnsi" w:hAnsiTheme="minorHAnsi"/>
          <w:color w:val="FF0000"/>
          <w:sz w:val="22"/>
          <w:szCs w:val="22"/>
        </w:rPr>
        <w:t xml:space="preserve"> start of year (t)}) x v</w:t>
      </w:r>
      <w:r w:rsidRPr="00C67918">
        <w:rPr>
          <w:rFonts w:asciiTheme="minorHAnsi" w:hAnsiTheme="minorHAnsi"/>
          <w:color w:val="FF0000"/>
          <w:sz w:val="22"/>
          <w:szCs w:val="22"/>
          <w:vertAlign w:val="superscript"/>
        </w:rPr>
        <w:t>t</w:t>
      </w:r>
      <w:r w:rsidRPr="00C67918">
        <w:rPr>
          <w:rFonts w:asciiTheme="minorHAnsi" w:hAnsiTheme="minorHAnsi"/>
          <w:color w:val="FF0000"/>
          <w:sz w:val="22"/>
          <w:szCs w:val="22"/>
        </w:rPr>
        <w:t xml:space="preserve"> @ 8%</w:t>
      </w:r>
    </w:p>
    <w:p w14:paraId="550BAF78" w14:textId="77777777" w:rsidR="00B92FE2" w:rsidRDefault="00B92FE2" w:rsidP="00B92FE2">
      <w:pPr>
        <w:pStyle w:val="Default"/>
        <w:rPr>
          <w:rFonts w:asciiTheme="minorHAnsi" w:hAnsiTheme="minorHAnsi"/>
          <w:sz w:val="20"/>
          <w:szCs w:val="20"/>
        </w:rPr>
      </w:pPr>
    </w:p>
    <w:p w14:paraId="0119C2AD" w14:textId="6FBE673F" w:rsidR="00297D92" w:rsidRPr="00297D92" w:rsidRDefault="00297D92" w:rsidP="00297D92">
      <w:pPr>
        <w:pStyle w:val="Default"/>
        <w:rPr>
          <w:rFonts w:asciiTheme="minorHAnsi" w:hAnsiTheme="minorHAnsi"/>
          <w:i/>
          <w:sz w:val="22"/>
          <w:szCs w:val="22"/>
        </w:rPr>
      </w:pPr>
      <w:r w:rsidRPr="00297D92">
        <w:rPr>
          <w:rFonts w:asciiTheme="minorHAnsi" w:hAnsiTheme="minorHAnsi"/>
          <w:i/>
          <w:sz w:val="22"/>
          <w:szCs w:val="22"/>
        </w:rPr>
        <w:t xml:space="preserve">Step 2: </w:t>
      </w:r>
      <w:r w:rsidRPr="00297D92">
        <w:rPr>
          <w:rFonts w:asciiTheme="minorHAnsi" w:hAnsiTheme="minorHAnsi"/>
          <w:sz w:val="22"/>
          <w:szCs w:val="22"/>
        </w:rPr>
        <w:t xml:space="preserve">which can be expressed as: </w:t>
      </w:r>
    </w:p>
    <w:p w14:paraId="1FAA37E5" w14:textId="4592726B" w:rsidR="00297D92" w:rsidRPr="00C67918" w:rsidRDefault="00297D92" w:rsidP="00297D92">
      <w:pPr>
        <w:pStyle w:val="Default"/>
        <w:ind w:left="180" w:hanging="180"/>
        <w:rPr>
          <w:rFonts w:asciiTheme="minorHAnsi" w:hAnsiTheme="minorHAnsi"/>
          <w:color w:val="00B050"/>
          <w:sz w:val="22"/>
          <w:szCs w:val="22"/>
        </w:rPr>
      </w:pPr>
      <w:r w:rsidRPr="00C67918">
        <w:rPr>
          <w:rFonts w:asciiTheme="minorHAnsi" w:hAnsiTheme="minorHAnsi"/>
          <w:color w:val="00B050"/>
          <w:sz w:val="22"/>
          <w:szCs w:val="22"/>
        </w:rPr>
        <w:t>= Σ</w:t>
      </w:r>
      <w:r w:rsidRPr="00C67918">
        <w:rPr>
          <w:rFonts w:asciiTheme="minorHAnsi" w:hAnsiTheme="minorHAnsi"/>
          <w:color w:val="00B050"/>
          <w:sz w:val="22"/>
          <w:szCs w:val="22"/>
          <w:vertAlign w:val="subscript"/>
        </w:rPr>
        <w:t>t=1</w:t>
      </w:r>
      <w:r w:rsidRPr="00C67918">
        <w:rPr>
          <w:rFonts w:asciiTheme="minorHAnsi" w:hAnsiTheme="minorHAnsi"/>
          <w:color w:val="00B050"/>
          <w:sz w:val="22"/>
          <w:szCs w:val="22"/>
        </w:rPr>
        <w:t xml:space="preserve"> (Premiums</w:t>
      </w:r>
      <w:r w:rsidRPr="00C67918">
        <w:rPr>
          <w:rFonts w:asciiTheme="minorHAnsi" w:hAnsiTheme="minorHAnsi"/>
          <w:color w:val="00B050"/>
          <w:sz w:val="22"/>
          <w:szCs w:val="22"/>
          <w:vertAlign w:val="subscript"/>
        </w:rPr>
        <w:t>t</w:t>
      </w:r>
      <w:r w:rsidRPr="00C67918">
        <w:rPr>
          <w:rFonts w:asciiTheme="minorHAnsi" w:hAnsiTheme="minorHAnsi"/>
          <w:color w:val="00B050"/>
          <w:sz w:val="22"/>
          <w:szCs w:val="22"/>
        </w:rPr>
        <w:t xml:space="preserve"> + Investment Income on Policy Liabilities start of year and Net CF (t) – Expenses</w:t>
      </w:r>
      <w:r w:rsidRPr="00C67918">
        <w:rPr>
          <w:rFonts w:asciiTheme="minorHAnsi" w:hAnsiTheme="minorHAnsi"/>
          <w:color w:val="00B050"/>
          <w:sz w:val="22"/>
          <w:szCs w:val="22"/>
          <w:vertAlign w:val="subscript"/>
        </w:rPr>
        <w:t>t</w:t>
      </w:r>
      <w:r w:rsidRPr="00C67918">
        <w:rPr>
          <w:rFonts w:asciiTheme="minorHAnsi" w:hAnsiTheme="minorHAnsi"/>
          <w:color w:val="00B050"/>
          <w:sz w:val="22"/>
          <w:szCs w:val="22"/>
        </w:rPr>
        <w:t xml:space="preserve"> – Commission</w:t>
      </w:r>
      <w:r w:rsidRPr="00C67918">
        <w:rPr>
          <w:rFonts w:asciiTheme="minorHAnsi" w:hAnsiTheme="minorHAnsi"/>
          <w:color w:val="00B050"/>
          <w:sz w:val="22"/>
          <w:szCs w:val="22"/>
          <w:vertAlign w:val="subscript"/>
        </w:rPr>
        <w:t>t</w:t>
      </w:r>
      <w:r w:rsidRPr="00C67918">
        <w:rPr>
          <w:rFonts w:asciiTheme="minorHAnsi" w:hAnsiTheme="minorHAnsi"/>
          <w:color w:val="00B050"/>
          <w:sz w:val="22"/>
          <w:szCs w:val="22"/>
        </w:rPr>
        <w:t xml:space="preserve"> – Claims</w:t>
      </w:r>
      <w:r w:rsidRPr="00C67918">
        <w:rPr>
          <w:rFonts w:asciiTheme="minorHAnsi" w:hAnsiTheme="minorHAnsi"/>
          <w:color w:val="00B050"/>
          <w:sz w:val="22"/>
          <w:szCs w:val="22"/>
          <w:vertAlign w:val="subscript"/>
        </w:rPr>
        <w:t>t</w:t>
      </w:r>
      <w:r w:rsidRPr="00C67918">
        <w:rPr>
          <w:rFonts w:asciiTheme="minorHAnsi" w:hAnsiTheme="minorHAnsi"/>
          <w:color w:val="00B050"/>
          <w:sz w:val="22"/>
          <w:szCs w:val="22"/>
        </w:rPr>
        <w:t xml:space="preserve"> </w:t>
      </w:r>
    </w:p>
    <w:p w14:paraId="50C55150" w14:textId="265D016C" w:rsidR="00297D92" w:rsidRPr="00C67918" w:rsidRDefault="00297D92" w:rsidP="00297D92">
      <w:pPr>
        <w:pStyle w:val="Default"/>
        <w:rPr>
          <w:rFonts w:asciiTheme="minorHAnsi" w:hAnsiTheme="minorHAnsi"/>
          <w:color w:val="00B050"/>
          <w:sz w:val="22"/>
          <w:szCs w:val="22"/>
        </w:rPr>
      </w:pPr>
      <w:r w:rsidRPr="00C67918">
        <w:rPr>
          <w:rFonts w:asciiTheme="minorHAnsi" w:hAnsiTheme="minorHAnsi"/>
          <w:color w:val="00B050"/>
          <w:sz w:val="22"/>
          <w:szCs w:val="22"/>
        </w:rPr>
        <w:t>– [</w:t>
      </w:r>
      <w:r w:rsidR="00C67918" w:rsidRPr="00C67918">
        <w:rPr>
          <w:rFonts w:asciiTheme="minorHAnsi" w:hAnsiTheme="minorHAnsi"/>
          <w:color w:val="00B050"/>
          <w:sz w:val="22"/>
          <w:szCs w:val="22"/>
        </w:rPr>
        <w:t>PL</w:t>
      </w:r>
      <w:r w:rsidRPr="00C67918">
        <w:rPr>
          <w:rFonts w:asciiTheme="minorHAnsi" w:hAnsiTheme="minorHAnsi"/>
          <w:color w:val="00B050"/>
          <w:sz w:val="22"/>
          <w:szCs w:val="22"/>
        </w:rPr>
        <w:t xml:space="preserve"> end of year (t) – </w:t>
      </w:r>
      <w:r w:rsidR="00C67918" w:rsidRPr="00C67918">
        <w:rPr>
          <w:rFonts w:asciiTheme="minorHAnsi" w:hAnsiTheme="minorHAnsi"/>
          <w:color w:val="00B050"/>
          <w:sz w:val="22"/>
          <w:szCs w:val="22"/>
        </w:rPr>
        <w:t>PL</w:t>
      </w:r>
      <w:r w:rsidRPr="00C67918">
        <w:rPr>
          <w:rFonts w:asciiTheme="minorHAnsi" w:hAnsiTheme="minorHAnsi"/>
          <w:color w:val="00B050"/>
          <w:sz w:val="22"/>
          <w:szCs w:val="22"/>
        </w:rPr>
        <w:t xml:space="preserve"> start of year (t)] x v</w:t>
      </w:r>
      <w:r w:rsidRPr="00C67918">
        <w:rPr>
          <w:rFonts w:asciiTheme="minorHAnsi" w:hAnsiTheme="minorHAnsi"/>
          <w:color w:val="00B050"/>
          <w:sz w:val="22"/>
          <w:szCs w:val="22"/>
          <w:vertAlign w:val="superscript"/>
        </w:rPr>
        <w:t>t</w:t>
      </w:r>
      <w:r w:rsidRPr="00C67918">
        <w:rPr>
          <w:rFonts w:asciiTheme="minorHAnsi" w:hAnsiTheme="minorHAnsi"/>
          <w:color w:val="00B050"/>
          <w:sz w:val="22"/>
          <w:szCs w:val="22"/>
        </w:rPr>
        <w:t xml:space="preserve"> @ 8% </w:t>
      </w:r>
    </w:p>
    <w:p w14:paraId="3CCD3B6F" w14:textId="77777777" w:rsidR="00297D92" w:rsidRPr="00C67918" w:rsidRDefault="00297D92" w:rsidP="00297D92">
      <w:pPr>
        <w:pStyle w:val="Default"/>
        <w:rPr>
          <w:rFonts w:asciiTheme="minorHAnsi" w:hAnsiTheme="minorHAnsi"/>
          <w:i/>
          <w:sz w:val="22"/>
          <w:szCs w:val="22"/>
        </w:rPr>
      </w:pPr>
      <w:r w:rsidRPr="00C67918">
        <w:rPr>
          <w:rFonts w:asciiTheme="minorHAnsi" w:hAnsiTheme="minorHAnsi"/>
          <w:i/>
          <w:sz w:val="22"/>
          <w:szCs w:val="22"/>
        </w:rPr>
        <w:t xml:space="preserve">plus </w:t>
      </w:r>
    </w:p>
    <w:p w14:paraId="286DF535" w14:textId="05893A0B" w:rsidR="00297D92" w:rsidRPr="00C67918" w:rsidRDefault="00C67918" w:rsidP="00297D92">
      <w:pPr>
        <w:pStyle w:val="Default"/>
        <w:rPr>
          <w:rFonts w:asciiTheme="minorHAnsi" w:hAnsiTheme="minorHAnsi"/>
          <w:color w:val="FF0000"/>
          <w:sz w:val="22"/>
          <w:szCs w:val="22"/>
        </w:rPr>
      </w:pPr>
      <w:r w:rsidRPr="00C67918">
        <w:rPr>
          <w:rFonts w:asciiTheme="minorHAnsi" w:hAnsiTheme="minorHAnsi"/>
          <w:color w:val="FF0000"/>
          <w:sz w:val="22"/>
          <w:szCs w:val="22"/>
        </w:rPr>
        <w:t>Σ</w:t>
      </w:r>
      <w:r w:rsidRPr="00C67918">
        <w:rPr>
          <w:rFonts w:asciiTheme="minorHAnsi" w:hAnsiTheme="minorHAnsi"/>
          <w:color w:val="FF0000"/>
          <w:sz w:val="22"/>
          <w:szCs w:val="22"/>
          <w:vertAlign w:val="subscript"/>
        </w:rPr>
        <w:t>t=1</w:t>
      </w:r>
      <w:r w:rsidRPr="00C67918">
        <w:rPr>
          <w:rFonts w:asciiTheme="minorHAnsi" w:hAnsiTheme="minorHAnsi"/>
          <w:color w:val="FF0000"/>
          <w:sz w:val="22"/>
          <w:szCs w:val="22"/>
        </w:rPr>
        <w:t xml:space="preserve"> </w:t>
      </w:r>
      <w:r w:rsidR="00297D92" w:rsidRPr="00C67918">
        <w:rPr>
          <w:rFonts w:asciiTheme="minorHAnsi" w:hAnsiTheme="minorHAnsi"/>
          <w:color w:val="FF0000"/>
          <w:sz w:val="22"/>
          <w:szCs w:val="22"/>
        </w:rPr>
        <w:t xml:space="preserve"> Investment income on {</w:t>
      </w:r>
      <w:r w:rsidRPr="00C67918">
        <w:rPr>
          <w:rFonts w:asciiTheme="minorHAnsi" w:hAnsiTheme="minorHAnsi"/>
          <w:color w:val="FF0000"/>
          <w:sz w:val="22"/>
          <w:szCs w:val="22"/>
        </w:rPr>
        <w:t xml:space="preserve">PCR </w:t>
      </w:r>
      <w:r w:rsidR="00297D92" w:rsidRPr="00C67918">
        <w:rPr>
          <w:rFonts w:asciiTheme="minorHAnsi" w:hAnsiTheme="minorHAnsi"/>
          <w:color w:val="FF0000"/>
          <w:sz w:val="22"/>
          <w:szCs w:val="22"/>
        </w:rPr>
        <w:t xml:space="preserve">start of year (t) – </w:t>
      </w:r>
      <w:r w:rsidRPr="00C67918">
        <w:rPr>
          <w:rFonts w:asciiTheme="minorHAnsi" w:hAnsiTheme="minorHAnsi"/>
          <w:color w:val="FF0000"/>
          <w:sz w:val="22"/>
          <w:szCs w:val="22"/>
        </w:rPr>
        <w:t>PL</w:t>
      </w:r>
      <w:r w:rsidR="00297D92" w:rsidRPr="00C67918">
        <w:rPr>
          <w:rFonts w:asciiTheme="minorHAnsi" w:hAnsiTheme="minorHAnsi"/>
          <w:color w:val="FF0000"/>
          <w:sz w:val="22"/>
          <w:szCs w:val="22"/>
        </w:rPr>
        <w:t xml:space="preserve"> start of year (t)} </w:t>
      </w:r>
    </w:p>
    <w:p w14:paraId="183AE95F" w14:textId="68DF8CE5" w:rsidR="00297D92" w:rsidRPr="00C67918" w:rsidRDefault="00297D92" w:rsidP="00297D92">
      <w:pPr>
        <w:pStyle w:val="Default"/>
        <w:rPr>
          <w:rFonts w:asciiTheme="minorHAnsi" w:hAnsiTheme="minorHAnsi"/>
          <w:color w:val="FF0000"/>
          <w:sz w:val="22"/>
          <w:szCs w:val="22"/>
        </w:rPr>
      </w:pPr>
      <w:r w:rsidRPr="00C67918">
        <w:rPr>
          <w:rFonts w:asciiTheme="minorHAnsi" w:hAnsiTheme="minorHAnsi"/>
          <w:color w:val="FF0000"/>
          <w:sz w:val="22"/>
          <w:szCs w:val="22"/>
        </w:rPr>
        <w:t>+ [{</w:t>
      </w:r>
      <w:r w:rsidR="00C67918" w:rsidRPr="00C67918">
        <w:rPr>
          <w:rFonts w:asciiTheme="minorHAnsi" w:hAnsiTheme="minorHAnsi"/>
          <w:color w:val="FF0000"/>
          <w:sz w:val="22"/>
          <w:szCs w:val="22"/>
        </w:rPr>
        <w:t>PCR</w:t>
      </w:r>
      <w:r w:rsidRPr="00C67918">
        <w:rPr>
          <w:rFonts w:asciiTheme="minorHAnsi" w:hAnsiTheme="minorHAnsi"/>
          <w:color w:val="FF0000"/>
          <w:sz w:val="22"/>
          <w:szCs w:val="22"/>
        </w:rPr>
        <w:t xml:space="preserve"> start of year (t) – </w:t>
      </w:r>
      <w:r w:rsidR="00C67918" w:rsidRPr="00C67918">
        <w:rPr>
          <w:rFonts w:asciiTheme="minorHAnsi" w:hAnsiTheme="minorHAnsi"/>
          <w:color w:val="FF0000"/>
          <w:sz w:val="22"/>
          <w:szCs w:val="22"/>
        </w:rPr>
        <w:t xml:space="preserve">PL start of year (t)} </w:t>
      </w:r>
      <w:r w:rsidRPr="00C67918">
        <w:rPr>
          <w:rFonts w:asciiTheme="minorHAnsi" w:hAnsiTheme="minorHAnsi"/>
          <w:color w:val="FF0000"/>
          <w:sz w:val="22"/>
          <w:szCs w:val="22"/>
        </w:rPr>
        <w:t>– {</w:t>
      </w:r>
      <w:r w:rsidR="00C67918" w:rsidRPr="00C67918">
        <w:rPr>
          <w:rFonts w:asciiTheme="minorHAnsi" w:hAnsiTheme="minorHAnsi"/>
          <w:color w:val="FF0000"/>
          <w:sz w:val="22"/>
          <w:szCs w:val="22"/>
        </w:rPr>
        <w:t xml:space="preserve">PCR </w:t>
      </w:r>
      <w:r w:rsidRPr="00C67918">
        <w:rPr>
          <w:rFonts w:asciiTheme="minorHAnsi" w:hAnsiTheme="minorHAnsi"/>
          <w:color w:val="FF0000"/>
          <w:sz w:val="22"/>
          <w:szCs w:val="22"/>
        </w:rPr>
        <w:t xml:space="preserve">end of year (t) – </w:t>
      </w:r>
      <w:r w:rsidR="00C67918" w:rsidRPr="00C67918">
        <w:rPr>
          <w:rFonts w:asciiTheme="minorHAnsi" w:hAnsiTheme="minorHAnsi"/>
          <w:color w:val="FF0000"/>
          <w:sz w:val="22"/>
          <w:szCs w:val="22"/>
        </w:rPr>
        <w:t>PL</w:t>
      </w:r>
      <w:r w:rsidRPr="00C67918">
        <w:rPr>
          <w:rFonts w:asciiTheme="minorHAnsi" w:hAnsiTheme="minorHAnsi"/>
          <w:color w:val="FF0000"/>
          <w:sz w:val="22"/>
          <w:szCs w:val="22"/>
        </w:rPr>
        <w:t xml:space="preserve"> end of year (t)} ] x v</w:t>
      </w:r>
      <w:r w:rsidRPr="00C67918">
        <w:rPr>
          <w:rFonts w:asciiTheme="minorHAnsi" w:hAnsiTheme="minorHAnsi"/>
          <w:color w:val="FF0000"/>
          <w:sz w:val="22"/>
          <w:szCs w:val="22"/>
          <w:vertAlign w:val="superscript"/>
        </w:rPr>
        <w:t>t</w:t>
      </w:r>
      <w:r w:rsidRPr="00C67918">
        <w:rPr>
          <w:rFonts w:asciiTheme="minorHAnsi" w:hAnsiTheme="minorHAnsi"/>
          <w:color w:val="FF0000"/>
          <w:sz w:val="22"/>
          <w:szCs w:val="22"/>
        </w:rPr>
        <w:t xml:space="preserve"> @ 8%</w:t>
      </w:r>
    </w:p>
    <w:p w14:paraId="23F4571B" w14:textId="77777777" w:rsidR="00297D92" w:rsidRPr="00297D92" w:rsidRDefault="00297D92" w:rsidP="00297D92">
      <w:pPr>
        <w:pStyle w:val="Default"/>
        <w:rPr>
          <w:rFonts w:asciiTheme="minorHAnsi" w:hAnsiTheme="minorHAnsi"/>
          <w:sz w:val="22"/>
          <w:szCs w:val="22"/>
        </w:rPr>
      </w:pPr>
    </w:p>
    <w:p w14:paraId="7C4D5EEE" w14:textId="27A78512" w:rsidR="00297D92" w:rsidRPr="00704FA1" w:rsidRDefault="00297D92" w:rsidP="00297D92">
      <w:pPr>
        <w:pStyle w:val="Default"/>
        <w:rPr>
          <w:rFonts w:asciiTheme="minorHAnsi" w:hAnsiTheme="minorHAnsi"/>
          <w:i/>
          <w:sz w:val="22"/>
          <w:szCs w:val="22"/>
        </w:rPr>
      </w:pPr>
      <w:r w:rsidRPr="00704FA1">
        <w:rPr>
          <w:rFonts w:asciiTheme="minorHAnsi" w:hAnsiTheme="minorHAnsi"/>
          <w:i/>
          <w:sz w:val="22"/>
          <w:szCs w:val="22"/>
        </w:rPr>
        <w:t xml:space="preserve">Step 3: which is: </w:t>
      </w:r>
    </w:p>
    <w:p w14:paraId="5B3B4BB8" w14:textId="552471BF" w:rsidR="00704FA1" w:rsidRDefault="00704FA1" w:rsidP="00297D92">
      <w:pPr>
        <w:pStyle w:val="Default"/>
        <w:rPr>
          <w:rFonts w:asciiTheme="minorHAnsi" w:hAnsiTheme="minorHAnsi"/>
          <w:color w:val="00B050"/>
          <w:sz w:val="22"/>
          <w:szCs w:val="22"/>
        </w:rPr>
      </w:pPr>
      <w:r>
        <w:rPr>
          <w:rFonts w:asciiTheme="minorHAnsi" w:hAnsiTheme="minorHAnsi"/>
          <w:color w:val="00B050"/>
          <w:sz w:val="22"/>
          <w:szCs w:val="22"/>
        </w:rPr>
        <w:t xml:space="preserve">= </w:t>
      </w:r>
      <w:r w:rsidRPr="00704FA1">
        <w:rPr>
          <w:rFonts w:asciiTheme="minorHAnsi" w:hAnsiTheme="minorHAnsi"/>
          <w:color w:val="00B050"/>
          <w:sz w:val="22"/>
          <w:szCs w:val="22"/>
        </w:rPr>
        <w:t>PV</w:t>
      </w:r>
      <w:r w:rsidR="00297D92" w:rsidRPr="00704FA1">
        <w:rPr>
          <w:rFonts w:asciiTheme="minorHAnsi" w:hAnsiTheme="minorHAnsi"/>
          <w:color w:val="00B050"/>
          <w:sz w:val="22"/>
          <w:szCs w:val="22"/>
        </w:rPr>
        <w:t xml:space="preserve"> of future MOS Profits for all Inforce Business</w:t>
      </w:r>
      <w:r w:rsidRPr="00704FA1">
        <w:rPr>
          <w:rFonts w:asciiTheme="minorHAnsi" w:hAnsiTheme="minorHAnsi"/>
          <w:color w:val="00B050"/>
          <w:sz w:val="22"/>
          <w:szCs w:val="22"/>
        </w:rPr>
        <w:t xml:space="preserve"> </w:t>
      </w:r>
    </w:p>
    <w:p w14:paraId="1034847D" w14:textId="362E666A" w:rsidR="00297D92" w:rsidRPr="00297D92" w:rsidRDefault="00297D92" w:rsidP="00297D92">
      <w:pPr>
        <w:pStyle w:val="Default"/>
        <w:rPr>
          <w:rFonts w:asciiTheme="minorHAnsi" w:hAnsiTheme="minorHAnsi"/>
          <w:sz w:val="22"/>
          <w:szCs w:val="22"/>
        </w:rPr>
      </w:pPr>
      <w:r w:rsidRPr="00297D92">
        <w:rPr>
          <w:rFonts w:asciiTheme="minorHAnsi" w:hAnsiTheme="minorHAnsi"/>
          <w:sz w:val="22"/>
          <w:szCs w:val="22"/>
        </w:rPr>
        <w:t xml:space="preserve">+ </w:t>
      </w:r>
      <w:r w:rsidRPr="00704FA1">
        <w:rPr>
          <w:rFonts w:asciiTheme="minorHAnsi" w:hAnsiTheme="minorHAnsi"/>
          <w:color w:val="FF0000"/>
          <w:sz w:val="22"/>
          <w:szCs w:val="22"/>
        </w:rPr>
        <w:t>Value of Capital (</w:t>
      </w:r>
      <w:r w:rsidRPr="00361D14">
        <w:rPr>
          <w:rFonts w:asciiTheme="minorHAnsi" w:hAnsiTheme="minorHAnsi"/>
          <w:b/>
          <w:color w:val="FF0000"/>
          <w:sz w:val="22"/>
          <w:szCs w:val="22"/>
          <w:shd w:val="pct15" w:color="auto" w:fill="FFFFFF"/>
        </w:rPr>
        <w:t xml:space="preserve">where Capital equals </w:t>
      </w:r>
      <w:r w:rsidR="00704FA1" w:rsidRPr="00361D14">
        <w:rPr>
          <w:rFonts w:asciiTheme="minorHAnsi" w:hAnsiTheme="minorHAnsi"/>
          <w:b/>
          <w:color w:val="FF0000"/>
          <w:sz w:val="22"/>
          <w:szCs w:val="22"/>
          <w:shd w:val="pct15" w:color="auto" w:fill="FFFFFF"/>
        </w:rPr>
        <w:t>PCR</w:t>
      </w:r>
      <w:r w:rsidRPr="00361D14">
        <w:rPr>
          <w:rFonts w:asciiTheme="minorHAnsi" w:hAnsiTheme="minorHAnsi"/>
          <w:b/>
          <w:color w:val="FF0000"/>
          <w:sz w:val="22"/>
          <w:szCs w:val="22"/>
          <w:shd w:val="pct15" w:color="auto" w:fill="FFFFFF"/>
        </w:rPr>
        <w:t xml:space="preserve">(0) </w:t>
      </w:r>
      <w:r w:rsidR="00704FA1" w:rsidRPr="00361D14">
        <w:rPr>
          <w:rFonts w:asciiTheme="minorHAnsi" w:hAnsiTheme="minorHAnsi"/>
          <w:b/>
          <w:color w:val="FF0000"/>
          <w:sz w:val="22"/>
          <w:szCs w:val="22"/>
          <w:shd w:val="pct15" w:color="auto" w:fill="FFFFFF"/>
        </w:rPr>
        <w:t>–</w:t>
      </w:r>
      <w:r w:rsidRPr="00361D14">
        <w:rPr>
          <w:rFonts w:asciiTheme="minorHAnsi" w:hAnsiTheme="minorHAnsi"/>
          <w:b/>
          <w:color w:val="FF0000"/>
          <w:sz w:val="22"/>
          <w:szCs w:val="22"/>
          <w:shd w:val="pct15" w:color="auto" w:fill="FFFFFF"/>
        </w:rPr>
        <w:t xml:space="preserve"> Policy Liabilities(0)</w:t>
      </w:r>
      <w:r w:rsidRPr="00704FA1">
        <w:rPr>
          <w:rFonts w:asciiTheme="minorHAnsi" w:hAnsiTheme="minorHAnsi"/>
          <w:color w:val="FF0000"/>
          <w:sz w:val="22"/>
          <w:szCs w:val="22"/>
        </w:rPr>
        <w:t xml:space="preserve"> ) @8% </w:t>
      </w:r>
    </w:p>
    <w:p w14:paraId="74BEB634" w14:textId="77777777" w:rsidR="00704FA1" w:rsidRDefault="00704FA1" w:rsidP="00297D92">
      <w:pPr>
        <w:pStyle w:val="Default"/>
        <w:rPr>
          <w:rFonts w:asciiTheme="minorHAnsi" w:hAnsiTheme="minorHAnsi"/>
          <w:sz w:val="22"/>
          <w:szCs w:val="22"/>
        </w:rPr>
      </w:pPr>
    </w:p>
    <w:p w14:paraId="1AE54CE8" w14:textId="77777777" w:rsidR="00297D92" w:rsidRPr="00704FA1" w:rsidRDefault="00297D92" w:rsidP="00297D92">
      <w:pPr>
        <w:pStyle w:val="Default"/>
        <w:rPr>
          <w:rFonts w:asciiTheme="minorHAnsi" w:hAnsiTheme="minorHAnsi"/>
          <w:i/>
          <w:sz w:val="22"/>
          <w:szCs w:val="22"/>
        </w:rPr>
      </w:pPr>
      <w:r w:rsidRPr="00704FA1">
        <w:rPr>
          <w:rFonts w:asciiTheme="minorHAnsi" w:hAnsiTheme="minorHAnsi"/>
          <w:i/>
          <w:sz w:val="22"/>
          <w:szCs w:val="22"/>
        </w:rPr>
        <w:t xml:space="preserve">Step 4: </w:t>
      </w:r>
    </w:p>
    <w:p w14:paraId="32DEBD8D" w14:textId="77777777" w:rsidR="00704FA1" w:rsidRDefault="00297D92" w:rsidP="00297D92">
      <w:pPr>
        <w:pStyle w:val="Default"/>
        <w:rPr>
          <w:rFonts w:asciiTheme="minorHAnsi" w:hAnsiTheme="minorHAnsi"/>
          <w:color w:val="00B050"/>
          <w:sz w:val="22"/>
          <w:szCs w:val="22"/>
        </w:rPr>
      </w:pPr>
      <w:r w:rsidRPr="00704FA1">
        <w:rPr>
          <w:rFonts w:asciiTheme="minorHAnsi" w:hAnsiTheme="minorHAnsi"/>
          <w:color w:val="00B050"/>
          <w:sz w:val="22"/>
          <w:szCs w:val="22"/>
        </w:rPr>
        <w:t xml:space="preserve">= </w:t>
      </w:r>
      <w:r w:rsidR="00704FA1" w:rsidRPr="00704FA1">
        <w:rPr>
          <w:rFonts w:asciiTheme="minorHAnsi" w:hAnsiTheme="minorHAnsi"/>
          <w:color w:val="00B050"/>
          <w:sz w:val="22"/>
          <w:szCs w:val="22"/>
        </w:rPr>
        <w:t>PV</w:t>
      </w:r>
      <w:r w:rsidRPr="00704FA1">
        <w:rPr>
          <w:rFonts w:asciiTheme="minorHAnsi" w:hAnsiTheme="minorHAnsi"/>
          <w:color w:val="00B050"/>
          <w:sz w:val="22"/>
          <w:szCs w:val="22"/>
        </w:rPr>
        <w:t xml:space="preserve"> of future MOS Profits for all Inforce Business </w:t>
      </w:r>
    </w:p>
    <w:p w14:paraId="3C578355" w14:textId="4E8D13FD" w:rsidR="00B92FE2" w:rsidRDefault="00297D92" w:rsidP="00297D92">
      <w:pPr>
        <w:pStyle w:val="Default"/>
        <w:rPr>
          <w:rFonts w:asciiTheme="minorHAnsi" w:hAnsiTheme="minorHAnsi"/>
          <w:color w:val="FF0000"/>
          <w:sz w:val="22"/>
          <w:szCs w:val="22"/>
        </w:rPr>
      </w:pPr>
      <w:r w:rsidRPr="00704FA1">
        <w:rPr>
          <w:rFonts w:asciiTheme="minorHAnsi" w:hAnsiTheme="minorHAnsi"/>
          <w:color w:val="FF0000"/>
          <w:sz w:val="22"/>
          <w:szCs w:val="22"/>
        </w:rPr>
        <w:t>+ (</w:t>
      </w:r>
      <w:r w:rsidR="00704FA1" w:rsidRPr="00704FA1">
        <w:rPr>
          <w:rFonts w:asciiTheme="minorHAnsi" w:hAnsiTheme="minorHAnsi"/>
          <w:color w:val="FF0000"/>
          <w:sz w:val="22"/>
          <w:szCs w:val="22"/>
        </w:rPr>
        <w:t>PCR</w:t>
      </w:r>
      <w:r w:rsidRPr="00704FA1">
        <w:rPr>
          <w:rFonts w:asciiTheme="minorHAnsi" w:hAnsiTheme="minorHAnsi"/>
          <w:color w:val="FF0000"/>
          <w:sz w:val="22"/>
          <w:szCs w:val="22"/>
        </w:rPr>
        <w:t xml:space="preserve">(0) </w:t>
      </w:r>
      <w:r w:rsidR="00704FA1" w:rsidRPr="00704FA1">
        <w:rPr>
          <w:rFonts w:asciiTheme="minorHAnsi" w:hAnsiTheme="minorHAnsi" w:hint="eastAsia"/>
          <w:color w:val="FF0000"/>
          <w:sz w:val="22"/>
          <w:szCs w:val="22"/>
        </w:rPr>
        <w:t>–</w:t>
      </w:r>
      <w:r w:rsidRPr="00704FA1">
        <w:rPr>
          <w:rFonts w:asciiTheme="minorHAnsi" w:hAnsiTheme="minorHAnsi"/>
          <w:color w:val="FF0000"/>
          <w:sz w:val="22"/>
          <w:szCs w:val="22"/>
        </w:rPr>
        <w:t>Policy Liabilities(0) / 100) x Value of $100 of Capital</w:t>
      </w:r>
    </w:p>
    <w:p w14:paraId="08500AA1" w14:textId="77777777" w:rsidR="00704FA1" w:rsidRDefault="00704FA1" w:rsidP="00297D92">
      <w:pPr>
        <w:pStyle w:val="Default"/>
        <w:rPr>
          <w:rFonts w:asciiTheme="minorHAnsi" w:hAnsiTheme="minorHAnsi"/>
          <w:color w:val="FF0000"/>
          <w:sz w:val="22"/>
          <w:szCs w:val="22"/>
        </w:rPr>
      </w:pPr>
    </w:p>
    <w:p w14:paraId="691AFE77" w14:textId="77777777" w:rsidR="00D77AAC" w:rsidRDefault="00704FA1" w:rsidP="00297D92">
      <w:pPr>
        <w:pStyle w:val="Default"/>
        <w:rPr>
          <w:rFonts w:asciiTheme="minorHAnsi" w:hAnsiTheme="minorHAnsi"/>
          <w:sz w:val="22"/>
          <w:szCs w:val="22"/>
        </w:rPr>
      </w:pPr>
      <w:r w:rsidRPr="00704FA1">
        <w:rPr>
          <w:rFonts w:asciiTheme="minorHAnsi" w:hAnsiTheme="minorHAnsi"/>
          <w:sz w:val="22"/>
          <w:szCs w:val="22"/>
        </w:rPr>
        <w:t>iii</w:t>
      </w:r>
      <w:r>
        <w:rPr>
          <w:rFonts w:asciiTheme="minorHAnsi" w:hAnsiTheme="minorHAnsi"/>
          <w:sz w:val="22"/>
          <w:szCs w:val="22"/>
        </w:rPr>
        <w:t>. So, VIF = 1200 + [100</w:t>
      </w:r>
      <w:r w:rsidRPr="00704FA1">
        <w:rPr>
          <w:rFonts w:asciiTheme="minorHAnsi" w:hAnsiTheme="minorHAnsi" w:hint="eastAsia"/>
          <w:sz w:val="22"/>
          <w:szCs w:val="22"/>
        </w:rPr>
        <w:t>–</w:t>
      </w:r>
      <w:r>
        <w:rPr>
          <w:rFonts w:asciiTheme="minorHAnsi" w:hAnsiTheme="minorHAnsi"/>
          <w:sz w:val="22"/>
          <w:szCs w:val="22"/>
        </w:rPr>
        <w:t xml:space="preserve">(-200)] / 100 * 70 </w:t>
      </w:r>
    </w:p>
    <w:p w14:paraId="01B48840" w14:textId="4BA112E4" w:rsidR="00704FA1" w:rsidRDefault="00704FA1" w:rsidP="00297D92">
      <w:pPr>
        <w:pStyle w:val="Default"/>
        <w:rPr>
          <w:rFonts w:asciiTheme="minorHAnsi" w:hAnsiTheme="minorHAnsi"/>
          <w:sz w:val="22"/>
          <w:szCs w:val="22"/>
        </w:rPr>
      </w:pPr>
      <w:r>
        <w:rPr>
          <w:rFonts w:asciiTheme="minorHAnsi" w:hAnsiTheme="minorHAnsi"/>
          <w:sz w:val="22"/>
          <w:szCs w:val="22"/>
        </w:rPr>
        <w:t>= 1200 + 210 = 1410</w:t>
      </w:r>
    </w:p>
    <w:p w14:paraId="2CF9E076" w14:textId="77777777" w:rsidR="00361D14" w:rsidRDefault="00361D14" w:rsidP="00297D92">
      <w:pPr>
        <w:pStyle w:val="Default"/>
        <w:rPr>
          <w:rFonts w:asciiTheme="minorHAnsi" w:hAnsiTheme="minorHAnsi"/>
          <w:sz w:val="22"/>
          <w:szCs w:val="22"/>
        </w:rPr>
      </w:pPr>
    </w:p>
    <w:p w14:paraId="0924D06F" w14:textId="77777777" w:rsidR="00361D14" w:rsidRDefault="00361D14" w:rsidP="00297D92">
      <w:pPr>
        <w:pStyle w:val="Default"/>
        <w:rPr>
          <w:rFonts w:asciiTheme="minorHAnsi" w:hAnsiTheme="minorHAnsi"/>
          <w:sz w:val="22"/>
          <w:szCs w:val="22"/>
        </w:rPr>
      </w:pPr>
    </w:p>
    <w:p w14:paraId="14175F51" w14:textId="3DAA141A" w:rsidR="00840F97" w:rsidRPr="00840F97" w:rsidRDefault="00F124F5" w:rsidP="00840F97">
      <w:pPr>
        <w:pStyle w:val="Default"/>
        <w:rPr>
          <w:rFonts w:asciiTheme="minorHAnsi" w:hAnsiTheme="minorHAnsi"/>
          <w:sz w:val="22"/>
          <w:szCs w:val="22"/>
        </w:rPr>
      </w:pPr>
      <w:r>
        <w:rPr>
          <w:rFonts w:asciiTheme="minorHAnsi" w:hAnsiTheme="minorHAnsi"/>
          <w:sz w:val="22"/>
          <w:szCs w:val="22"/>
        </w:rPr>
        <w:t>3</w:t>
      </w:r>
      <w:r w:rsidR="00840F97">
        <w:rPr>
          <w:rFonts w:asciiTheme="minorHAnsi" w:hAnsiTheme="minorHAnsi"/>
          <w:sz w:val="22"/>
          <w:szCs w:val="22"/>
        </w:rPr>
        <w:t xml:space="preserve">c) Adjusted Net Worth </w:t>
      </w:r>
      <w:r w:rsidR="00840F97" w:rsidRPr="00840F97">
        <w:rPr>
          <w:rFonts w:asciiTheme="minorHAnsi" w:hAnsiTheme="minorHAnsi"/>
          <w:sz w:val="22"/>
          <w:szCs w:val="22"/>
        </w:rPr>
        <w:t>= Total Assets – Capital Adequacy Requirement</w:t>
      </w:r>
      <w:r w:rsidR="00840F97">
        <w:rPr>
          <w:rFonts w:asciiTheme="minorHAnsi" w:hAnsiTheme="minorHAnsi"/>
          <w:sz w:val="22"/>
          <w:szCs w:val="22"/>
        </w:rPr>
        <w:t xml:space="preserve"> - </w:t>
      </w:r>
      <w:r w:rsidR="00840F97" w:rsidRPr="00840F97">
        <w:rPr>
          <w:rFonts w:asciiTheme="minorHAnsi" w:hAnsiTheme="minorHAnsi"/>
          <w:sz w:val="22"/>
          <w:szCs w:val="22"/>
        </w:rPr>
        <w:t>Other Liabilities</w:t>
      </w:r>
    </w:p>
    <w:p w14:paraId="645CE353" w14:textId="5174861B" w:rsidR="00361D14" w:rsidRDefault="00840F97" w:rsidP="00840F97">
      <w:pPr>
        <w:pStyle w:val="Default"/>
        <w:rPr>
          <w:rFonts w:asciiTheme="minorHAnsi" w:hAnsiTheme="minorHAnsi"/>
          <w:sz w:val="22"/>
          <w:szCs w:val="22"/>
        </w:rPr>
      </w:pPr>
      <w:r>
        <w:rPr>
          <w:rFonts w:asciiTheme="minorHAnsi" w:hAnsiTheme="minorHAnsi"/>
          <w:sz w:val="22"/>
          <w:szCs w:val="22"/>
        </w:rPr>
        <w:t xml:space="preserve">Appraisal Value </w:t>
      </w:r>
      <w:r w:rsidRPr="00840F97">
        <w:rPr>
          <w:rFonts w:asciiTheme="minorHAnsi" w:hAnsiTheme="minorHAnsi"/>
          <w:sz w:val="22"/>
          <w:szCs w:val="22"/>
        </w:rPr>
        <w:t>= Adjusted Net Worth + Value Inforce + Value New Business</w:t>
      </w:r>
    </w:p>
    <w:p w14:paraId="7E49AA0C" w14:textId="77777777" w:rsidR="00840F97" w:rsidRDefault="00840F97" w:rsidP="00840F97">
      <w:pPr>
        <w:pStyle w:val="Default"/>
        <w:rPr>
          <w:rFonts w:asciiTheme="minorHAnsi" w:hAnsiTheme="minorHAnsi"/>
          <w:sz w:val="22"/>
          <w:szCs w:val="22"/>
        </w:rPr>
      </w:pPr>
    </w:p>
    <w:p w14:paraId="114CB8EB" w14:textId="257CE3D8" w:rsidR="00D12CBB" w:rsidRPr="00D12CBB" w:rsidRDefault="003B5271" w:rsidP="00D12CBB">
      <w:pPr>
        <w:pStyle w:val="Default"/>
        <w:rPr>
          <w:rFonts w:asciiTheme="minorHAnsi" w:hAnsiTheme="minorHAnsi"/>
          <w:sz w:val="22"/>
          <w:szCs w:val="22"/>
        </w:rPr>
      </w:pPr>
      <w:r>
        <w:rPr>
          <w:rFonts w:asciiTheme="minorHAnsi" w:hAnsiTheme="minorHAnsi"/>
          <w:sz w:val="22"/>
          <w:szCs w:val="22"/>
        </w:rPr>
        <w:t xml:space="preserve">3d) </w:t>
      </w:r>
      <w:r w:rsidR="00D12CBB">
        <w:rPr>
          <w:rFonts w:asciiTheme="minorHAnsi" w:hAnsiTheme="minorHAnsi"/>
          <w:sz w:val="22"/>
          <w:szCs w:val="22"/>
        </w:rPr>
        <w:t>i</w:t>
      </w:r>
      <w:r w:rsidR="0018339E">
        <w:rPr>
          <w:rFonts w:asciiTheme="minorHAnsi" w:hAnsiTheme="minorHAnsi"/>
          <w:sz w:val="22"/>
          <w:szCs w:val="22"/>
        </w:rPr>
        <w:t xml:space="preserve">i. </w:t>
      </w:r>
      <w:r w:rsidR="00D12CBB" w:rsidRPr="00D12CBB">
        <w:rPr>
          <w:rFonts w:asciiTheme="minorHAnsi" w:hAnsiTheme="minorHAnsi"/>
          <w:i/>
          <w:sz w:val="22"/>
          <w:szCs w:val="22"/>
        </w:rPr>
        <w:t>Factors to be considered in setting the risk discount rate for an Appraisal include:</w:t>
      </w:r>
    </w:p>
    <w:p w14:paraId="475EDB6C" w14:textId="3B84BF04" w:rsidR="00D12CBB" w:rsidRPr="00D12CBB" w:rsidRDefault="00D12CBB" w:rsidP="00ED0690">
      <w:pPr>
        <w:pStyle w:val="Default"/>
        <w:numPr>
          <w:ilvl w:val="0"/>
          <w:numId w:val="4"/>
        </w:numPr>
        <w:rPr>
          <w:rFonts w:asciiTheme="minorHAnsi" w:hAnsiTheme="minorHAnsi"/>
          <w:sz w:val="22"/>
          <w:szCs w:val="22"/>
        </w:rPr>
      </w:pPr>
      <w:r w:rsidRPr="00D12CBB">
        <w:rPr>
          <w:rFonts w:asciiTheme="minorHAnsi" w:hAnsiTheme="minorHAnsi"/>
          <w:sz w:val="22"/>
          <w:szCs w:val="22"/>
        </w:rPr>
        <w:t>The part of the Appraisal Value that is being calculated, VIF or VNB. VNB may have a higher risk discount rate than the VIF, as there is greater risk and uncertaint</w:t>
      </w:r>
      <w:r>
        <w:rPr>
          <w:rFonts w:asciiTheme="minorHAnsi" w:hAnsiTheme="minorHAnsi"/>
          <w:sz w:val="22"/>
          <w:szCs w:val="22"/>
        </w:rPr>
        <w:t>y associated with new business.</w:t>
      </w:r>
    </w:p>
    <w:p w14:paraId="1D14A616" w14:textId="12146944" w:rsidR="00D12CBB" w:rsidRPr="00D12CBB" w:rsidRDefault="00D12CBB" w:rsidP="00ED0690">
      <w:pPr>
        <w:pStyle w:val="Default"/>
        <w:numPr>
          <w:ilvl w:val="0"/>
          <w:numId w:val="4"/>
        </w:numPr>
        <w:rPr>
          <w:rFonts w:asciiTheme="minorHAnsi" w:hAnsiTheme="minorHAnsi"/>
          <w:sz w:val="22"/>
          <w:szCs w:val="22"/>
        </w:rPr>
      </w:pPr>
      <w:r w:rsidRPr="00D12CBB">
        <w:rPr>
          <w:rFonts w:asciiTheme="minorHAnsi" w:hAnsiTheme="minorHAnsi"/>
          <w:sz w:val="22"/>
          <w:szCs w:val="22"/>
        </w:rPr>
        <w:t>The greater the uncertainty and riskiness of the YRT cashflows, the</w:t>
      </w:r>
      <w:r>
        <w:rPr>
          <w:rFonts w:asciiTheme="minorHAnsi" w:hAnsiTheme="minorHAnsi"/>
          <w:sz w:val="22"/>
          <w:szCs w:val="22"/>
        </w:rPr>
        <w:t xml:space="preserve"> higher the risk discount rate.</w:t>
      </w:r>
    </w:p>
    <w:p w14:paraId="3C346A64" w14:textId="03961E85" w:rsidR="00D12CBB" w:rsidRPr="00D12CBB" w:rsidRDefault="00D12CBB" w:rsidP="00ED0690">
      <w:pPr>
        <w:pStyle w:val="Default"/>
        <w:numPr>
          <w:ilvl w:val="0"/>
          <w:numId w:val="4"/>
        </w:numPr>
        <w:rPr>
          <w:rFonts w:asciiTheme="minorHAnsi" w:hAnsiTheme="minorHAnsi"/>
          <w:sz w:val="22"/>
          <w:szCs w:val="22"/>
        </w:rPr>
      </w:pPr>
      <w:r w:rsidRPr="00D12CBB">
        <w:rPr>
          <w:rFonts w:asciiTheme="minorHAnsi" w:hAnsiTheme="minorHAnsi"/>
          <w:sz w:val="22"/>
          <w:szCs w:val="22"/>
        </w:rPr>
        <w:t xml:space="preserve">The assumed investment earning rate in the AV calculation, as the risk discount rate </w:t>
      </w:r>
      <w:r>
        <w:rPr>
          <w:rFonts w:asciiTheme="minorHAnsi" w:hAnsiTheme="minorHAnsi"/>
          <w:sz w:val="22"/>
          <w:szCs w:val="22"/>
        </w:rPr>
        <w:t>should be consistent with this.</w:t>
      </w:r>
    </w:p>
    <w:p w14:paraId="41E25459" w14:textId="2A705A9D" w:rsidR="00D12CBB" w:rsidRPr="00D12CBB" w:rsidRDefault="00D12CBB" w:rsidP="00ED0690">
      <w:pPr>
        <w:pStyle w:val="Default"/>
        <w:numPr>
          <w:ilvl w:val="0"/>
          <w:numId w:val="4"/>
        </w:numPr>
        <w:rPr>
          <w:rFonts w:asciiTheme="minorHAnsi" w:hAnsiTheme="minorHAnsi"/>
          <w:sz w:val="22"/>
          <w:szCs w:val="22"/>
        </w:rPr>
      </w:pPr>
      <w:r w:rsidRPr="00D12CBB">
        <w:rPr>
          <w:rFonts w:asciiTheme="minorHAnsi" w:hAnsiTheme="minorHAnsi"/>
          <w:sz w:val="22"/>
          <w:szCs w:val="22"/>
        </w:rPr>
        <w:t>T</w:t>
      </w:r>
      <w:r>
        <w:rPr>
          <w:rFonts w:asciiTheme="minorHAnsi" w:hAnsiTheme="minorHAnsi"/>
          <w:sz w:val="22"/>
          <w:szCs w:val="22"/>
        </w:rPr>
        <w:t>ax rate and imputation credits.</w:t>
      </w:r>
    </w:p>
    <w:p w14:paraId="6B0D924E" w14:textId="563FA672" w:rsidR="00840F97" w:rsidRDefault="00D12CBB" w:rsidP="00ED0690">
      <w:pPr>
        <w:pStyle w:val="Default"/>
        <w:numPr>
          <w:ilvl w:val="0"/>
          <w:numId w:val="4"/>
        </w:numPr>
        <w:rPr>
          <w:rFonts w:asciiTheme="minorHAnsi" w:hAnsiTheme="minorHAnsi"/>
          <w:sz w:val="22"/>
          <w:szCs w:val="22"/>
        </w:rPr>
      </w:pPr>
      <w:r w:rsidRPr="00D12CBB">
        <w:rPr>
          <w:rFonts w:asciiTheme="minorHAnsi" w:hAnsiTheme="minorHAnsi"/>
          <w:sz w:val="22"/>
          <w:szCs w:val="22"/>
        </w:rPr>
        <w:t>The published risk discount rates of the other life companies in the market.</w:t>
      </w:r>
    </w:p>
    <w:p w14:paraId="47EBF74C" w14:textId="77777777" w:rsidR="00D12CBB" w:rsidRDefault="00D12CBB" w:rsidP="00D12CBB">
      <w:pPr>
        <w:pStyle w:val="Default"/>
        <w:rPr>
          <w:rFonts w:asciiTheme="minorHAnsi" w:hAnsiTheme="minorHAnsi"/>
          <w:sz w:val="22"/>
          <w:szCs w:val="22"/>
        </w:rPr>
      </w:pPr>
    </w:p>
    <w:p w14:paraId="442E0960" w14:textId="77777777" w:rsidR="00491180" w:rsidRDefault="009207E9" w:rsidP="00491180">
      <w:pPr>
        <w:pStyle w:val="Default"/>
        <w:rPr>
          <w:rFonts w:asciiTheme="minorHAnsi" w:hAnsiTheme="minorHAnsi"/>
          <w:b/>
          <w:sz w:val="22"/>
          <w:szCs w:val="22"/>
        </w:rPr>
      </w:pPr>
      <w:r w:rsidRPr="009207E9">
        <w:rPr>
          <w:rFonts w:asciiTheme="minorHAnsi" w:hAnsiTheme="minorHAnsi"/>
          <w:b/>
          <w:sz w:val="22"/>
          <w:szCs w:val="22"/>
        </w:rPr>
        <w:t>Q4</w:t>
      </w:r>
      <w:r>
        <w:rPr>
          <w:rFonts w:asciiTheme="minorHAnsi" w:hAnsiTheme="minorHAnsi"/>
          <w:sz w:val="22"/>
          <w:szCs w:val="22"/>
        </w:rPr>
        <w:t xml:space="preserve"> a)</w:t>
      </w:r>
      <w:r w:rsidR="001860DE">
        <w:rPr>
          <w:rFonts w:asciiTheme="minorHAnsi" w:hAnsiTheme="minorHAnsi"/>
          <w:sz w:val="22"/>
          <w:szCs w:val="22"/>
        </w:rPr>
        <w:t xml:space="preserve"> </w:t>
      </w:r>
      <w:r w:rsidR="00491180" w:rsidRPr="00491180">
        <w:rPr>
          <w:rFonts w:asciiTheme="minorHAnsi" w:hAnsiTheme="minorHAnsi"/>
          <w:b/>
          <w:sz w:val="22"/>
          <w:szCs w:val="22"/>
        </w:rPr>
        <w:t>i. Principle:</w:t>
      </w:r>
    </w:p>
    <w:p w14:paraId="276CD7E7" w14:textId="352A7726" w:rsidR="00491180" w:rsidRPr="00491180" w:rsidRDefault="00491180" w:rsidP="00491180">
      <w:pPr>
        <w:pStyle w:val="Default"/>
        <w:rPr>
          <w:rFonts w:asciiTheme="minorHAnsi" w:hAnsiTheme="minorHAnsi"/>
          <w:b/>
          <w:color w:val="FF0000"/>
          <w:sz w:val="22"/>
          <w:szCs w:val="22"/>
        </w:rPr>
      </w:pPr>
      <w:r w:rsidRPr="00491180">
        <w:rPr>
          <w:rFonts w:asciiTheme="minorHAnsi" w:hAnsiTheme="minorHAnsi"/>
          <w:color w:val="FF0000"/>
          <w:sz w:val="22"/>
          <w:szCs w:val="22"/>
        </w:rPr>
        <w:lastRenderedPageBreak/>
        <w:t>In accordance with LPS1.04, there is a gradual release of profit margins in line with the later of:</w:t>
      </w:r>
    </w:p>
    <w:p w14:paraId="15A377DC" w14:textId="4AA74ADD" w:rsidR="00491180" w:rsidRPr="00491180" w:rsidRDefault="00491180" w:rsidP="00491180">
      <w:pPr>
        <w:pStyle w:val="Default"/>
        <w:numPr>
          <w:ilvl w:val="0"/>
          <w:numId w:val="5"/>
        </w:numPr>
        <w:rPr>
          <w:rFonts w:asciiTheme="minorHAnsi" w:hAnsiTheme="minorHAnsi"/>
          <w:color w:val="FF0000"/>
          <w:sz w:val="22"/>
          <w:szCs w:val="22"/>
        </w:rPr>
      </w:pPr>
      <w:r w:rsidRPr="00491180">
        <w:rPr>
          <w:rFonts w:asciiTheme="minorHAnsi" w:hAnsiTheme="minorHAnsi"/>
          <w:color w:val="FF0000"/>
          <w:sz w:val="22"/>
          <w:szCs w:val="22"/>
        </w:rPr>
        <w:t>the service being provided to the policyholder under the insurance contract and</w:t>
      </w:r>
    </w:p>
    <w:p w14:paraId="3B39FC94" w14:textId="0EEFEFA2" w:rsidR="00491180" w:rsidRPr="00491180" w:rsidRDefault="00491180" w:rsidP="00491180">
      <w:pPr>
        <w:pStyle w:val="Default"/>
        <w:numPr>
          <w:ilvl w:val="0"/>
          <w:numId w:val="5"/>
        </w:numPr>
        <w:rPr>
          <w:rFonts w:asciiTheme="minorHAnsi" w:hAnsiTheme="minorHAnsi"/>
          <w:color w:val="FF0000"/>
          <w:sz w:val="22"/>
          <w:szCs w:val="22"/>
        </w:rPr>
      </w:pPr>
      <w:r w:rsidRPr="00491180">
        <w:rPr>
          <w:rFonts w:asciiTheme="minorHAnsi" w:hAnsiTheme="minorHAnsi"/>
          <w:color w:val="FF0000"/>
          <w:sz w:val="22"/>
          <w:szCs w:val="22"/>
        </w:rPr>
        <w:t>the receipt of income relating to this service.</w:t>
      </w:r>
    </w:p>
    <w:p w14:paraId="36023713" w14:textId="77777777" w:rsidR="00491180" w:rsidRPr="00491180" w:rsidRDefault="00491180" w:rsidP="00491180">
      <w:pPr>
        <w:pStyle w:val="Default"/>
        <w:ind w:left="720"/>
        <w:rPr>
          <w:rFonts w:asciiTheme="minorHAnsi" w:hAnsiTheme="minorHAnsi"/>
          <w:sz w:val="22"/>
          <w:szCs w:val="22"/>
        </w:rPr>
      </w:pPr>
    </w:p>
    <w:p w14:paraId="7AE83098" w14:textId="42258F96" w:rsidR="00491180" w:rsidRPr="00491180" w:rsidRDefault="00491180" w:rsidP="00491180">
      <w:pPr>
        <w:pStyle w:val="Default"/>
        <w:rPr>
          <w:rFonts w:asciiTheme="minorHAnsi" w:hAnsiTheme="minorHAnsi"/>
          <w:b/>
          <w:sz w:val="22"/>
          <w:szCs w:val="22"/>
        </w:rPr>
      </w:pPr>
      <w:r w:rsidRPr="00491180">
        <w:rPr>
          <w:rFonts w:asciiTheme="minorHAnsi" w:hAnsiTheme="minorHAnsi"/>
          <w:b/>
          <w:sz w:val="22"/>
          <w:szCs w:val="22"/>
        </w:rPr>
        <w:t>ii. Service provided:</w:t>
      </w:r>
    </w:p>
    <w:p w14:paraId="389D279D" w14:textId="50C1ACDD" w:rsidR="00491180" w:rsidRDefault="00491180" w:rsidP="00491180">
      <w:pPr>
        <w:pStyle w:val="Default"/>
        <w:rPr>
          <w:rFonts w:asciiTheme="minorHAnsi" w:hAnsiTheme="minorHAnsi"/>
          <w:sz w:val="22"/>
          <w:szCs w:val="22"/>
        </w:rPr>
      </w:pPr>
      <w:r w:rsidRPr="00491180">
        <w:rPr>
          <w:rFonts w:asciiTheme="minorHAnsi" w:hAnsiTheme="minorHAnsi"/>
          <w:sz w:val="22"/>
          <w:szCs w:val="22"/>
        </w:rPr>
        <w:t>For a disability income product, the service provided is income protection insurance where for premiums paid the insurer will pay the policyholder a regular income through claim payments whilst the policyholder is temporarily disabled and cannot earn</w:t>
      </w:r>
      <w:r>
        <w:rPr>
          <w:rFonts w:asciiTheme="minorHAnsi" w:hAnsiTheme="minorHAnsi"/>
          <w:sz w:val="22"/>
          <w:szCs w:val="22"/>
        </w:rPr>
        <w:t xml:space="preserve"> his/her normal income.</w:t>
      </w:r>
    </w:p>
    <w:p w14:paraId="31118C41" w14:textId="77777777" w:rsidR="00491180" w:rsidRPr="00491180" w:rsidRDefault="00491180" w:rsidP="00491180">
      <w:pPr>
        <w:pStyle w:val="Default"/>
        <w:rPr>
          <w:rFonts w:asciiTheme="minorHAnsi" w:hAnsiTheme="minorHAnsi"/>
          <w:sz w:val="22"/>
          <w:szCs w:val="22"/>
        </w:rPr>
      </w:pPr>
    </w:p>
    <w:p w14:paraId="00057733" w14:textId="4A9A6184" w:rsidR="00491180" w:rsidRPr="00491180" w:rsidRDefault="00491180" w:rsidP="00491180">
      <w:pPr>
        <w:pStyle w:val="Default"/>
        <w:rPr>
          <w:rFonts w:asciiTheme="minorHAnsi" w:hAnsiTheme="minorHAnsi"/>
          <w:b/>
          <w:sz w:val="22"/>
          <w:szCs w:val="22"/>
        </w:rPr>
      </w:pPr>
      <w:r w:rsidRPr="00491180">
        <w:rPr>
          <w:rFonts w:asciiTheme="minorHAnsi" w:hAnsiTheme="minorHAnsi"/>
          <w:b/>
          <w:sz w:val="22"/>
          <w:szCs w:val="22"/>
        </w:rPr>
        <w:t>iii. Actual claims are more appropriate than actual premiums as a profit carrier:</w:t>
      </w:r>
    </w:p>
    <w:p w14:paraId="6CBA85BD" w14:textId="499B111B" w:rsidR="00491180" w:rsidRDefault="00491180" w:rsidP="00491180">
      <w:pPr>
        <w:pStyle w:val="Default"/>
        <w:rPr>
          <w:rFonts w:asciiTheme="minorHAnsi" w:hAnsiTheme="minorHAnsi"/>
          <w:sz w:val="22"/>
          <w:szCs w:val="22"/>
        </w:rPr>
      </w:pPr>
      <w:r w:rsidRPr="00491180">
        <w:rPr>
          <w:rFonts w:asciiTheme="minorHAnsi" w:hAnsiTheme="minorHAnsi"/>
          <w:sz w:val="22"/>
          <w:szCs w:val="22"/>
        </w:rPr>
        <w:t xml:space="preserve">For a disability income product, </w:t>
      </w:r>
      <w:r w:rsidRPr="00491180">
        <w:rPr>
          <w:rFonts w:asciiTheme="minorHAnsi" w:hAnsiTheme="minorHAnsi"/>
          <w:color w:val="FF0000"/>
          <w:sz w:val="22"/>
          <w:szCs w:val="22"/>
        </w:rPr>
        <w:t>actual claims occur later than premiums</w:t>
      </w:r>
      <w:r w:rsidRPr="00491180">
        <w:rPr>
          <w:rFonts w:asciiTheme="minorHAnsi" w:hAnsiTheme="minorHAnsi"/>
          <w:sz w:val="22"/>
          <w:szCs w:val="22"/>
        </w:rPr>
        <w:t xml:space="preserve">. Hence actual claims are more appropriate as a profit carrier than actual premiums, as it is more in line with </w:t>
      </w:r>
      <w:r>
        <w:rPr>
          <w:rFonts w:asciiTheme="minorHAnsi" w:hAnsiTheme="minorHAnsi"/>
          <w:sz w:val="22"/>
          <w:szCs w:val="22"/>
        </w:rPr>
        <w:t>the principle of LPS1.04 above.</w:t>
      </w:r>
    </w:p>
    <w:p w14:paraId="5CEC1545" w14:textId="77777777" w:rsidR="00491180" w:rsidRPr="00491180" w:rsidRDefault="00491180" w:rsidP="00491180">
      <w:pPr>
        <w:pStyle w:val="Default"/>
        <w:rPr>
          <w:rFonts w:asciiTheme="minorHAnsi" w:hAnsiTheme="minorHAnsi"/>
          <w:sz w:val="22"/>
          <w:szCs w:val="22"/>
        </w:rPr>
      </w:pPr>
    </w:p>
    <w:p w14:paraId="4AA995ED" w14:textId="2F9C3FF1" w:rsidR="00491180" w:rsidRPr="00491180" w:rsidRDefault="00491180" w:rsidP="00491180">
      <w:pPr>
        <w:pStyle w:val="Default"/>
        <w:rPr>
          <w:rFonts w:asciiTheme="minorHAnsi" w:hAnsiTheme="minorHAnsi"/>
          <w:b/>
          <w:sz w:val="22"/>
          <w:szCs w:val="22"/>
        </w:rPr>
      </w:pPr>
      <w:r w:rsidRPr="00491180">
        <w:rPr>
          <w:rFonts w:asciiTheme="minorHAnsi" w:hAnsiTheme="minorHAnsi"/>
          <w:b/>
          <w:sz w:val="22"/>
          <w:szCs w:val="22"/>
        </w:rPr>
        <w:t>iv. Expected claims (adjusted for premium volumes) are more appropriate than actual claims as a profit carrier:</w:t>
      </w:r>
    </w:p>
    <w:p w14:paraId="66E98CDF" w14:textId="77777777" w:rsidR="00491180" w:rsidRPr="00491180" w:rsidRDefault="00491180" w:rsidP="00491180">
      <w:pPr>
        <w:pStyle w:val="Default"/>
        <w:spacing w:after="60"/>
        <w:rPr>
          <w:rFonts w:asciiTheme="minorHAnsi" w:hAnsiTheme="minorHAnsi"/>
          <w:sz w:val="22"/>
          <w:szCs w:val="22"/>
        </w:rPr>
      </w:pPr>
      <w:r w:rsidRPr="00491180">
        <w:rPr>
          <w:rFonts w:asciiTheme="minorHAnsi" w:hAnsiTheme="minorHAnsi"/>
          <w:sz w:val="22"/>
          <w:szCs w:val="22"/>
        </w:rPr>
        <w:t>If actual claims are used as a profit carrier, the wrong message is being sent regarding profits. If actual claims are high, then this makes planned profits higher, but this is counter intuitive. If claims are low, then this makes profit lower which is also counter intuitive.</w:t>
      </w:r>
    </w:p>
    <w:p w14:paraId="234EE132" w14:textId="28AA6283" w:rsidR="00D12CBB" w:rsidRDefault="00491180" w:rsidP="00491180">
      <w:pPr>
        <w:pStyle w:val="Default"/>
        <w:rPr>
          <w:rFonts w:asciiTheme="minorHAnsi" w:hAnsiTheme="minorHAnsi"/>
          <w:sz w:val="22"/>
          <w:szCs w:val="22"/>
        </w:rPr>
      </w:pPr>
      <w:r w:rsidRPr="00491180">
        <w:rPr>
          <w:rFonts w:asciiTheme="minorHAnsi" w:hAnsiTheme="minorHAnsi"/>
          <w:sz w:val="22"/>
          <w:szCs w:val="22"/>
        </w:rPr>
        <w:t>Expected claims (adjusted for actual premium volumes) makes more sense as a profit carrier as it relates to the service being provided and gives the correct message about profit. If actual premiums are higher, then expected claims (adjusted for premium volumes) are higher, leading to higher pr</w:t>
      </w:r>
      <w:r>
        <w:rPr>
          <w:rFonts w:asciiTheme="minorHAnsi" w:hAnsiTheme="minorHAnsi"/>
          <w:sz w:val="22"/>
          <w:szCs w:val="22"/>
        </w:rPr>
        <w:t>ofits, which is more sensible.</w:t>
      </w:r>
    </w:p>
    <w:p w14:paraId="2B91F908" w14:textId="77777777" w:rsidR="00491180" w:rsidRDefault="00491180" w:rsidP="00491180">
      <w:pPr>
        <w:pStyle w:val="Default"/>
        <w:rPr>
          <w:rFonts w:asciiTheme="minorHAnsi" w:hAnsiTheme="minorHAnsi"/>
          <w:sz w:val="22"/>
          <w:szCs w:val="22"/>
        </w:rPr>
      </w:pPr>
    </w:p>
    <w:p w14:paraId="6D66EDCE" w14:textId="4C8977B0" w:rsidR="00C93ADF" w:rsidRPr="00C93ADF" w:rsidRDefault="00491180" w:rsidP="00C93ADF">
      <w:pPr>
        <w:pStyle w:val="Default"/>
        <w:spacing w:after="60"/>
        <w:rPr>
          <w:rFonts w:asciiTheme="minorHAnsi" w:hAnsiTheme="minorHAnsi"/>
          <w:sz w:val="22"/>
          <w:szCs w:val="22"/>
        </w:rPr>
      </w:pPr>
      <w:r>
        <w:rPr>
          <w:rFonts w:asciiTheme="minorHAnsi" w:hAnsiTheme="minorHAnsi"/>
          <w:sz w:val="22"/>
          <w:szCs w:val="22"/>
        </w:rPr>
        <w:t>4b)</w:t>
      </w:r>
      <w:r w:rsidR="00CF7E2D">
        <w:rPr>
          <w:rFonts w:asciiTheme="minorHAnsi" w:hAnsiTheme="minorHAnsi"/>
          <w:sz w:val="22"/>
          <w:szCs w:val="22"/>
        </w:rPr>
        <w:t xml:space="preserve"> </w:t>
      </w:r>
      <w:r w:rsidR="00C93ADF">
        <w:rPr>
          <w:rFonts w:asciiTheme="minorHAnsi" w:hAnsiTheme="minorHAnsi"/>
          <w:sz w:val="22"/>
          <w:szCs w:val="22"/>
        </w:rPr>
        <w:t>i.</w:t>
      </w:r>
      <w:r w:rsidR="00C93ADF" w:rsidRPr="00C93ADF">
        <w:rPr>
          <w:rFonts w:asciiTheme="minorHAnsi" w:hAnsiTheme="minorHAnsi"/>
          <w:sz w:val="22"/>
          <w:szCs w:val="22"/>
        </w:rPr>
        <w:t xml:space="preserve"> </w:t>
      </w:r>
      <w:r w:rsidR="00C93ADF" w:rsidRPr="00C93ADF">
        <w:rPr>
          <w:rFonts w:asciiTheme="minorHAnsi" w:hAnsiTheme="minorHAnsi"/>
          <w:i/>
          <w:sz w:val="22"/>
          <w:szCs w:val="22"/>
        </w:rPr>
        <w:t>Economic assumption changes that may have contributed to profit volatility are:</w:t>
      </w:r>
    </w:p>
    <w:p w14:paraId="20BDF68B" w14:textId="77777777" w:rsidR="00C93ADF" w:rsidRPr="00C93ADF" w:rsidRDefault="00C93ADF" w:rsidP="00C93ADF">
      <w:pPr>
        <w:pStyle w:val="Default"/>
        <w:spacing w:after="60"/>
        <w:rPr>
          <w:rFonts w:asciiTheme="minorHAnsi" w:hAnsiTheme="minorHAnsi"/>
          <w:b/>
          <w:sz w:val="22"/>
          <w:szCs w:val="22"/>
        </w:rPr>
      </w:pPr>
      <w:r w:rsidRPr="00C93ADF">
        <w:rPr>
          <w:rFonts w:asciiTheme="minorHAnsi" w:hAnsiTheme="minorHAnsi"/>
          <w:b/>
          <w:sz w:val="22"/>
          <w:szCs w:val="22"/>
        </w:rPr>
        <w:t xml:space="preserve">Change in the </w:t>
      </w:r>
      <w:r w:rsidRPr="00C93ADF">
        <w:rPr>
          <w:rFonts w:asciiTheme="minorHAnsi" w:hAnsiTheme="minorHAnsi"/>
          <w:b/>
          <w:color w:val="FF0000"/>
          <w:sz w:val="22"/>
          <w:szCs w:val="22"/>
        </w:rPr>
        <w:t xml:space="preserve">risk discount rate </w:t>
      </w:r>
      <w:r w:rsidRPr="00C93ADF">
        <w:rPr>
          <w:rFonts w:asciiTheme="minorHAnsi" w:hAnsiTheme="minorHAnsi"/>
          <w:b/>
          <w:sz w:val="22"/>
          <w:szCs w:val="22"/>
        </w:rPr>
        <w:t xml:space="preserve">assumption for </w:t>
      </w:r>
      <w:r w:rsidRPr="00C93ADF">
        <w:rPr>
          <w:rFonts w:asciiTheme="minorHAnsi" w:hAnsiTheme="minorHAnsi"/>
          <w:b/>
          <w:sz w:val="22"/>
          <w:szCs w:val="22"/>
          <w:u w:val="single"/>
        </w:rPr>
        <w:t>active lives</w:t>
      </w:r>
      <w:r w:rsidRPr="00C93ADF">
        <w:rPr>
          <w:rFonts w:asciiTheme="minorHAnsi" w:hAnsiTheme="minorHAnsi"/>
          <w:b/>
          <w:sz w:val="22"/>
          <w:szCs w:val="22"/>
        </w:rPr>
        <w:t>:</w:t>
      </w:r>
    </w:p>
    <w:p w14:paraId="32A7EBF8" w14:textId="3ED5DE4D" w:rsidR="00C93ADF" w:rsidRPr="00C93ADF" w:rsidRDefault="00C93ADF" w:rsidP="00C93ADF">
      <w:pPr>
        <w:pStyle w:val="Default"/>
        <w:numPr>
          <w:ilvl w:val="0"/>
          <w:numId w:val="5"/>
        </w:numPr>
        <w:spacing w:after="60"/>
        <w:rPr>
          <w:rFonts w:asciiTheme="minorHAnsi" w:hAnsiTheme="minorHAnsi"/>
          <w:sz w:val="22"/>
          <w:szCs w:val="22"/>
        </w:rPr>
      </w:pPr>
      <w:r w:rsidRPr="00C93ADF">
        <w:rPr>
          <w:rFonts w:asciiTheme="minorHAnsi" w:hAnsiTheme="minorHAnsi"/>
          <w:color w:val="FF0000"/>
          <w:sz w:val="22"/>
          <w:szCs w:val="22"/>
        </w:rPr>
        <w:t xml:space="preserve">Under the accounting standards, the risk discount rate for the active lives policy liability must be calculated as the risk free rate of a matching replicating portfolio </w:t>
      </w:r>
      <w:r w:rsidRPr="00C93ADF">
        <w:rPr>
          <w:rFonts w:asciiTheme="minorHAnsi" w:hAnsiTheme="minorHAnsi"/>
          <w:sz w:val="22"/>
          <w:szCs w:val="22"/>
        </w:rPr>
        <w:t>(typically 10 year commonwealth bonds or 10 year inter-bank swap rates).</w:t>
      </w:r>
    </w:p>
    <w:p w14:paraId="783909A1" w14:textId="3F13BE94" w:rsidR="00C93ADF" w:rsidRPr="00C93ADF" w:rsidRDefault="00C93ADF" w:rsidP="00C93ADF">
      <w:pPr>
        <w:pStyle w:val="Default"/>
        <w:numPr>
          <w:ilvl w:val="0"/>
          <w:numId w:val="6"/>
        </w:numPr>
        <w:spacing w:after="60"/>
        <w:rPr>
          <w:rFonts w:asciiTheme="minorHAnsi" w:hAnsiTheme="minorHAnsi"/>
          <w:color w:val="FF0000"/>
          <w:sz w:val="22"/>
          <w:szCs w:val="22"/>
        </w:rPr>
      </w:pPr>
      <w:r w:rsidRPr="00C93ADF">
        <w:rPr>
          <w:rFonts w:asciiTheme="minorHAnsi" w:hAnsiTheme="minorHAnsi"/>
          <w:color w:val="FF0000"/>
          <w:sz w:val="22"/>
          <w:szCs w:val="22"/>
        </w:rPr>
        <w:t>The impact of the change in the risk discount rate must be capitalised as it cannot be spread through profit margins.</w:t>
      </w:r>
    </w:p>
    <w:p w14:paraId="3F3351C3" w14:textId="7383116C" w:rsidR="00C93ADF" w:rsidRPr="00C93ADF" w:rsidRDefault="00C93ADF" w:rsidP="00C93ADF">
      <w:pPr>
        <w:pStyle w:val="Default"/>
        <w:numPr>
          <w:ilvl w:val="0"/>
          <w:numId w:val="6"/>
        </w:numPr>
        <w:spacing w:after="60"/>
        <w:rPr>
          <w:rFonts w:asciiTheme="minorHAnsi" w:hAnsiTheme="minorHAnsi"/>
          <w:sz w:val="22"/>
          <w:szCs w:val="22"/>
        </w:rPr>
      </w:pPr>
      <w:r w:rsidRPr="00C93ADF">
        <w:rPr>
          <w:rFonts w:asciiTheme="minorHAnsi" w:hAnsiTheme="minorHAnsi"/>
          <w:sz w:val="22"/>
          <w:szCs w:val="22"/>
        </w:rPr>
        <w:t xml:space="preserve">As the active lives policy liability is </w:t>
      </w:r>
      <w:r w:rsidRPr="00C93ADF">
        <w:rPr>
          <w:rFonts w:asciiTheme="minorHAnsi" w:hAnsiTheme="minorHAnsi"/>
          <w:color w:val="FF0000"/>
          <w:sz w:val="22"/>
          <w:szCs w:val="22"/>
        </w:rPr>
        <w:t>a large negative policy liability (i.e. an asset)</w:t>
      </w:r>
      <w:r w:rsidRPr="00C93ADF">
        <w:rPr>
          <w:rFonts w:asciiTheme="minorHAnsi" w:hAnsiTheme="minorHAnsi"/>
          <w:sz w:val="22"/>
          <w:szCs w:val="22"/>
        </w:rPr>
        <w:t xml:space="preserve">, there is no matching asset to offset the change in policy liability. Hence a change in the risk discount rate can cause a large change in the policy liability with a significant impact on profit. </w:t>
      </w:r>
    </w:p>
    <w:p w14:paraId="2ED46B73" w14:textId="7CD248D6" w:rsidR="00C93ADF" w:rsidRDefault="00C93ADF" w:rsidP="00C93ADF">
      <w:pPr>
        <w:pStyle w:val="Default"/>
        <w:numPr>
          <w:ilvl w:val="0"/>
          <w:numId w:val="6"/>
        </w:numPr>
        <w:spacing w:after="60"/>
        <w:rPr>
          <w:rFonts w:asciiTheme="minorHAnsi" w:hAnsiTheme="minorHAnsi"/>
          <w:sz w:val="22"/>
          <w:szCs w:val="22"/>
        </w:rPr>
      </w:pPr>
      <w:r w:rsidRPr="00C93ADF">
        <w:rPr>
          <w:rFonts w:asciiTheme="minorHAnsi" w:hAnsiTheme="minorHAnsi"/>
          <w:sz w:val="22"/>
          <w:szCs w:val="22"/>
        </w:rPr>
        <w:t>For example, a modest 0.5% increase in the risk discount rate increases the active lives policy liability by $30m (=$600m x 0.5% x 10)</w:t>
      </w:r>
      <w:r>
        <w:rPr>
          <w:rFonts w:asciiTheme="minorHAnsi" w:hAnsiTheme="minorHAnsi"/>
          <w:sz w:val="22"/>
          <w:szCs w:val="22"/>
        </w:rPr>
        <w:t xml:space="preserve"> and thus generates a $30m loss.</w:t>
      </w:r>
    </w:p>
    <w:p w14:paraId="1E9CB4D6" w14:textId="77777777" w:rsidR="00C93ADF" w:rsidRPr="00C93ADF" w:rsidRDefault="00C93ADF" w:rsidP="00C93ADF">
      <w:pPr>
        <w:pStyle w:val="Default"/>
        <w:spacing w:after="60"/>
        <w:ind w:left="720"/>
        <w:rPr>
          <w:rFonts w:asciiTheme="minorHAnsi" w:hAnsiTheme="minorHAnsi"/>
          <w:sz w:val="22"/>
          <w:szCs w:val="22"/>
        </w:rPr>
      </w:pPr>
    </w:p>
    <w:p w14:paraId="577E9403" w14:textId="77777777" w:rsidR="00C93ADF" w:rsidRPr="00C93ADF" w:rsidRDefault="00C93ADF" w:rsidP="00C93ADF">
      <w:pPr>
        <w:pStyle w:val="Default"/>
        <w:spacing w:after="60"/>
        <w:rPr>
          <w:rFonts w:asciiTheme="minorHAnsi" w:hAnsiTheme="minorHAnsi"/>
          <w:b/>
          <w:sz w:val="22"/>
          <w:szCs w:val="22"/>
        </w:rPr>
      </w:pPr>
      <w:r w:rsidRPr="00C93ADF">
        <w:rPr>
          <w:rFonts w:asciiTheme="minorHAnsi" w:hAnsiTheme="minorHAnsi"/>
          <w:b/>
          <w:sz w:val="22"/>
          <w:szCs w:val="22"/>
        </w:rPr>
        <w:t xml:space="preserve">Change in the </w:t>
      </w:r>
      <w:r w:rsidRPr="00C93ADF">
        <w:rPr>
          <w:rFonts w:asciiTheme="minorHAnsi" w:hAnsiTheme="minorHAnsi"/>
          <w:b/>
          <w:color w:val="FF0000"/>
          <w:sz w:val="22"/>
          <w:szCs w:val="22"/>
        </w:rPr>
        <w:t>risk discount rate</w:t>
      </w:r>
      <w:r w:rsidRPr="00C93ADF">
        <w:rPr>
          <w:rFonts w:asciiTheme="minorHAnsi" w:hAnsiTheme="minorHAnsi"/>
          <w:b/>
          <w:sz w:val="22"/>
          <w:szCs w:val="22"/>
        </w:rPr>
        <w:t xml:space="preserve"> assumption for </w:t>
      </w:r>
      <w:r w:rsidRPr="00C93ADF">
        <w:rPr>
          <w:rFonts w:asciiTheme="minorHAnsi" w:hAnsiTheme="minorHAnsi"/>
          <w:b/>
          <w:sz w:val="22"/>
          <w:szCs w:val="22"/>
          <w:u w:val="single"/>
        </w:rPr>
        <w:t>DLR</w:t>
      </w:r>
      <w:r w:rsidRPr="00C93ADF">
        <w:rPr>
          <w:rFonts w:asciiTheme="minorHAnsi" w:hAnsiTheme="minorHAnsi"/>
          <w:b/>
          <w:sz w:val="22"/>
          <w:szCs w:val="22"/>
        </w:rPr>
        <w:t>:</w:t>
      </w:r>
    </w:p>
    <w:p w14:paraId="5245DC3F" w14:textId="77777777" w:rsidR="00C93ADF" w:rsidRDefault="00C93ADF" w:rsidP="00C93ADF">
      <w:pPr>
        <w:pStyle w:val="Default"/>
        <w:numPr>
          <w:ilvl w:val="0"/>
          <w:numId w:val="7"/>
        </w:numPr>
        <w:spacing w:after="60"/>
        <w:rPr>
          <w:rFonts w:asciiTheme="minorHAnsi" w:hAnsiTheme="minorHAnsi"/>
          <w:sz w:val="22"/>
          <w:szCs w:val="22"/>
        </w:rPr>
      </w:pPr>
      <w:r w:rsidRPr="00C93ADF">
        <w:rPr>
          <w:rFonts w:asciiTheme="minorHAnsi" w:hAnsiTheme="minorHAnsi"/>
          <w:sz w:val="22"/>
          <w:szCs w:val="22"/>
        </w:rPr>
        <w:t>Under the accounting standards, the risk discount rate for the DLR must be calculated as the risk free rate of a matching replicating portfolio (such as commonwealth government b</w:t>
      </w:r>
      <w:r>
        <w:rPr>
          <w:rFonts w:asciiTheme="minorHAnsi" w:hAnsiTheme="minorHAnsi"/>
          <w:sz w:val="22"/>
          <w:szCs w:val="22"/>
        </w:rPr>
        <w:t>onds or inter-bank swap rates).</w:t>
      </w:r>
    </w:p>
    <w:p w14:paraId="1A0B7FA6" w14:textId="5D1F452F" w:rsidR="00491180" w:rsidRDefault="00C93ADF" w:rsidP="00C93ADF">
      <w:pPr>
        <w:pStyle w:val="Default"/>
        <w:numPr>
          <w:ilvl w:val="0"/>
          <w:numId w:val="7"/>
        </w:numPr>
        <w:spacing w:after="60"/>
        <w:rPr>
          <w:rFonts w:asciiTheme="minorHAnsi" w:hAnsiTheme="minorHAnsi"/>
          <w:sz w:val="22"/>
          <w:szCs w:val="22"/>
        </w:rPr>
      </w:pPr>
      <w:r w:rsidRPr="00C93ADF">
        <w:rPr>
          <w:rFonts w:asciiTheme="minorHAnsi" w:hAnsiTheme="minorHAnsi"/>
          <w:sz w:val="22"/>
          <w:szCs w:val="22"/>
        </w:rPr>
        <w:t xml:space="preserve">Even though the DLR is matched by suitable assets, profit volatility can arise as the change in the risk discount rate for the DLR may not be the same as the change in the </w:t>
      </w:r>
      <w:r w:rsidRPr="00C93ADF">
        <w:rPr>
          <w:rFonts w:asciiTheme="minorHAnsi" w:hAnsiTheme="minorHAnsi"/>
          <w:sz w:val="22"/>
          <w:szCs w:val="22"/>
        </w:rPr>
        <w:lastRenderedPageBreak/>
        <w:t>market yield of the assets. Hence, the change in DLR does not match the change in the market value of the assets.</w:t>
      </w:r>
    </w:p>
    <w:p w14:paraId="13AE1649" w14:textId="77777777" w:rsidR="00C93ADF" w:rsidRPr="00C93ADF" w:rsidRDefault="00C93ADF" w:rsidP="00C93ADF">
      <w:pPr>
        <w:pStyle w:val="Default"/>
        <w:spacing w:after="60"/>
        <w:ind w:left="720"/>
        <w:rPr>
          <w:rFonts w:asciiTheme="minorHAnsi" w:hAnsiTheme="minorHAnsi"/>
          <w:sz w:val="22"/>
          <w:szCs w:val="22"/>
        </w:rPr>
      </w:pPr>
    </w:p>
    <w:p w14:paraId="21F9B2A1" w14:textId="5A61145E" w:rsidR="00C93ADF" w:rsidRPr="00C93ADF" w:rsidRDefault="00C93ADF" w:rsidP="00C93ADF">
      <w:pPr>
        <w:pStyle w:val="Default"/>
        <w:spacing w:after="60"/>
        <w:rPr>
          <w:rFonts w:asciiTheme="minorHAnsi" w:hAnsiTheme="minorHAnsi"/>
          <w:sz w:val="22"/>
          <w:szCs w:val="22"/>
        </w:rPr>
      </w:pPr>
      <w:r w:rsidRPr="00C93ADF">
        <w:rPr>
          <w:rFonts w:asciiTheme="minorHAnsi" w:hAnsiTheme="minorHAnsi"/>
          <w:sz w:val="22"/>
          <w:szCs w:val="22"/>
        </w:rPr>
        <w:t>ii</w:t>
      </w:r>
      <w:r>
        <w:rPr>
          <w:rFonts w:asciiTheme="minorHAnsi" w:hAnsiTheme="minorHAnsi"/>
          <w:sz w:val="22"/>
          <w:szCs w:val="22"/>
        </w:rPr>
        <w:t>.</w:t>
      </w:r>
      <w:r w:rsidRPr="00C93ADF">
        <w:rPr>
          <w:rFonts w:asciiTheme="minorHAnsi" w:hAnsiTheme="minorHAnsi"/>
          <w:sz w:val="22"/>
          <w:szCs w:val="22"/>
        </w:rPr>
        <w:t xml:space="preserve"> </w:t>
      </w:r>
      <w:r w:rsidRPr="000C0255">
        <w:rPr>
          <w:rFonts w:asciiTheme="minorHAnsi" w:hAnsiTheme="minorHAnsi"/>
          <w:i/>
          <w:sz w:val="22"/>
          <w:szCs w:val="22"/>
        </w:rPr>
        <w:t>Non-economic assumption changes that may have contributed to profit volatility include:</w:t>
      </w:r>
    </w:p>
    <w:p w14:paraId="03469592" w14:textId="77777777" w:rsidR="00C93ADF" w:rsidRPr="000C0255" w:rsidRDefault="00C93ADF" w:rsidP="00C93ADF">
      <w:pPr>
        <w:pStyle w:val="Default"/>
        <w:spacing w:after="60"/>
        <w:rPr>
          <w:rFonts w:asciiTheme="minorHAnsi" w:hAnsiTheme="minorHAnsi"/>
          <w:b/>
          <w:sz w:val="22"/>
          <w:szCs w:val="22"/>
        </w:rPr>
      </w:pPr>
      <w:r w:rsidRPr="000C0255">
        <w:rPr>
          <w:rFonts w:asciiTheme="minorHAnsi" w:hAnsiTheme="minorHAnsi"/>
          <w:b/>
          <w:sz w:val="22"/>
          <w:szCs w:val="22"/>
        </w:rPr>
        <w:t xml:space="preserve">Change in assumptions </w:t>
      </w:r>
      <w:r w:rsidRPr="00614762">
        <w:rPr>
          <w:rFonts w:asciiTheme="minorHAnsi" w:hAnsiTheme="minorHAnsi"/>
          <w:b/>
          <w:color w:val="FF0000"/>
          <w:sz w:val="22"/>
          <w:szCs w:val="22"/>
        </w:rPr>
        <w:t>causing loss recognition</w:t>
      </w:r>
      <w:r w:rsidRPr="000C0255">
        <w:rPr>
          <w:rFonts w:asciiTheme="minorHAnsi" w:hAnsiTheme="minorHAnsi"/>
          <w:b/>
          <w:sz w:val="22"/>
          <w:szCs w:val="22"/>
        </w:rPr>
        <w:t>:</w:t>
      </w:r>
    </w:p>
    <w:p w14:paraId="45E4B5AA" w14:textId="5EE2C4FA" w:rsidR="00C93ADF" w:rsidRPr="00C93ADF" w:rsidRDefault="00C93ADF" w:rsidP="000C0255">
      <w:pPr>
        <w:pStyle w:val="Default"/>
        <w:numPr>
          <w:ilvl w:val="0"/>
          <w:numId w:val="7"/>
        </w:numPr>
        <w:spacing w:after="60"/>
        <w:rPr>
          <w:rFonts w:asciiTheme="minorHAnsi" w:hAnsiTheme="minorHAnsi"/>
          <w:sz w:val="22"/>
          <w:szCs w:val="22"/>
        </w:rPr>
      </w:pPr>
      <w:r w:rsidRPr="00C93ADF">
        <w:rPr>
          <w:rFonts w:asciiTheme="minorHAnsi" w:hAnsiTheme="minorHAnsi"/>
          <w:sz w:val="22"/>
          <w:szCs w:val="22"/>
        </w:rPr>
        <w:t>If loss recognition occurs, profit volatility can arise from the capitalisation of changes in key assumptions (lapses, maintenance expenses, incidence rates and termination rates) that impact the</w:t>
      </w:r>
      <w:r w:rsidR="000C0255">
        <w:rPr>
          <w:rFonts w:asciiTheme="minorHAnsi" w:hAnsiTheme="minorHAnsi"/>
          <w:sz w:val="22"/>
          <w:szCs w:val="22"/>
        </w:rPr>
        <w:t xml:space="preserve"> active lives policy liability.</w:t>
      </w:r>
    </w:p>
    <w:p w14:paraId="721A1A5E" w14:textId="77777777" w:rsidR="00C93ADF" w:rsidRPr="000C0255" w:rsidRDefault="00C93ADF" w:rsidP="00C93ADF">
      <w:pPr>
        <w:pStyle w:val="Default"/>
        <w:spacing w:after="60"/>
        <w:rPr>
          <w:rFonts w:asciiTheme="minorHAnsi" w:hAnsiTheme="minorHAnsi"/>
          <w:b/>
          <w:sz w:val="22"/>
          <w:szCs w:val="22"/>
        </w:rPr>
      </w:pPr>
      <w:r w:rsidRPr="000C0255">
        <w:rPr>
          <w:rFonts w:asciiTheme="minorHAnsi" w:hAnsiTheme="minorHAnsi"/>
          <w:b/>
          <w:sz w:val="22"/>
          <w:szCs w:val="22"/>
        </w:rPr>
        <w:t>Changes in IBNR assumptions:</w:t>
      </w:r>
    </w:p>
    <w:p w14:paraId="6E72704C" w14:textId="656D802D" w:rsidR="00C93ADF" w:rsidRPr="00C93ADF" w:rsidRDefault="00C93ADF" w:rsidP="000C0255">
      <w:pPr>
        <w:pStyle w:val="Default"/>
        <w:numPr>
          <w:ilvl w:val="0"/>
          <w:numId w:val="7"/>
        </w:numPr>
        <w:spacing w:after="60"/>
        <w:rPr>
          <w:rFonts w:asciiTheme="minorHAnsi" w:hAnsiTheme="minorHAnsi"/>
          <w:sz w:val="22"/>
          <w:szCs w:val="22"/>
        </w:rPr>
      </w:pPr>
      <w:r w:rsidRPr="00C93ADF">
        <w:rPr>
          <w:rFonts w:asciiTheme="minorHAnsi" w:hAnsiTheme="minorHAnsi"/>
          <w:sz w:val="22"/>
          <w:szCs w:val="22"/>
        </w:rPr>
        <w:t xml:space="preserve">Profit volatility can arise from changes to the IBNR assumptions (risk claims ratio and average delay period), as the impacts are immediately capitalised </w:t>
      </w:r>
      <w:r w:rsidR="000C0255">
        <w:rPr>
          <w:rFonts w:asciiTheme="minorHAnsi" w:hAnsiTheme="minorHAnsi"/>
          <w:sz w:val="22"/>
          <w:szCs w:val="22"/>
        </w:rPr>
        <w:t>and flows directly into profit.</w:t>
      </w:r>
    </w:p>
    <w:p w14:paraId="374AFFE2" w14:textId="77777777" w:rsidR="00C93ADF" w:rsidRPr="000C0255" w:rsidRDefault="00C93ADF" w:rsidP="00C93ADF">
      <w:pPr>
        <w:pStyle w:val="Default"/>
        <w:spacing w:after="60"/>
        <w:rPr>
          <w:rFonts w:asciiTheme="minorHAnsi" w:hAnsiTheme="minorHAnsi"/>
          <w:b/>
          <w:sz w:val="22"/>
          <w:szCs w:val="22"/>
        </w:rPr>
      </w:pPr>
      <w:r w:rsidRPr="000C0255">
        <w:rPr>
          <w:rFonts w:asciiTheme="minorHAnsi" w:hAnsiTheme="minorHAnsi"/>
          <w:b/>
          <w:sz w:val="22"/>
          <w:szCs w:val="22"/>
        </w:rPr>
        <w:t>Changes in RBNA assumptions:</w:t>
      </w:r>
    </w:p>
    <w:p w14:paraId="534746B6" w14:textId="2A37A330" w:rsidR="00C93ADF" w:rsidRPr="00C93ADF" w:rsidRDefault="00C93ADF" w:rsidP="000C0255">
      <w:pPr>
        <w:pStyle w:val="Default"/>
        <w:numPr>
          <w:ilvl w:val="0"/>
          <w:numId w:val="7"/>
        </w:numPr>
        <w:spacing w:after="60"/>
        <w:rPr>
          <w:rFonts w:asciiTheme="minorHAnsi" w:hAnsiTheme="minorHAnsi"/>
          <w:sz w:val="22"/>
          <w:szCs w:val="22"/>
        </w:rPr>
      </w:pPr>
      <w:r w:rsidRPr="00C93ADF">
        <w:rPr>
          <w:rFonts w:asciiTheme="minorHAnsi" w:hAnsiTheme="minorHAnsi"/>
          <w:sz w:val="22"/>
          <w:szCs w:val="22"/>
        </w:rPr>
        <w:t xml:space="preserve">Profit volatility can arise from changes to the RBNA assumptions (risk claims ratio and average delay period), as the impacts are immediately capitalised </w:t>
      </w:r>
      <w:r w:rsidR="000C0255">
        <w:rPr>
          <w:rFonts w:asciiTheme="minorHAnsi" w:hAnsiTheme="minorHAnsi"/>
          <w:sz w:val="22"/>
          <w:szCs w:val="22"/>
        </w:rPr>
        <w:t>and flows directly into profit.</w:t>
      </w:r>
    </w:p>
    <w:p w14:paraId="2552EC26" w14:textId="77777777" w:rsidR="00C93ADF" w:rsidRDefault="00C93ADF" w:rsidP="00C93ADF">
      <w:pPr>
        <w:pStyle w:val="Default"/>
        <w:spacing w:after="60"/>
        <w:rPr>
          <w:rFonts w:asciiTheme="minorHAnsi" w:hAnsiTheme="minorHAnsi"/>
          <w:sz w:val="22"/>
          <w:szCs w:val="22"/>
        </w:rPr>
      </w:pPr>
    </w:p>
    <w:p w14:paraId="442C3EB2" w14:textId="2B797244" w:rsidR="00C93ADF" w:rsidRPr="00614762" w:rsidRDefault="00614762" w:rsidP="00C93ADF">
      <w:pPr>
        <w:pStyle w:val="Default"/>
        <w:spacing w:after="60"/>
        <w:rPr>
          <w:rFonts w:asciiTheme="minorHAnsi" w:hAnsiTheme="minorHAnsi"/>
          <w:i/>
          <w:sz w:val="22"/>
          <w:szCs w:val="22"/>
        </w:rPr>
      </w:pPr>
      <w:r>
        <w:rPr>
          <w:rFonts w:asciiTheme="minorHAnsi" w:hAnsiTheme="minorHAnsi"/>
          <w:sz w:val="22"/>
          <w:szCs w:val="22"/>
        </w:rPr>
        <w:t>iii.</w:t>
      </w:r>
      <w:r w:rsidR="00C93ADF" w:rsidRPr="00C93ADF">
        <w:rPr>
          <w:rFonts w:asciiTheme="minorHAnsi" w:hAnsiTheme="minorHAnsi"/>
          <w:sz w:val="22"/>
          <w:szCs w:val="22"/>
        </w:rPr>
        <w:t xml:space="preserve"> </w:t>
      </w:r>
      <w:r w:rsidR="00C93ADF" w:rsidRPr="00614762">
        <w:rPr>
          <w:rFonts w:asciiTheme="minorHAnsi" w:hAnsiTheme="minorHAnsi"/>
          <w:i/>
          <w:sz w:val="22"/>
          <w:szCs w:val="22"/>
        </w:rPr>
        <w:t>Experience items that may have contributed to profit volatility include:</w:t>
      </w:r>
    </w:p>
    <w:p w14:paraId="706DFB44" w14:textId="77777777" w:rsidR="00C93ADF" w:rsidRPr="00614762" w:rsidRDefault="00C93ADF" w:rsidP="00C93ADF">
      <w:pPr>
        <w:pStyle w:val="Default"/>
        <w:spacing w:after="60"/>
        <w:rPr>
          <w:rFonts w:asciiTheme="minorHAnsi" w:hAnsiTheme="minorHAnsi"/>
          <w:b/>
          <w:color w:val="FF0000"/>
          <w:sz w:val="22"/>
          <w:szCs w:val="22"/>
        </w:rPr>
      </w:pPr>
      <w:r w:rsidRPr="00614762">
        <w:rPr>
          <w:rFonts w:asciiTheme="minorHAnsi" w:hAnsiTheme="minorHAnsi"/>
          <w:b/>
          <w:color w:val="FF0000"/>
          <w:sz w:val="22"/>
          <w:szCs w:val="22"/>
        </w:rPr>
        <w:t>Retained Earnings:</w:t>
      </w:r>
    </w:p>
    <w:p w14:paraId="464D6048" w14:textId="1146317B" w:rsidR="00C93ADF" w:rsidRDefault="00C93ADF" w:rsidP="00614762">
      <w:pPr>
        <w:pStyle w:val="Default"/>
        <w:numPr>
          <w:ilvl w:val="0"/>
          <w:numId w:val="7"/>
        </w:numPr>
        <w:spacing w:after="60"/>
        <w:rPr>
          <w:rFonts w:asciiTheme="minorHAnsi" w:hAnsiTheme="minorHAnsi"/>
          <w:sz w:val="22"/>
          <w:szCs w:val="22"/>
        </w:rPr>
      </w:pPr>
      <w:r w:rsidRPr="00C93ADF">
        <w:rPr>
          <w:rFonts w:asciiTheme="minorHAnsi" w:hAnsiTheme="minorHAnsi"/>
          <w:sz w:val="22"/>
          <w:szCs w:val="22"/>
        </w:rPr>
        <w:t xml:space="preserve">Of the $900m Retained Earnings, $600m relates to the negative policy liability which will unwind at the risk discount rate. This leaves a large $300m in physical assets, which will earn a significant amount of interest (as part of the IORE) and hence will be a large component of the profit. Hence </w:t>
      </w:r>
      <w:r w:rsidRPr="006009F0">
        <w:rPr>
          <w:rFonts w:asciiTheme="minorHAnsi" w:hAnsiTheme="minorHAnsi"/>
          <w:color w:val="FF0000"/>
          <w:sz w:val="22"/>
          <w:szCs w:val="22"/>
        </w:rPr>
        <w:t xml:space="preserve">any variation in actual investment earning rates </w:t>
      </w:r>
      <w:r w:rsidRPr="00C93ADF">
        <w:rPr>
          <w:rFonts w:asciiTheme="minorHAnsi" w:hAnsiTheme="minorHAnsi"/>
          <w:sz w:val="22"/>
          <w:szCs w:val="22"/>
        </w:rPr>
        <w:t>will have a volatile imp</w:t>
      </w:r>
      <w:r w:rsidR="006009F0">
        <w:rPr>
          <w:rFonts w:asciiTheme="minorHAnsi" w:hAnsiTheme="minorHAnsi"/>
          <w:sz w:val="22"/>
          <w:szCs w:val="22"/>
        </w:rPr>
        <w:t>act on profit.</w:t>
      </w:r>
    </w:p>
    <w:p w14:paraId="7587EB9A" w14:textId="77777777" w:rsidR="00C93ADF" w:rsidRPr="006009F0" w:rsidRDefault="00C93ADF" w:rsidP="00C93ADF">
      <w:pPr>
        <w:pStyle w:val="Default"/>
        <w:spacing w:after="60"/>
        <w:rPr>
          <w:rFonts w:asciiTheme="minorHAnsi" w:hAnsiTheme="minorHAnsi"/>
          <w:b/>
          <w:color w:val="FF0000"/>
          <w:sz w:val="22"/>
          <w:szCs w:val="22"/>
        </w:rPr>
      </w:pPr>
      <w:r w:rsidRPr="006009F0">
        <w:rPr>
          <w:rFonts w:asciiTheme="minorHAnsi" w:hAnsiTheme="minorHAnsi"/>
          <w:b/>
          <w:color w:val="FF0000"/>
          <w:sz w:val="22"/>
          <w:szCs w:val="22"/>
        </w:rPr>
        <w:t>Lapse Experience:</w:t>
      </w:r>
    </w:p>
    <w:p w14:paraId="7A66673B" w14:textId="4CE4F813" w:rsidR="00C93ADF" w:rsidRPr="00C93ADF" w:rsidRDefault="00C93ADF" w:rsidP="00614762">
      <w:pPr>
        <w:pStyle w:val="Default"/>
        <w:numPr>
          <w:ilvl w:val="0"/>
          <w:numId w:val="7"/>
        </w:numPr>
        <w:spacing w:after="60"/>
        <w:rPr>
          <w:rFonts w:asciiTheme="minorHAnsi" w:hAnsiTheme="minorHAnsi"/>
          <w:sz w:val="22"/>
          <w:szCs w:val="22"/>
        </w:rPr>
      </w:pPr>
      <w:r w:rsidRPr="006009F0">
        <w:rPr>
          <w:rFonts w:asciiTheme="minorHAnsi" w:hAnsiTheme="minorHAnsi"/>
          <w:color w:val="FF0000"/>
          <w:sz w:val="22"/>
          <w:szCs w:val="22"/>
        </w:rPr>
        <w:t xml:space="preserve">Although no surrender value is paid when a policy lapses, there is a loss as the </w:t>
      </w:r>
      <w:r w:rsidRPr="006009F0">
        <w:rPr>
          <w:rFonts w:asciiTheme="minorHAnsi" w:hAnsiTheme="minorHAnsi"/>
          <w:color w:val="FF0000"/>
          <w:sz w:val="22"/>
          <w:szCs w:val="22"/>
          <w:u w:val="single"/>
        </w:rPr>
        <w:t>negative policy liability is released with loss of future premiums to recover the acquisition costs</w:t>
      </w:r>
      <w:r w:rsidRPr="006009F0">
        <w:rPr>
          <w:rFonts w:asciiTheme="minorHAnsi" w:hAnsiTheme="minorHAnsi"/>
          <w:color w:val="FF0000"/>
          <w:sz w:val="22"/>
          <w:szCs w:val="22"/>
        </w:rPr>
        <w:t>.</w:t>
      </w:r>
      <w:r w:rsidRPr="00C93ADF">
        <w:rPr>
          <w:rFonts w:asciiTheme="minorHAnsi" w:hAnsiTheme="minorHAnsi"/>
          <w:sz w:val="22"/>
          <w:szCs w:val="22"/>
        </w:rPr>
        <w:t xml:space="preserve"> </w:t>
      </w:r>
    </w:p>
    <w:p w14:paraId="45933F0A" w14:textId="77777777" w:rsidR="00C93ADF" w:rsidRPr="00C93ADF" w:rsidRDefault="00C93ADF" w:rsidP="00614762">
      <w:pPr>
        <w:pStyle w:val="Default"/>
        <w:numPr>
          <w:ilvl w:val="0"/>
          <w:numId w:val="7"/>
        </w:numPr>
        <w:spacing w:after="60"/>
        <w:rPr>
          <w:rFonts w:asciiTheme="minorHAnsi" w:hAnsiTheme="minorHAnsi"/>
          <w:sz w:val="22"/>
          <w:szCs w:val="22"/>
        </w:rPr>
      </w:pPr>
      <w:r w:rsidRPr="00C93ADF">
        <w:rPr>
          <w:rFonts w:asciiTheme="minorHAnsi" w:hAnsiTheme="minorHAnsi"/>
          <w:sz w:val="22"/>
          <w:szCs w:val="22"/>
        </w:rPr>
        <w:t>As the active lives policy liability is a large negative policy liability (i.e. an asset), a small variation in the actual lapse rate from the expected lapse rate can cause a large change in the policy liability with a significant impact on profit.</w:t>
      </w:r>
    </w:p>
    <w:p w14:paraId="1E6D40F2" w14:textId="77777777" w:rsidR="00C93ADF" w:rsidRPr="006009F0" w:rsidRDefault="00C93ADF" w:rsidP="00C93ADF">
      <w:pPr>
        <w:pStyle w:val="Default"/>
        <w:spacing w:after="60"/>
        <w:rPr>
          <w:rFonts w:asciiTheme="minorHAnsi" w:hAnsiTheme="minorHAnsi"/>
          <w:b/>
          <w:color w:val="00B050"/>
          <w:sz w:val="22"/>
          <w:szCs w:val="22"/>
        </w:rPr>
      </w:pPr>
      <w:r w:rsidRPr="006009F0">
        <w:rPr>
          <w:rFonts w:asciiTheme="minorHAnsi" w:hAnsiTheme="minorHAnsi"/>
          <w:b/>
          <w:color w:val="00B050"/>
          <w:sz w:val="22"/>
          <w:szCs w:val="22"/>
        </w:rPr>
        <w:t>Incidence Experience:</w:t>
      </w:r>
    </w:p>
    <w:p w14:paraId="60613943" w14:textId="51AAA184" w:rsidR="00C93ADF" w:rsidRPr="00C93ADF" w:rsidRDefault="00C93ADF" w:rsidP="00614762">
      <w:pPr>
        <w:pStyle w:val="Default"/>
        <w:numPr>
          <w:ilvl w:val="0"/>
          <w:numId w:val="7"/>
        </w:numPr>
        <w:spacing w:after="60"/>
        <w:rPr>
          <w:rFonts w:asciiTheme="minorHAnsi" w:hAnsiTheme="minorHAnsi"/>
          <w:sz w:val="22"/>
          <w:szCs w:val="22"/>
        </w:rPr>
      </w:pPr>
      <w:r w:rsidRPr="00C93ADF">
        <w:rPr>
          <w:rFonts w:asciiTheme="minorHAnsi" w:hAnsiTheme="minorHAnsi"/>
          <w:sz w:val="22"/>
          <w:szCs w:val="22"/>
        </w:rPr>
        <w:t>The incidence rate experience impacts on the number of new claims and the size of the DLR for these new claims and thus can have a significant impact on profit.</w:t>
      </w:r>
    </w:p>
    <w:p w14:paraId="548A35A8" w14:textId="77777777" w:rsidR="00C93ADF" w:rsidRPr="006009F0" w:rsidRDefault="00C93ADF" w:rsidP="00C93ADF">
      <w:pPr>
        <w:pStyle w:val="Default"/>
        <w:spacing w:after="60"/>
        <w:rPr>
          <w:rFonts w:asciiTheme="minorHAnsi" w:hAnsiTheme="minorHAnsi"/>
          <w:b/>
          <w:color w:val="00B050"/>
          <w:sz w:val="22"/>
          <w:szCs w:val="22"/>
        </w:rPr>
      </w:pPr>
      <w:r w:rsidRPr="006009F0">
        <w:rPr>
          <w:rFonts w:asciiTheme="minorHAnsi" w:hAnsiTheme="minorHAnsi"/>
          <w:b/>
          <w:color w:val="00B050"/>
          <w:sz w:val="22"/>
          <w:szCs w:val="22"/>
        </w:rPr>
        <w:t>Termination Experience:</w:t>
      </w:r>
    </w:p>
    <w:p w14:paraId="5539459F" w14:textId="61966BA7" w:rsidR="00C93ADF" w:rsidRPr="00C93ADF" w:rsidRDefault="00C93ADF" w:rsidP="00614762">
      <w:pPr>
        <w:pStyle w:val="Default"/>
        <w:numPr>
          <w:ilvl w:val="0"/>
          <w:numId w:val="7"/>
        </w:numPr>
        <w:spacing w:after="60"/>
        <w:rPr>
          <w:rFonts w:asciiTheme="minorHAnsi" w:hAnsiTheme="minorHAnsi"/>
          <w:sz w:val="22"/>
          <w:szCs w:val="22"/>
        </w:rPr>
      </w:pPr>
      <w:r w:rsidRPr="00C93ADF">
        <w:rPr>
          <w:rFonts w:asciiTheme="minorHAnsi" w:hAnsiTheme="minorHAnsi"/>
          <w:sz w:val="22"/>
          <w:szCs w:val="22"/>
        </w:rPr>
        <w:t>Given the size of the DLR, the variation in the termination experience rate from the expected termination rate can significantly change the DLR, either increasing or decreasing the DLR. Thus it can have a significa</w:t>
      </w:r>
      <w:r w:rsidR="006009F0">
        <w:rPr>
          <w:rFonts w:asciiTheme="minorHAnsi" w:hAnsiTheme="minorHAnsi"/>
          <w:sz w:val="22"/>
          <w:szCs w:val="22"/>
        </w:rPr>
        <w:t>nt impact on profit.</w:t>
      </w:r>
    </w:p>
    <w:p w14:paraId="471B6D51" w14:textId="2A24E4B3" w:rsidR="00C93ADF" w:rsidRPr="00C93ADF" w:rsidRDefault="00C93ADF" w:rsidP="00614762">
      <w:pPr>
        <w:pStyle w:val="Default"/>
        <w:numPr>
          <w:ilvl w:val="0"/>
          <w:numId w:val="7"/>
        </w:numPr>
        <w:spacing w:after="60"/>
        <w:rPr>
          <w:rFonts w:asciiTheme="minorHAnsi" w:hAnsiTheme="minorHAnsi"/>
          <w:sz w:val="22"/>
          <w:szCs w:val="22"/>
        </w:rPr>
      </w:pPr>
      <w:r w:rsidRPr="00C93ADF">
        <w:rPr>
          <w:rFonts w:asciiTheme="minorHAnsi" w:hAnsiTheme="minorHAnsi"/>
          <w:sz w:val="22"/>
          <w:szCs w:val="22"/>
        </w:rPr>
        <w:t xml:space="preserve">Even if the overall termination experience matches the assumption, </w:t>
      </w:r>
      <w:r w:rsidRPr="006009F0">
        <w:rPr>
          <w:rFonts w:asciiTheme="minorHAnsi" w:hAnsiTheme="minorHAnsi"/>
          <w:color w:val="FF0000"/>
          <w:sz w:val="22"/>
          <w:szCs w:val="22"/>
        </w:rPr>
        <w:t>the termination experience in the shorter durations can be different to the experience for the longer durations.</w:t>
      </w:r>
      <w:r w:rsidRPr="00C93ADF">
        <w:rPr>
          <w:rFonts w:asciiTheme="minorHAnsi" w:hAnsiTheme="minorHAnsi"/>
          <w:sz w:val="22"/>
          <w:szCs w:val="22"/>
        </w:rPr>
        <w:t xml:space="preserve"> If the shorter duration claims are recovering more than expected, but the longer duration claims are not recovering as expected, the DLR will increase from the longer duration claims and will reduce profit. Whereas if the reverse happens, the DLR will decrease and profit will increase.</w:t>
      </w:r>
    </w:p>
    <w:p w14:paraId="6043605A" w14:textId="65DB337B" w:rsidR="00C93ADF" w:rsidRDefault="00C93ADF" w:rsidP="00C93ADF">
      <w:pPr>
        <w:pStyle w:val="Default"/>
        <w:spacing w:after="60"/>
        <w:rPr>
          <w:rFonts w:asciiTheme="minorHAnsi" w:hAnsiTheme="minorHAnsi"/>
          <w:sz w:val="22"/>
          <w:szCs w:val="22"/>
        </w:rPr>
      </w:pPr>
    </w:p>
    <w:p w14:paraId="65AE9BC3" w14:textId="77777777" w:rsidR="00102728" w:rsidRPr="00102728" w:rsidRDefault="006009F0" w:rsidP="00102728">
      <w:pPr>
        <w:pStyle w:val="Default"/>
        <w:spacing w:after="60"/>
        <w:rPr>
          <w:rFonts w:asciiTheme="minorHAnsi" w:hAnsiTheme="minorHAnsi"/>
          <w:i/>
          <w:sz w:val="22"/>
          <w:szCs w:val="22"/>
        </w:rPr>
      </w:pPr>
      <w:r>
        <w:rPr>
          <w:rFonts w:asciiTheme="minorHAnsi" w:hAnsiTheme="minorHAnsi"/>
          <w:sz w:val="22"/>
          <w:szCs w:val="22"/>
        </w:rPr>
        <w:t>4c)</w:t>
      </w:r>
      <w:r w:rsidR="00102728">
        <w:rPr>
          <w:rFonts w:asciiTheme="minorHAnsi" w:hAnsiTheme="minorHAnsi"/>
          <w:sz w:val="22"/>
          <w:szCs w:val="22"/>
        </w:rPr>
        <w:t xml:space="preserve"> </w:t>
      </w:r>
      <w:r w:rsidR="00102728" w:rsidRPr="00102728">
        <w:rPr>
          <w:rFonts w:asciiTheme="minorHAnsi" w:hAnsiTheme="minorHAnsi"/>
          <w:i/>
          <w:sz w:val="22"/>
          <w:szCs w:val="22"/>
        </w:rPr>
        <w:t>Actions that can be taken to overcome profit volatility include:</w:t>
      </w:r>
    </w:p>
    <w:p w14:paraId="769A8125" w14:textId="77777777" w:rsidR="00102728" w:rsidRPr="00102728" w:rsidRDefault="00102728" w:rsidP="00102728">
      <w:pPr>
        <w:pStyle w:val="Default"/>
        <w:spacing w:after="60"/>
        <w:rPr>
          <w:rFonts w:asciiTheme="minorHAnsi" w:hAnsiTheme="minorHAnsi"/>
          <w:b/>
          <w:color w:val="00B050"/>
          <w:sz w:val="22"/>
          <w:szCs w:val="22"/>
        </w:rPr>
      </w:pPr>
      <w:r w:rsidRPr="00102728">
        <w:rPr>
          <w:rFonts w:asciiTheme="minorHAnsi" w:hAnsiTheme="minorHAnsi"/>
          <w:b/>
          <w:color w:val="00B050"/>
          <w:sz w:val="22"/>
          <w:szCs w:val="22"/>
        </w:rPr>
        <w:t>Change Commission Structure:</w:t>
      </w:r>
    </w:p>
    <w:p w14:paraId="20596B91" w14:textId="35EF398A" w:rsidR="00102728" w:rsidRPr="00102728" w:rsidRDefault="00102728" w:rsidP="00102728">
      <w:pPr>
        <w:pStyle w:val="Default"/>
        <w:numPr>
          <w:ilvl w:val="0"/>
          <w:numId w:val="7"/>
        </w:numPr>
        <w:spacing w:after="60"/>
        <w:rPr>
          <w:rFonts w:asciiTheme="minorHAnsi" w:hAnsiTheme="minorHAnsi"/>
          <w:sz w:val="22"/>
          <w:szCs w:val="22"/>
        </w:rPr>
      </w:pPr>
      <w:r w:rsidRPr="00102728">
        <w:rPr>
          <w:rFonts w:asciiTheme="minorHAnsi" w:hAnsiTheme="minorHAnsi"/>
          <w:sz w:val="22"/>
          <w:szCs w:val="22"/>
        </w:rPr>
        <w:t xml:space="preserve">For future new business, </w:t>
      </w:r>
      <w:r w:rsidRPr="00AD2B09">
        <w:rPr>
          <w:rFonts w:asciiTheme="minorHAnsi" w:hAnsiTheme="minorHAnsi"/>
          <w:color w:val="00B050"/>
          <w:sz w:val="22"/>
          <w:szCs w:val="22"/>
        </w:rPr>
        <w:t xml:space="preserve">change the commission structure of the product from high upfront commission to lower upfront commission and higher renewal commission. </w:t>
      </w:r>
      <w:r w:rsidRPr="00102728">
        <w:rPr>
          <w:rFonts w:asciiTheme="minorHAnsi" w:hAnsiTheme="minorHAnsi"/>
          <w:sz w:val="22"/>
          <w:szCs w:val="22"/>
        </w:rPr>
        <w:t>The negative policy liability for new business will decrease as upfront commission, the major contribution to the high</w:t>
      </w:r>
      <w:r w:rsidR="00AD2B09">
        <w:rPr>
          <w:rFonts w:asciiTheme="minorHAnsi" w:hAnsiTheme="minorHAnsi"/>
          <w:sz w:val="22"/>
          <w:szCs w:val="22"/>
        </w:rPr>
        <w:t xml:space="preserve"> acquisition costs, is reduced.</w:t>
      </w:r>
    </w:p>
    <w:p w14:paraId="21806E92" w14:textId="0A7B0F7C" w:rsidR="00102728" w:rsidRPr="00102728" w:rsidRDefault="00102728" w:rsidP="00102728">
      <w:pPr>
        <w:pStyle w:val="Default"/>
        <w:numPr>
          <w:ilvl w:val="0"/>
          <w:numId w:val="7"/>
        </w:numPr>
        <w:spacing w:after="60"/>
        <w:rPr>
          <w:rFonts w:asciiTheme="minorHAnsi" w:hAnsiTheme="minorHAnsi"/>
          <w:sz w:val="22"/>
          <w:szCs w:val="22"/>
        </w:rPr>
      </w:pPr>
      <w:r w:rsidRPr="00AD2B09">
        <w:rPr>
          <w:rFonts w:asciiTheme="minorHAnsi" w:hAnsiTheme="minorHAnsi"/>
          <w:color w:val="FF0000"/>
          <w:sz w:val="22"/>
          <w:szCs w:val="22"/>
        </w:rPr>
        <w:t>This results in a decrease in the size of the negative policy liability,</w:t>
      </w:r>
      <w:r w:rsidRPr="00102728">
        <w:rPr>
          <w:rFonts w:asciiTheme="minorHAnsi" w:hAnsiTheme="minorHAnsi"/>
          <w:sz w:val="22"/>
          <w:szCs w:val="22"/>
        </w:rPr>
        <w:t xml:space="preserve"> as the run off of old business with higher negative policy liability is replaced by a smaller negative policy l</w:t>
      </w:r>
      <w:r w:rsidR="00AD2B09">
        <w:rPr>
          <w:rFonts w:asciiTheme="minorHAnsi" w:hAnsiTheme="minorHAnsi"/>
          <w:sz w:val="22"/>
          <w:szCs w:val="22"/>
        </w:rPr>
        <w:t>iability from new business.</w:t>
      </w:r>
    </w:p>
    <w:p w14:paraId="571EA929" w14:textId="39A5A2DA" w:rsidR="00102728" w:rsidRPr="00102728" w:rsidRDefault="00102728" w:rsidP="00102728">
      <w:pPr>
        <w:pStyle w:val="Default"/>
        <w:numPr>
          <w:ilvl w:val="0"/>
          <w:numId w:val="7"/>
        </w:numPr>
        <w:spacing w:after="60"/>
        <w:rPr>
          <w:rFonts w:asciiTheme="minorHAnsi" w:hAnsiTheme="minorHAnsi"/>
          <w:sz w:val="22"/>
          <w:szCs w:val="22"/>
        </w:rPr>
      </w:pPr>
      <w:r w:rsidRPr="00102728">
        <w:rPr>
          <w:rFonts w:asciiTheme="minorHAnsi" w:hAnsiTheme="minorHAnsi"/>
          <w:sz w:val="22"/>
          <w:szCs w:val="22"/>
        </w:rPr>
        <w:t xml:space="preserve">A smaller overall negative positive policy liability means the impact of changes in economic assumptions and lapse experience will have a </w:t>
      </w:r>
      <w:r w:rsidR="00AD2B09" w:rsidRPr="00102728">
        <w:rPr>
          <w:rFonts w:asciiTheme="minorHAnsi" w:hAnsiTheme="minorHAnsi"/>
          <w:sz w:val="22"/>
          <w:szCs w:val="22"/>
        </w:rPr>
        <w:t xml:space="preserve">less </w:t>
      </w:r>
      <w:r w:rsidRPr="00102728">
        <w:rPr>
          <w:rFonts w:asciiTheme="minorHAnsi" w:hAnsiTheme="minorHAnsi"/>
          <w:sz w:val="22"/>
          <w:szCs w:val="22"/>
        </w:rPr>
        <w:t xml:space="preserve">volatile impact on profit. </w:t>
      </w:r>
    </w:p>
    <w:p w14:paraId="4E4C66BB" w14:textId="229F5DA2" w:rsidR="00102728" w:rsidRPr="00102728" w:rsidRDefault="00102728" w:rsidP="00102728">
      <w:pPr>
        <w:pStyle w:val="Default"/>
        <w:numPr>
          <w:ilvl w:val="0"/>
          <w:numId w:val="7"/>
        </w:numPr>
        <w:spacing w:after="60"/>
        <w:rPr>
          <w:rFonts w:asciiTheme="minorHAnsi" w:hAnsiTheme="minorHAnsi"/>
          <w:sz w:val="22"/>
          <w:szCs w:val="22"/>
        </w:rPr>
      </w:pPr>
      <w:r w:rsidRPr="00102728">
        <w:rPr>
          <w:rFonts w:asciiTheme="minorHAnsi" w:hAnsiTheme="minorHAnsi"/>
          <w:sz w:val="22"/>
          <w:szCs w:val="22"/>
        </w:rPr>
        <w:t>Even better would be to pay advisers level commission in respect of new business, with positive rather than negative policy liabilities for new business. This may be hard to achieve as advisers must be persuaded to receive level commission each year rather than high initial commission and lower renewal commission.</w:t>
      </w:r>
    </w:p>
    <w:p w14:paraId="477405F1" w14:textId="77777777" w:rsidR="00102728" w:rsidRPr="00102728" w:rsidRDefault="00102728" w:rsidP="00102728">
      <w:pPr>
        <w:pStyle w:val="Default"/>
        <w:spacing w:after="60"/>
        <w:rPr>
          <w:rFonts w:asciiTheme="minorHAnsi" w:hAnsiTheme="minorHAnsi"/>
          <w:b/>
          <w:color w:val="00B050"/>
          <w:sz w:val="22"/>
          <w:szCs w:val="22"/>
        </w:rPr>
      </w:pPr>
      <w:r w:rsidRPr="00102728">
        <w:rPr>
          <w:rFonts w:asciiTheme="minorHAnsi" w:hAnsiTheme="minorHAnsi"/>
          <w:b/>
          <w:color w:val="00B050"/>
          <w:sz w:val="22"/>
          <w:szCs w:val="22"/>
        </w:rPr>
        <w:t>Reinsurance:</w:t>
      </w:r>
    </w:p>
    <w:p w14:paraId="4914CE4F" w14:textId="1FF55733" w:rsidR="00102728" w:rsidRPr="00102728" w:rsidRDefault="00102728" w:rsidP="00102728">
      <w:pPr>
        <w:pStyle w:val="Default"/>
        <w:numPr>
          <w:ilvl w:val="0"/>
          <w:numId w:val="7"/>
        </w:numPr>
        <w:spacing w:after="60"/>
        <w:rPr>
          <w:rFonts w:asciiTheme="minorHAnsi" w:hAnsiTheme="minorHAnsi"/>
          <w:sz w:val="22"/>
          <w:szCs w:val="22"/>
        </w:rPr>
      </w:pPr>
      <w:r w:rsidRPr="00102728">
        <w:rPr>
          <w:rFonts w:asciiTheme="minorHAnsi" w:hAnsiTheme="minorHAnsi"/>
          <w:sz w:val="22"/>
          <w:szCs w:val="22"/>
        </w:rPr>
        <w:t xml:space="preserve">Use quota share reinsurance (where the reinsurer pays a fixed proportion of each disability claim) or surplus reinsurance (where the retention limit is set on a policy basis, but is set at a fixed $ amount). </w:t>
      </w:r>
      <w:r w:rsidRPr="001F5FAA">
        <w:rPr>
          <w:rFonts w:asciiTheme="minorHAnsi" w:hAnsiTheme="minorHAnsi"/>
          <w:color w:val="FF0000"/>
          <w:sz w:val="22"/>
          <w:szCs w:val="22"/>
        </w:rPr>
        <w:t>This reduces the DLR reserve the company needs to hold</w:t>
      </w:r>
      <w:r w:rsidRPr="00102728">
        <w:rPr>
          <w:rFonts w:asciiTheme="minorHAnsi" w:hAnsiTheme="minorHAnsi"/>
          <w:sz w:val="22"/>
          <w:szCs w:val="22"/>
        </w:rPr>
        <w:t xml:space="preserve">, </w:t>
      </w:r>
      <w:r w:rsidRPr="001F5FAA">
        <w:rPr>
          <w:rFonts w:asciiTheme="minorHAnsi" w:hAnsiTheme="minorHAnsi"/>
          <w:color w:val="FF0000"/>
          <w:sz w:val="22"/>
          <w:szCs w:val="22"/>
        </w:rPr>
        <w:t xml:space="preserve">and makes the profit less sensitive to changes in termination rate assumptions, incidence and termination experience. </w:t>
      </w:r>
      <w:r w:rsidRPr="00102728">
        <w:rPr>
          <w:rFonts w:asciiTheme="minorHAnsi" w:hAnsiTheme="minorHAnsi"/>
          <w:sz w:val="22"/>
          <w:szCs w:val="22"/>
        </w:rPr>
        <w:t>The greater the proportion the reinsurer pays, the greater the reduction in profit volatility. However, reinsur</w:t>
      </w:r>
      <w:r w:rsidR="001A61C7">
        <w:rPr>
          <w:rFonts w:asciiTheme="minorHAnsi" w:hAnsiTheme="minorHAnsi"/>
          <w:sz w:val="22"/>
          <w:szCs w:val="22"/>
        </w:rPr>
        <w:t>ance costs will reduce profits.</w:t>
      </w:r>
    </w:p>
    <w:p w14:paraId="2EFC20D5" w14:textId="39ABA8D6" w:rsidR="006009F0" w:rsidRDefault="00102728" w:rsidP="00102728">
      <w:pPr>
        <w:pStyle w:val="Default"/>
        <w:numPr>
          <w:ilvl w:val="0"/>
          <w:numId w:val="7"/>
        </w:numPr>
        <w:spacing w:after="60"/>
        <w:rPr>
          <w:rFonts w:asciiTheme="minorHAnsi" w:hAnsiTheme="minorHAnsi"/>
          <w:sz w:val="22"/>
          <w:szCs w:val="22"/>
        </w:rPr>
      </w:pPr>
      <w:r w:rsidRPr="00102728">
        <w:rPr>
          <w:rFonts w:asciiTheme="minorHAnsi" w:hAnsiTheme="minorHAnsi"/>
          <w:sz w:val="22"/>
          <w:szCs w:val="22"/>
        </w:rPr>
        <w:t>Use excess of loss reinsurance whereby the reinsurer pays say 90% of claims, once the cumulative claim payments reach a specified level for each policy. This reduces the DLR the company has to hold at the longer duration claims. As these are the larger DLRs and the most sensitive to termination experience, profit volatility is dampened.</w:t>
      </w:r>
    </w:p>
    <w:p w14:paraId="181C24B0" w14:textId="77777777" w:rsidR="00102728" w:rsidRPr="00102728" w:rsidRDefault="00102728" w:rsidP="00102728">
      <w:pPr>
        <w:pStyle w:val="Default"/>
        <w:spacing w:after="60"/>
        <w:rPr>
          <w:rFonts w:asciiTheme="minorHAnsi" w:hAnsiTheme="minorHAnsi"/>
          <w:b/>
          <w:color w:val="FF0000"/>
          <w:sz w:val="22"/>
          <w:szCs w:val="22"/>
        </w:rPr>
      </w:pPr>
      <w:r w:rsidRPr="00102728">
        <w:rPr>
          <w:rFonts w:asciiTheme="minorHAnsi" w:hAnsiTheme="minorHAnsi"/>
          <w:b/>
          <w:color w:val="FF0000"/>
          <w:sz w:val="22"/>
          <w:szCs w:val="22"/>
        </w:rPr>
        <w:t>Diversification:</w:t>
      </w:r>
    </w:p>
    <w:p w14:paraId="0AB829AA" w14:textId="0960FCB1" w:rsidR="00102728" w:rsidRPr="001F5FAA" w:rsidRDefault="00102728" w:rsidP="00102728">
      <w:pPr>
        <w:pStyle w:val="Default"/>
        <w:numPr>
          <w:ilvl w:val="0"/>
          <w:numId w:val="7"/>
        </w:numPr>
        <w:spacing w:after="60"/>
        <w:rPr>
          <w:rFonts w:asciiTheme="minorHAnsi" w:hAnsiTheme="minorHAnsi"/>
          <w:color w:val="FF0000"/>
          <w:sz w:val="22"/>
          <w:szCs w:val="22"/>
        </w:rPr>
      </w:pPr>
      <w:r w:rsidRPr="001F5FAA">
        <w:rPr>
          <w:rFonts w:asciiTheme="minorHAnsi" w:hAnsiTheme="minorHAnsi"/>
          <w:color w:val="FF0000"/>
          <w:sz w:val="22"/>
          <w:szCs w:val="22"/>
        </w:rPr>
        <w:t xml:space="preserve">Having a wider product range which diversifies the type of risks the company is exposed to and which profit is sensitive to. </w:t>
      </w:r>
    </w:p>
    <w:p w14:paraId="56231B4D" w14:textId="318EF0CC" w:rsidR="00102728" w:rsidRPr="00102728" w:rsidRDefault="00102728" w:rsidP="00102728">
      <w:pPr>
        <w:pStyle w:val="Default"/>
        <w:numPr>
          <w:ilvl w:val="0"/>
          <w:numId w:val="12"/>
        </w:numPr>
        <w:spacing w:after="60"/>
        <w:rPr>
          <w:rFonts w:asciiTheme="minorHAnsi" w:hAnsiTheme="minorHAnsi"/>
          <w:sz w:val="22"/>
          <w:szCs w:val="22"/>
        </w:rPr>
      </w:pPr>
      <w:r w:rsidRPr="00102728">
        <w:rPr>
          <w:rFonts w:asciiTheme="minorHAnsi" w:hAnsiTheme="minorHAnsi"/>
          <w:sz w:val="22"/>
          <w:szCs w:val="22"/>
        </w:rPr>
        <w:t>The risks associated with the other products need to be different to the risks with the disability income product. Examples of different type of risk include lump sum term products (mortality, TPD and trauma risks), annuities (longevity risk) and investment linked</w:t>
      </w:r>
      <w:r w:rsidR="001F5FAA">
        <w:rPr>
          <w:rFonts w:asciiTheme="minorHAnsi" w:hAnsiTheme="minorHAnsi"/>
          <w:sz w:val="22"/>
          <w:szCs w:val="22"/>
        </w:rPr>
        <w:t xml:space="preserve"> products (no protection risk).</w:t>
      </w:r>
    </w:p>
    <w:p w14:paraId="1BDB29D3" w14:textId="53B89B0C" w:rsidR="00102728" w:rsidRPr="00102728" w:rsidRDefault="00102728" w:rsidP="00102728">
      <w:pPr>
        <w:pStyle w:val="Default"/>
        <w:numPr>
          <w:ilvl w:val="0"/>
          <w:numId w:val="12"/>
        </w:numPr>
        <w:spacing w:after="60"/>
        <w:rPr>
          <w:rFonts w:asciiTheme="minorHAnsi" w:hAnsiTheme="minorHAnsi"/>
          <w:sz w:val="22"/>
          <w:szCs w:val="22"/>
        </w:rPr>
      </w:pPr>
      <w:r w:rsidRPr="001F5FAA">
        <w:rPr>
          <w:rFonts w:asciiTheme="minorHAnsi" w:hAnsiTheme="minorHAnsi"/>
          <w:color w:val="FF0000"/>
          <w:sz w:val="22"/>
          <w:szCs w:val="22"/>
        </w:rPr>
        <w:t>Diversify target market, by selling new business across various geographic regions</w:t>
      </w:r>
      <w:r w:rsidRPr="00102728">
        <w:rPr>
          <w:rFonts w:asciiTheme="minorHAnsi" w:hAnsiTheme="minorHAnsi"/>
          <w:sz w:val="22"/>
          <w:szCs w:val="22"/>
        </w:rPr>
        <w:t>. This reduces the risks associated with local fluctuations.</w:t>
      </w:r>
    </w:p>
    <w:p w14:paraId="41E036C1" w14:textId="05778506" w:rsidR="00102728" w:rsidRPr="00102728" w:rsidRDefault="00102728" w:rsidP="00102728">
      <w:pPr>
        <w:pStyle w:val="Default"/>
        <w:numPr>
          <w:ilvl w:val="0"/>
          <w:numId w:val="12"/>
        </w:numPr>
        <w:spacing w:after="60"/>
        <w:rPr>
          <w:rFonts w:asciiTheme="minorHAnsi" w:hAnsiTheme="minorHAnsi"/>
          <w:sz w:val="22"/>
          <w:szCs w:val="22"/>
        </w:rPr>
      </w:pPr>
      <w:r w:rsidRPr="001F5FAA">
        <w:rPr>
          <w:rFonts w:asciiTheme="minorHAnsi" w:hAnsiTheme="minorHAnsi"/>
          <w:color w:val="FF0000"/>
          <w:sz w:val="22"/>
          <w:szCs w:val="22"/>
        </w:rPr>
        <w:t>Diversify distribution methods by using different distribution channels</w:t>
      </w:r>
      <w:r w:rsidRPr="00102728">
        <w:rPr>
          <w:rFonts w:asciiTheme="minorHAnsi" w:hAnsiTheme="minorHAnsi"/>
          <w:sz w:val="22"/>
          <w:szCs w:val="22"/>
        </w:rPr>
        <w:t>. This reduces the risk with fluctuations associated with particular distribution channels.</w:t>
      </w:r>
    </w:p>
    <w:p w14:paraId="0A0B62CC" w14:textId="77777777" w:rsidR="00102728" w:rsidRPr="00102728" w:rsidRDefault="00102728" w:rsidP="00102728">
      <w:pPr>
        <w:pStyle w:val="Default"/>
        <w:spacing w:after="60"/>
        <w:rPr>
          <w:rFonts w:asciiTheme="minorHAnsi" w:hAnsiTheme="minorHAnsi"/>
          <w:b/>
          <w:color w:val="FF0000"/>
          <w:sz w:val="22"/>
          <w:szCs w:val="22"/>
        </w:rPr>
      </w:pPr>
      <w:r w:rsidRPr="00102728">
        <w:rPr>
          <w:rFonts w:asciiTheme="minorHAnsi" w:hAnsiTheme="minorHAnsi"/>
          <w:b/>
          <w:color w:val="FF0000"/>
          <w:sz w:val="22"/>
          <w:szCs w:val="22"/>
        </w:rPr>
        <w:t>Other:</w:t>
      </w:r>
    </w:p>
    <w:p w14:paraId="0D6E64C1" w14:textId="26C29685" w:rsidR="00102728" w:rsidRDefault="00102728" w:rsidP="00102728">
      <w:pPr>
        <w:pStyle w:val="Default"/>
        <w:numPr>
          <w:ilvl w:val="0"/>
          <w:numId w:val="12"/>
        </w:numPr>
        <w:spacing w:after="60"/>
        <w:rPr>
          <w:rFonts w:asciiTheme="minorHAnsi" w:hAnsiTheme="minorHAnsi"/>
          <w:sz w:val="22"/>
          <w:szCs w:val="22"/>
        </w:rPr>
      </w:pPr>
      <w:r w:rsidRPr="00102728">
        <w:rPr>
          <w:rFonts w:asciiTheme="minorHAnsi" w:hAnsiTheme="minorHAnsi"/>
          <w:sz w:val="22"/>
          <w:szCs w:val="22"/>
        </w:rPr>
        <w:t xml:space="preserve">Change the product features for new business </w:t>
      </w:r>
      <w:r w:rsidRPr="001F5FAA">
        <w:rPr>
          <w:rFonts w:asciiTheme="minorHAnsi" w:hAnsiTheme="minorHAnsi"/>
          <w:color w:val="00B050"/>
          <w:sz w:val="22"/>
          <w:szCs w:val="22"/>
        </w:rPr>
        <w:t xml:space="preserve">by restricting the benefit period to 1 and 2 years. </w:t>
      </w:r>
      <w:r w:rsidRPr="00102728">
        <w:rPr>
          <w:rFonts w:asciiTheme="minorHAnsi" w:hAnsiTheme="minorHAnsi"/>
          <w:sz w:val="22"/>
          <w:szCs w:val="22"/>
        </w:rPr>
        <w:t>This reduces the number of longer duration claims and hence reduces the size of the DLR, where the DLR is most impacted by termination rate assumption changes and termination rate experience.</w:t>
      </w:r>
    </w:p>
    <w:p w14:paraId="585A48C6" w14:textId="63BF9A52" w:rsidR="00102728" w:rsidRPr="00102728" w:rsidRDefault="00102728" w:rsidP="00102728">
      <w:pPr>
        <w:pStyle w:val="Default"/>
        <w:numPr>
          <w:ilvl w:val="0"/>
          <w:numId w:val="12"/>
        </w:numPr>
        <w:spacing w:after="60"/>
        <w:rPr>
          <w:rFonts w:asciiTheme="minorHAnsi" w:hAnsiTheme="minorHAnsi"/>
          <w:sz w:val="22"/>
          <w:szCs w:val="22"/>
        </w:rPr>
      </w:pPr>
      <w:r w:rsidRPr="00102728">
        <w:rPr>
          <w:rFonts w:asciiTheme="minorHAnsi" w:hAnsiTheme="minorHAnsi"/>
          <w:sz w:val="22"/>
          <w:szCs w:val="22"/>
        </w:rPr>
        <w:lastRenderedPageBreak/>
        <w:t xml:space="preserve">If necessary, employ more experienced claim managers who can focus on the shorter duration in payment policies. By </w:t>
      </w:r>
      <w:r w:rsidRPr="001F5FAA">
        <w:rPr>
          <w:rFonts w:asciiTheme="minorHAnsi" w:hAnsiTheme="minorHAnsi"/>
          <w:color w:val="FF0000"/>
          <w:sz w:val="22"/>
          <w:szCs w:val="22"/>
        </w:rPr>
        <w:t>adopting strategies that encourage recovery at the shorter durations</w:t>
      </w:r>
      <w:r w:rsidRPr="00102728">
        <w:rPr>
          <w:rFonts w:asciiTheme="minorHAnsi" w:hAnsiTheme="minorHAnsi"/>
          <w:sz w:val="22"/>
          <w:szCs w:val="22"/>
        </w:rPr>
        <w:t xml:space="preserve">, you prevent these claims becoming longer duration claims </w:t>
      </w:r>
      <w:r w:rsidR="001F5FAA">
        <w:rPr>
          <w:rFonts w:asciiTheme="minorHAnsi" w:hAnsiTheme="minorHAnsi"/>
          <w:sz w:val="22"/>
          <w:szCs w:val="22"/>
        </w:rPr>
        <w:t>with subsequently larger DLR</w:t>
      </w:r>
      <w:r w:rsidR="001A61C7">
        <w:rPr>
          <w:rFonts w:asciiTheme="minorHAnsi" w:hAnsiTheme="minorHAnsi"/>
          <w:sz w:val="22"/>
          <w:szCs w:val="22"/>
        </w:rPr>
        <w:t>.</w:t>
      </w:r>
    </w:p>
    <w:p w14:paraId="504079B2" w14:textId="41BC7DDF" w:rsidR="00102728" w:rsidRDefault="00102728" w:rsidP="00102728">
      <w:pPr>
        <w:pStyle w:val="Default"/>
        <w:numPr>
          <w:ilvl w:val="0"/>
          <w:numId w:val="12"/>
        </w:numPr>
        <w:spacing w:after="60"/>
        <w:rPr>
          <w:rFonts w:asciiTheme="minorHAnsi" w:hAnsiTheme="minorHAnsi"/>
          <w:sz w:val="22"/>
          <w:szCs w:val="22"/>
        </w:rPr>
      </w:pPr>
      <w:r w:rsidRPr="00102728">
        <w:rPr>
          <w:rFonts w:asciiTheme="minorHAnsi" w:hAnsiTheme="minorHAnsi"/>
          <w:sz w:val="22"/>
          <w:szCs w:val="22"/>
        </w:rPr>
        <w:t>Commute future claims payments to a lump sum, fo</w:t>
      </w:r>
      <w:r w:rsidR="001F5FAA">
        <w:rPr>
          <w:rFonts w:asciiTheme="minorHAnsi" w:hAnsiTheme="minorHAnsi"/>
          <w:sz w:val="22"/>
          <w:szCs w:val="22"/>
        </w:rPr>
        <w:t xml:space="preserve">r the longer duration claims in </w:t>
      </w:r>
      <w:r w:rsidRPr="00102728">
        <w:rPr>
          <w:rFonts w:asciiTheme="minorHAnsi" w:hAnsiTheme="minorHAnsi"/>
          <w:sz w:val="22"/>
          <w:szCs w:val="22"/>
        </w:rPr>
        <w:t>payment. This also reduces the number of longer duration claims and hence reduces the size of the DLR.</w:t>
      </w:r>
    </w:p>
    <w:p w14:paraId="1DAF40E9" w14:textId="77777777" w:rsidR="001646F0" w:rsidRDefault="001646F0" w:rsidP="001646F0">
      <w:pPr>
        <w:pStyle w:val="Default"/>
        <w:spacing w:after="60"/>
        <w:rPr>
          <w:rFonts w:asciiTheme="minorHAnsi" w:hAnsiTheme="minorHAnsi"/>
          <w:sz w:val="22"/>
          <w:szCs w:val="22"/>
        </w:rPr>
      </w:pPr>
    </w:p>
    <w:p w14:paraId="2F48D16E" w14:textId="77777777" w:rsidR="008F33A3" w:rsidRDefault="008F33A3" w:rsidP="008F33A3">
      <w:pPr>
        <w:pStyle w:val="ListParagraph"/>
        <w:spacing w:after="60"/>
        <w:ind w:left="0"/>
        <w:rPr>
          <w:color w:val="000000" w:themeColor="text1"/>
          <w:lang w:val="en-GB"/>
        </w:rPr>
      </w:pPr>
      <w:r w:rsidRPr="00156ED9">
        <w:rPr>
          <w:b/>
          <w:color w:val="000000" w:themeColor="text1"/>
          <w:lang w:val="en-GB"/>
        </w:rPr>
        <w:t>Q</w:t>
      </w:r>
      <w:r>
        <w:rPr>
          <w:b/>
          <w:color w:val="000000" w:themeColor="text1"/>
          <w:lang w:val="en-GB"/>
        </w:rPr>
        <w:t>5</w:t>
      </w:r>
      <w:r>
        <w:rPr>
          <w:color w:val="000000" w:themeColor="text1"/>
          <w:lang w:val="en-GB"/>
        </w:rPr>
        <w:t xml:space="preserve"> a) [Not relevant] </w:t>
      </w:r>
      <w:r w:rsidRPr="00DB1225">
        <w:rPr>
          <w:i/>
          <w:color w:val="000000" w:themeColor="text1"/>
          <w:lang w:val="en-GB"/>
        </w:rPr>
        <w:t>The following explains what is meant by the Capital Adequacy Liability and describes how it is calculated:</w:t>
      </w:r>
    </w:p>
    <w:p w14:paraId="1797487F" w14:textId="77777777" w:rsidR="008F33A3" w:rsidRPr="00F715E4" w:rsidRDefault="008F33A3" w:rsidP="008F33A3">
      <w:pPr>
        <w:pStyle w:val="ListParagraph"/>
        <w:numPr>
          <w:ilvl w:val="0"/>
          <w:numId w:val="14"/>
        </w:numPr>
        <w:spacing w:after="60"/>
        <w:rPr>
          <w:color w:val="000000" w:themeColor="text1"/>
          <w:lang w:val="en-GB"/>
        </w:rPr>
      </w:pPr>
      <w:r w:rsidRPr="00F715E4">
        <w:rPr>
          <w:color w:val="000000" w:themeColor="text1"/>
          <w:lang w:val="en-GB"/>
        </w:rPr>
        <w:t xml:space="preserve">The Capital Adequacy Liability is the </w:t>
      </w:r>
      <w:r>
        <w:rPr>
          <w:color w:val="000000" w:themeColor="text1"/>
          <w:lang w:val="en-GB"/>
        </w:rPr>
        <w:t>PV</w:t>
      </w:r>
      <w:r w:rsidRPr="00F715E4">
        <w:rPr>
          <w:color w:val="000000" w:themeColor="text1"/>
          <w:lang w:val="en-GB"/>
        </w:rPr>
        <w:t xml:space="preserve"> of future outgo less present value of future inflows </w:t>
      </w:r>
      <w:r>
        <w:rPr>
          <w:color w:val="000000" w:themeColor="text1"/>
          <w:lang w:val="en-GB"/>
        </w:rPr>
        <w:t>using conservative assumptions.</w:t>
      </w:r>
    </w:p>
    <w:p w14:paraId="21C4FA51" w14:textId="77777777" w:rsidR="008F33A3" w:rsidRPr="00F715E4" w:rsidRDefault="008F33A3" w:rsidP="008F33A3">
      <w:pPr>
        <w:pStyle w:val="ListParagraph"/>
        <w:numPr>
          <w:ilvl w:val="0"/>
          <w:numId w:val="14"/>
        </w:numPr>
        <w:spacing w:after="60"/>
        <w:rPr>
          <w:color w:val="000000" w:themeColor="text1"/>
          <w:lang w:val="en-GB"/>
        </w:rPr>
      </w:pPr>
      <w:r w:rsidRPr="00F715E4">
        <w:rPr>
          <w:color w:val="000000" w:themeColor="text1"/>
          <w:lang w:val="en-GB"/>
        </w:rPr>
        <w:t xml:space="preserve">The starting point for the calculation should be the best estimate liability, with margins for prudency added to </w:t>
      </w:r>
      <w:r>
        <w:rPr>
          <w:color w:val="000000" w:themeColor="text1"/>
          <w:lang w:val="en-GB"/>
        </w:rPr>
        <w:t>the best estimate assumptions.</w:t>
      </w:r>
    </w:p>
    <w:p w14:paraId="1CC3C886" w14:textId="77777777" w:rsidR="008F33A3" w:rsidRPr="00F715E4" w:rsidRDefault="008F33A3" w:rsidP="008F33A3">
      <w:pPr>
        <w:pStyle w:val="ListParagraph"/>
        <w:numPr>
          <w:ilvl w:val="0"/>
          <w:numId w:val="14"/>
        </w:numPr>
        <w:spacing w:after="60"/>
        <w:rPr>
          <w:color w:val="000000" w:themeColor="text1"/>
          <w:lang w:val="en-GB"/>
        </w:rPr>
      </w:pPr>
      <w:r w:rsidRPr="00F715E4">
        <w:rPr>
          <w:color w:val="000000" w:themeColor="text1"/>
          <w:lang w:val="en-GB"/>
        </w:rPr>
        <w:t>Appropriate ranges for margins to assumptions are prescribed in LPS3.04, and the Appointed Actuary has scope to choose a point estimate within these ranges.</w:t>
      </w:r>
    </w:p>
    <w:p w14:paraId="1DF08104" w14:textId="77777777" w:rsidR="008F33A3" w:rsidRPr="00F715E4" w:rsidRDefault="008F33A3" w:rsidP="008F33A3">
      <w:pPr>
        <w:pStyle w:val="ListParagraph"/>
        <w:numPr>
          <w:ilvl w:val="0"/>
          <w:numId w:val="14"/>
        </w:numPr>
        <w:spacing w:after="60"/>
        <w:rPr>
          <w:color w:val="000000" w:themeColor="text1"/>
          <w:lang w:val="en-GB"/>
        </w:rPr>
      </w:pPr>
      <w:r w:rsidRPr="00F715E4">
        <w:rPr>
          <w:color w:val="000000" w:themeColor="text1"/>
          <w:lang w:val="en-GB"/>
        </w:rPr>
        <w:t>Assumptions cover servicing expenses, mortality and lapses.</w:t>
      </w:r>
    </w:p>
    <w:p w14:paraId="2E92431B" w14:textId="77777777" w:rsidR="008F33A3" w:rsidRDefault="008F33A3" w:rsidP="008F33A3">
      <w:pPr>
        <w:pStyle w:val="ListParagraph"/>
        <w:numPr>
          <w:ilvl w:val="0"/>
          <w:numId w:val="14"/>
        </w:numPr>
        <w:spacing w:after="60"/>
        <w:rPr>
          <w:color w:val="000000" w:themeColor="text1"/>
          <w:lang w:val="en-GB"/>
        </w:rPr>
      </w:pPr>
      <w:r w:rsidRPr="00F715E4">
        <w:rPr>
          <w:color w:val="000000" w:themeColor="text1"/>
          <w:lang w:val="en-GB"/>
        </w:rPr>
        <w:t>The calculation needs to be done at the RPG level of granularity.</w:t>
      </w:r>
    </w:p>
    <w:p w14:paraId="3C2535AE" w14:textId="77777777" w:rsidR="008F33A3" w:rsidRDefault="008F33A3" w:rsidP="008F33A3">
      <w:pPr>
        <w:pStyle w:val="ListParagraph"/>
        <w:spacing w:after="60"/>
        <w:ind w:left="0"/>
        <w:rPr>
          <w:color w:val="000000" w:themeColor="text1"/>
        </w:rPr>
      </w:pPr>
    </w:p>
    <w:p w14:paraId="7A892A00" w14:textId="77777777" w:rsidR="008F33A3" w:rsidRPr="007214FC" w:rsidRDefault="008F33A3" w:rsidP="008F33A3">
      <w:pPr>
        <w:pStyle w:val="ListParagraph"/>
        <w:spacing w:after="60"/>
        <w:ind w:left="0"/>
        <w:rPr>
          <w:color w:val="000000" w:themeColor="text1"/>
        </w:rPr>
      </w:pPr>
      <w:r>
        <w:rPr>
          <w:color w:val="000000" w:themeColor="text1"/>
          <w:lang w:val="en-GB"/>
        </w:rPr>
        <w:t>5</w:t>
      </w:r>
      <w:r w:rsidRPr="007214FC">
        <w:rPr>
          <w:color w:val="000000" w:themeColor="text1"/>
          <w:lang w:val="en-GB"/>
        </w:rPr>
        <w:t xml:space="preserve">b) </w:t>
      </w:r>
      <w:r w:rsidRPr="007214FC">
        <w:rPr>
          <w:color w:val="000000" w:themeColor="text1"/>
        </w:rPr>
        <w:t>The New Business Reserve may be zero because by paying no dividends over the next three years, the profits generated when added to existing retained profits and capital are sufficient to fund the capital requirements of new business over the next three years.</w:t>
      </w:r>
    </w:p>
    <w:p w14:paraId="7B1D4160" w14:textId="77777777" w:rsidR="008F33A3" w:rsidRDefault="008F33A3" w:rsidP="008F33A3">
      <w:pPr>
        <w:pStyle w:val="ListParagraph"/>
        <w:spacing w:after="60"/>
        <w:ind w:left="0"/>
        <w:rPr>
          <w:color w:val="000000" w:themeColor="text1"/>
        </w:rPr>
      </w:pPr>
    </w:p>
    <w:p w14:paraId="2C61F7FD" w14:textId="77777777" w:rsidR="008F33A3" w:rsidRPr="00CE4206" w:rsidRDefault="008F33A3" w:rsidP="008F33A3">
      <w:pPr>
        <w:pStyle w:val="ListParagraph"/>
        <w:spacing w:after="60"/>
        <w:ind w:left="0"/>
        <w:rPr>
          <w:color w:val="000000" w:themeColor="text1"/>
          <w:lang w:val="en-GB"/>
        </w:rPr>
      </w:pPr>
      <w:r>
        <w:rPr>
          <w:color w:val="000000" w:themeColor="text1"/>
          <w:lang w:val="en-GB"/>
        </w:rPr>
        <w:t>5</w:t>
      </w:r>
      <w:r w:rsidRPr="00CE4206">
        <w:rPr>
          <w:color w:val="000000" w:themeColor="text1"/>
          <w:lang w:val="en-GB"/>
        </w:rPr>
        <w:t xml:space="preserve">c) i. A FITB arises when the market value of an asset falls below its purchase price, thus </w:t>
      </w:r>
      <w:r>
        <w:rPr>
          <w:color w:val="000000" w:themeColor="text1"/>
          <w:lang w:val="en-GB"/>
        </w:rPr>
        <w:t>generating an unrealised loss.</w:t>
      </w:r>
    </w:p>
    <w:p w14:paraId="45735EFB" w14:textId="77777777" w:rsidR="008F33A3" w:rsidRPr="00CE4206" w:rsidRDefault="008F33A3" w:rsidP="008F33A3">
      <w:pPr>
        <w:pStyle w:val="ListParagraph"/>
        <w:spacing w:after="60"/>
        <w:ind w:left="0"/>
        <w:rPr>
          <w:color w:val="000000" w:themeColor="text1"/>
          <w:lang w:val="en-GB"/>
        </w:rPr>
      </w:pPr>
      <w:r w:rsidRPr="00CE4206">
        <w:rPr>
          <w:color w:val="000000" w:themeColor="text1"/>
          <w:lang w:val="en-GB"/>
        </w:rPr>
        <w:t>A FITB can only be used to the extent that there are unrealised capital gains on other assets, gen</w:t>
      </w:r>
      <w:r>
        <w:rPr>
          <w:color w:val="000000" w:themeColor="text1"/>
          <w:lang w:val="en-GB"/>
        </w:rPr>
        <w:t>erating a deferred tax expense.</w:t>
      </w:r>
    </w:p>
    <w:p w14:paraId="760F9441" w14:textId="77777777" w:rsidR="008F33A3" w:rsidRDefault="008F33A3" w:rsidP="008F33A3">
      <w:pPr>
        <w:pStyle w:val="ListParagraph"/>
        <w:spacing w:after="60"/>
        <w:ind w:left="0"/>
        <w:rPr>
          <w:color w:val="000000" w:themeColor="text1"/>
          <w:lang w:val="en-GB"/>
        </w:rPr>
      </w:pPr>
    </w:p>
    <w:p w14:paraId="4EB76FFB" w14:textId="77777777" w:rsidR="008F33A3" w:rsidRDefault="008F33A3" w:rsidP="008F33A3">
      <w:pPr>
        <w:pStyle w:val="ListParagraph"/>
        <w:spacing w:after="60"/>
        <w:ind w:left="0"/>
        <w:rPr>
          <w:color w:val="000000" w:themeColor="text1"/>
          <w:lang w:val="en-GB"/>
        </w:rPr>
      </w:pPr>
      <w:r>
        <w:rPr>
          <w:color w:val="000000" w:themeColor="text1"/>
          <w:lang w:val="en-GB"/>
        </w:rPr>
        <w:t xml:space="preserve">ii. [Not relevant] </w:t>
      </w:r>
    </w:p>
    <w:p w14:paraId="6E4FDF73" w14:textId="77777777" w:rsidR="008F33A3" w:rsidRPr="00CE4206" w:rsidRDefault="008F33A3" w:rsidP="008F33A3">
      <w:pPr>
        <w:pStyle w:val="ListParagraph"/>
        <w:numPr>
          <w:ilvl w:val="0"/>
          <w:numId w:val="15"/>
        </w:numPr>
        <w:spacing w:after="60"/>
        <w:rPr>
          <w:color w:val="000000" w:themeColor="text1"/>
          <w:lang w:val="en-GB"/>
        </w:rPr>
      </w:pPr>
      <w:r w:rsidRPr="00CE4206">
        <w:rPr>
          <w:color w:val="000000" w:themeColor="text1"/>
          <w:lang w:val="en-GB"/>
        </w:rPr>
        <w:t>The Solvency Standard considers the capital position of a compa</w:t>
      </w:r>
      <w:r>
        <w:rPr>
          <w:color w:val="000000" w:themeColor="text1"/>
          <w:lang w:val="en-GB"/>
        </w:rPr>
        <w:t>ny in a run off situation.</w:t>
      </w:r>
    </w:p>
    <w:p w14:paraId="093C34DE" w14:textId="77777777" w:rsidR="008F33A3" w:rsidRPr="00CE4206" w:rsidRDefault="008F33A3" w:rsidP="008F33A3">
      <w:pPr>
        <w:pStyle w:val="ListParagraph"/>
        <w:numPr>
          <w:ilvl w:val="0"/>
          <w:numId w:val="15"/>
        </w:numPr>
        <w:spacing w:after="60"/>
        <w:rPr>
          <w:color w:val="000000" w:themeColor="text1"/>
          <w:lang w:val="en-GB"/>
        </w:rPr>
      </w:pPr>
      <w:r w:rsidRPr="00CE4206">
        <w:rPr>
          <w:color w:val="000000" w:themeColor="text1"/>
          <w:lang w:val="en-GB"/>
        </w:rPr>
        <w:t xml:space="preserve">Assets (including those with unrealised capital gains) may need to be sold quickly and at a value much </w:t>
      </w:r>
      <w:r>
        <w:rPr>
          <w:color w:val="000000" w:themeColor="text1"/>
          <w:lang w:val="en-GB"/>
        </w:rPr>
        <w:t>less than their purchase price.</w:t>
      </w:r>
    </w:p>
    <w:p w14:paraId="65C4E650" w14:textId="77777777" w:rsidR="008F33A3" w:rsidRPr="00CE4206" w:rsidRDefault="008F33A3" w:rsidP="008F33A3">
      <w:pPr>
        <w:pStyle w:val="ListParagraph"/>
        <w:numPr>
          <w:ilvl w:val="0"/>
          <w:numId w:val="15"/>
        </w:numPr>
        <w:spacing w:after="60"/>
        <w:rPr>
          <w:color w:val="000000" w:themeColor="text1"/>
          <w:lang w:val="en-GB"/>
        </w:rPr>
      </w:pPr>
      <w:r w:rsidRPr="00CE4206">
        <w:rPr>
          <w:color w:val="000000" w:themeColor="text1"/>
          <w:lang w:val="en-GB"/>
        </w:rPr>
        <w:t>This means there are no unrealised gains generating a deferred tax expense that the FITB can be offset against. Hence the reason why a</w:t>
      </w:r>
      <w:r>
        <w:rPr>
          <w:color w:val="000000" w:themeColor="text1"/>
          <w:lang w:val="en-GB"/>
        </w:rPr>
        <w:t xml:space="preserve"> FITB is an inadmissible asset.</w:t>
      </w:r>
    </w:p>
    <w:p w14:paraId="4DC477B5" w14:textId="77777777" w:rsidR="008F33A3" w:rsidRPr="00CE4206" w:rsidRDefault="008F33A3" w:rsidP="008F33A3">
      <w:pPr>
        <w:pStyle w:val="ListParagraph"/>
        <w:numPr>
          <w:ilvl w:val="0"/>
          <w:numId w:val="15"/>
        </w:numPr>
        <w:spacing w:after="60"/>
        <w:rPr>
          <w:color w:val="000000" w:themeColor="text1"/>
          <w:lang w:val="en-GB"/>
        </w:rPr>
      </w:pPr>
      <w:r w:rsidRPr="00CE4206">
        <w:rPr>
          <w:color w:val="000000" w:themeColor="text1"/>
          <w:lang w:val="en-GB"/>
        </w:rPr>
        <w:t>The Capital Adequacy Standard considers the context of an acti</w:t>
      </w:r>
      <w:r>
        <w:rPr>
          <w:color w:val="000000" w:themeColor="text1"/>
          <w:lang w:val="en-GB"/>
        </w:rPr>
        <w:t>ve and viable ongoing concern.</w:t>
      </w:r>
    </w:p>
    <w:p w14:paraId="05314322" w14:textId="77777777" w:rsidR="008F33A3" w:rsidRPr="00CE4206" w:rsidRDefault="008F33A3" w:rsidP="008F33A3">
      <w:pPr>
        <w:pStyle w:val="ListParagraph"/>
        <w:numPr>
          <w:ilvl w:val="0"/>
          <w:numId w:val="15"/>
        </w:numPr>
        <w:spacing w:after="60"/>
        <w:rPr>
          <w:color w:val="000000" w:themeColor="text1"/>
          <w:lang w:val="en-GB"/>
        </w:rPr>
      </w:pPr>
      <w:r w:rsidRPr="00CE4206">
        <w:rPr>
          <w:color w:val="000000" w:themeColor="text1"/>
          <w:lang w:val="en-GB"/>
        </w:rPr>
        <w:t>This means there will be a range of assets which may either have unrealised gains or unrealised losses from the change in market value over the normal course of business over time</w:t>
      </w:r>
      <w:r>
        <w:rPr>
          <w:color w:val="000000" w:themeColor="text1"/>
          <w:lang w:val="en-GB"/>
        </w:rPr>
        <w:t>.</w:t>
      </w:r>
    </w:p>
    <w:p w14:paraId="4DE923CD" w14:textId="77777777" w:rsidR="008F33A3" w:rsidRPr="00AC3465" w:rsidRDefault="008F33A3" w:rsidP="008F33A3">
      <w:pPr>
        <w:pStyle w:val="ListParagraph"/>
        <w:numPr>
          <w:ilvl w:val="0"/>
          <w:numId w:val="15"/>
        </w:numPr>
        <w:spacing w:after="60"/>
        <w:rPr>
          <w:color w:val="000000" w:themeColor="text1"/>
          <w:lang w:val="en-GB"/>
        </w:rPr>
      </w:pPr>
      <w:r w:rsidRPr="00AC3465">
        <w:rPr>
          <w:color w:val="000000" w:themeColor="text1"/>
          <w:lang w:val="en-GB"/>
        </w:rPr>
        <w:t xml:space="preserve">Under this scenario, it is more likely that FITB generated from unrealised losses will be able to offset deferred tax expense from unrealised gains. This is why a FITB can be an </w:t>
      </w:r>
      <w:r w:rsidRPr="00AC3465">
        <w:rPr>
          <w:color w:val="000000" w:themeColor="text1"/>
          <w:lang w:val="en-GB"/>
        </w:rPr>
        <w:lastRenderedPageBreak/>
        <w:t>admissible asset.</w:t>
      </w:r>
      <w:r>
        <w:rPr>
          <w:color w:val="000000" w:themeColor="text1"/>
          <w:lang w:val="en-GB"/>
        </w:rPr>
        <w:br/>
      </w:r>
      <w:r w:rsidRPr="00AC3465">
        <w:rPr>
          <w:color w:val="000000" w:themeColor="text1"/>
          <w:lang w:val="en-GB"/>
        </w:rPr>
        <w:t xml:space="preserve"> </w:t>
      </w:r>
    </w:p>
    <w:p w14:paraId="040F4F03" w14:textId="77777777" w:rsidR="008F33A3" w:rsidRPr="00365D9E" w:rsidRDefault="008F33A3" w:rsidP="008F33A3">
      <w:pPr>
        <w:pStyle w:val="ListParagraph"/>
        <w:spacing w:after="60"/>
        <w:ind w:left="0"/>
        <w:rPr>
          <w:i/>
          <w:color w:val="000000" w:themeColor="text1"/>
          <w:lang w:val="en-GB"/>
        </w:rPr>
      </w:pPr>
      <w:r>
        <w:rPr>
          <w:color w:val="000000" w:themeColor="text1"/>
          <w:lang w:val="en-GB"/>
        </w:rPr>
        <w:t xml:space="preserve">5d) </w:t>
      </w:r>
      <w:r w:rsidRPr="00365D9E">
        <w:rPr>
          <w:i/>
          <w:color w:val="000000" w:themeColor="text1"/>
          <w:lang w:val="en-GB"/>
        </w:rPr>
        <w:t>Points to raise in response to the CFO:</w:t>
      </w:r>
    </w:p>
    <w:p w14:paraId="5A56C9E7" w14:textId="77777777" w:rsidR="008F33A3" w:rsidRPr="001F54D2" w:rsidRDefault="008F33A3" w:rsidP="008F33A3">
      <w:pPr>
        <w:pStyle w:val="ListParagraph"/>
        <w:numPr>
          <w:ilvl w:val="0"/>
          <w:numId w:val="16"/>
        </w:numPr>
        <w:spacing w:after="60"/>
        <w:rPr>
          <w:color w:val="000000" w:themeColor="text1"/>
          <w:lang w:val="en-GB"/>
        </w:rPr>
      </w:pPr>
      <w:r w:rsidRPr="001F54D2">
        <w:rPr>
          <w:color w:val="000000" w:themeColor="text1"/>
          <w:lang w:val="en-GB"/>
        </w:rPr>
        <w:t>The capital adequacy margin is broadly intended to represent a 1 in 400 year event. Even if best estimate mortality is improving, this does not say anything about the variability of mortality. i.e. the points in the tail of the distribution of future mortality outcomes.</w:t>
      </w:r>
    </w:p>
    <w:p w14:paraId="4E8C9C60" w14:textId="77777777" w:rsidR="008F33A3" w:rsidRPr="001F54D2" w:rsidRDefault="008F33A3" w:rsidP="008F33A3">
      <w:pPr>
        <w:pStyle w:val="ListParagraph"/>
        <w:numPr>
          <w:ilvl w:val="0"/>
          <w:numId w:val="16"/>
        </w:numPr>
        <w:spacing w:after="60"/>
        <w:rPr>
          <w:color w:val="000000" w:themeColor="text1"/>
          <w:lang w:val="en-GB"/>
        </w:rPr>
      </w:pPr>
      <w:r w:rsidRPr="001F54D2">
        <w:rPr>
          <w:color w:val="000000" w:themeColor="text1"/>
          <w:lang w:val="en-GB"/>
        </w:rPr>
        <w:t>To change an existing margin one would generally need some form of new analysis that suggests the existing mortality assumption margin is no longer appropriate.</w:t>
      </w:r>
    </w:p>
    <w:p w14:paraId="0357F994" w14:textId="77777777" w:rsidR="008F33A3" w:rsidRPr="001F54D2" w:rsidRDefault="008F33A3" w:rsidP="008F33A3">
      <w:pPr>
        <w:pStyle w:val="ListParagraph"/>
        <w:numPr>
          <w:ilvl w:val="0"/>
          <w:numId w:val="16"/>
        </w:numPr>
        <w:spacing w:after="60"/>
        <w:rPr>
          <w:color w:val="000000" w:themeColor="text1"/>
          <w:lang w:val="en-GB"/>
        </w:rPr>
      </w:pPr>
      <w:r w:rsidRPr="001F54D2">
        <w:rPr>
          <w:color w:val="000000" w:themeColor="text1"/>
          <w:lang w:val="en-GB"/>
        </w:rPr>
        <w:t>It would be useful to understand how the 40% was derived, before assessing whether there is ju</w:t>
      </w:r>
      <w:r>
        <w:rPr>
          <w:color w:val="000000" w:themeColor="text1"/>
          <w:lang w:val="en-GB"/>
        </w:rPr>
        <w:t>stification for a lower margin.</w:t>
      </w:r>
    </w:p>
    <w:p w14:paraId="610E490D" w14:textId="77777777" w:rsidR="008F33A3" w:rsidRDefault="008F33A3" w:rsidP="008F33A3">
      <w:pPr>
        <w:pStyle w:val="ListParagraph"/>
        <w:numPr>
          <w:ilvl w:val="0"/>
          <w:numId w:val="16"/>
        </w:numPr>
        <w:spacing w:after="60"/>
        <w:rPr>
          <w:color w:val="000000" w:themeColor="text1"/>
          <w:lang w:val="en-GB"/>
        </w:rPr>
      </w:pPr>
      <w:r w:rsidRPr="001F54D2">
        <w:rPr>
          <w:color w:val="000000" w:themeColor="text1"/>
          <w:lang w:val="en-GB"/>
        </w:rPr>
        <w:t>It may be worthwhile looking at company’s mortality experience over all available years to assess the variability of mortality for the company. However, if there are only a few years of credible mortality experience this may not provide appropriate justifi</w:t>
      </w:r>
      <w:r>
        <w:rPr>
          <w:color w:val="000000" w:themeColor="text1"/>
          <w:lang w:val="en-GB"/>
        </w:rPr>
        <w:t>cation for changing the margin.</w:t>
      </w:r>
    </w:p>
    <w:p w14:paraId="7C1570F4" w14:textId="77777777" w:rsidR="008F33A3" w:rsidRPr="00CD56BF" w:rsidRDefault="008F33A3" w:rsidP="008F33A3">
      <w:pPr>
        <w:pStyle w:val="ListParagraph"/>
        <w:numPr>
          <w:ilvl w:val="0"/>
          <w:numId w:val="16"/>
        </w:numPr>
        <w:spacing w:after="60"/>
        <w:rPr>
          <w:color w:val="000000" w:themeColor="text1"/>
          <w:lang w:val="en-GB"/>
        </w:rPr>
      </w:pPr>
      <w:r w:rsidRPr="00CD56BF">
        <w:rPr>
          <w:color w:val="000000" w:themeColor="text1"/>
          <w:lang w:val="en-GB"/>
        </w:rPr>
        <w:t>It may be worthwhile examining the company’s underwriting approach and whether there have been any changes to this approach in recent years. Generally speaking, a more stringent underwriting approach would giv</w:t>
      </w:r>
      <w:r>
        <w:rPr>
          <w:color w:val="000000" w:themeColor="text1"/>
          <w:lang w:val="en-GB"/>
        </w:rPr>
        <w:t xml:space="preserve">e the Appointed Actuary more </w:t>
      </w:r>
      <w:r w:rsidRPr="00CD56BF">
        <w:rPr>
          <w:color w:val="000000" w:themeColor="text1"/>
          <w:lang w:val="en-GB"/>
        </w:rPr>
        <w:t xml:space="preserve">confidence to </w:t>
      </w:r>
      <w:r>
        <w:rPr>
          <w:color w:val="000000" w:themeColor="text1"/>
          <w:lang w:val="en-GB"/>
        </w:rPr>
        <w:t xml:space="preserve">apply a lower prudency margin. </w:t>
      </w:r>
    </w:p>
    <w:p w14:paraId="5D9B3CCC" w14:textId="77777777" w:rsidR="008F33A3" w:rsidRPr="00CD56BF" w:rsidRDefault="008F33A3" w:rsidP="008F33A3">
      <w:pPr>
        <w:pStyle w:val="ListParagraph"/>
        <w:numPr>
          <w:ilvl w:val="0"/>
          <w:numId w:val="16"/>
        </w:numPr>
        <w:spacing w:after="60"/>
        <w:rPr>
          <w:color w:val="000000" w:themeColor="text1"/>
          <w:lang w:val="en-GB"/>
        </w:rPr>
      </w:pPr>
      <w:r w:rsidRPr="00CD56BF">
        <w:rPr>
          <w:color w:val="000000" w:themeColor="text1"/>
          <w:lang w:val="en-GB"/>
        </w:rPr>
        <w:t>Given the company is not large, it is possible that it is not well diversified with respect to mortality risks in terms of target market, distribution channel and geographic regions, which</w:t>
      </w:r>
      <w:r>
        <w:rPr>
          <w:color w:val="000000" w:themeColor="text1"/>
          <w:lang w:val="en-GB"/>
        </w:rPr>
        <w:t xml:space="preserve"> may warrant a higher estimate.</w:t>
      </w:r>
    </w:p>
    <w:p w14:paraId="27783733" w14:textId="77777777" w:rsidR="008F33A3" w:rsidRPr="00E661F0" w:rsidRDefault="008F33A3" w:rsidP="008F33A3">
      <w:pPr>
        <w:pStyle w:val="ListParagraph"/>
        <w:numPr>
          <w:ilvl w:val="0"/>
          <w:numId w:val="16"/>
        </w:numPr>
        <w:spacing w:after="60"/>
        <w:rPr>
          <w:color w:val="000000" w:themeColor="text1"/>
          <w:lang w:val="en-GB"/>
        </w:rPr>
      </w:pPr>
      <w:r w:rsidRPr="00E661F0">
        <w:rPr>
          <w:color w:val="000000" w:themeColor="text1"/>
          <w:lang w:val="en-GB"/>
        </w:rPr>
        <w:t>I must comply with the Capital Adequacy Standard LPS3.04, which requires me to set the capital adequacy mortality margin reflecting the company’s current risk factors relating to mortality. If the company is still exposed to these risk factors, I cannot reduce the capital adequacy margin as this would lead to non-compliance with the standard which would put me at risk of professional negligence.</w:t>
      </w:r>
      <w:r>
        <w:rPr>
          <w:color w:val="000000" w:themeColor="text1"/>
          <w:lang w:val="en-GB"/>
        </w:rPr>
        <w:br/>
      </w:r>
      <w:r w:rsidRPr="00E661F0">
        <w:rPr>
          <w:color w:val="000000" w:themeColor="text1"/>
          <w:lang w:val="en-GB"/>
        </w:rPr>
        <w:t xml:space="preserve"> </w:t>
      </w:r>
    </w:p>
    <w:p w14:paraId="49EA783E" w14:textId="77777777" w:rsidR="008F33A3" w:rsidRPr="00E12B13" w:rsidRDefault="008F33A3" w:rsidP="008F33A3">
      <w:pPr>
        <w:pStyle w:val="ListParagraph"/>
        <w:spacing w:after="60"/>
        <w:ind w:left="0"/>
        <w:rPr>
          <w:color w:val="000000" w:themeColor="text1"/>
          <w:lang w:val="en-GB"/>
        </w:rPr>
      </w:pPr>
      <w:r>
        <w:rPr>
          <w:color w:val="000000" w:themeColor="text1"/>
          <w:lang w:val="en-GB"/>
        </w:rPr>
        <w:t>5e)</w:t>
      </w:r>
      <w:r w:rsidRPr="00E12B13">
        <w:t xml:space="preserve"> </w:t>
      </w:r>
      <w:r w:rsidRPr="00E12B13">
        <w:rPr>
          <w:color w:val="000000" w:themeColor="text1"/>
          <w:lang w:val="en-GB"/>
        </w:rPr>
        <w:t>Memo to CFO</w:t>
      </w:r>
    </w:p>
    <w:p w14:paraId="4313BEC3" w14:textId="77777777" w:rsidR="008F33A3" w:rsidRPr="00E12B13" w:rsidRDefault="008F33A3" w:rsidP="008F33A3">
      <w:pPr>
        <w:pStyle w:val="ListParagraph"/>
        <w:spacing w:after="60"/>
        <w:ind w:left="0"/>
        <w:rPr>
          <w:color w:val="000000" w:themeColor="text1"/>
          <w:lang w:val="en-GB"/>
        </w:rPr>
      </w:pPr>
      <w:r w:rsidRPr="00E12B13">
        <w:rPr>
          <w:color w:val="000000" w:themeColor="text1"/>
          <w:lang w:val="en-GB"/>
        </w:rPr>
        <w:t>From: Appointed Actuary</w:t>
      </w:r>
    </w:p>
    <w:p w14:paraId="678A0951" w14:textId="77777777" w:rsidR="008F33A3" w:rsidRPr="00E12B13" w:rsidRDefault="008F33A3" w:rsidP="008F33A3">
      <w:pPr>
        <w:pStyle w:val="ListParagraph"/>
        <w:spacing w:after="60"/>
        <w:ind w:left="0"/>
        <w:rPr>
          <w:color w:val="000000" w:themeColor="text1"/>
          <w:lang w:val="en-GB"/>
        </w:rPr>
      </w:pPr>
      <w:r w:rsidRPr="00E12B13">
        <w:rPr>
          <w:color w:val="000000" w:themeColor="text1"/>
          <w:lang w:val="en-GB"/>
        </w:rPr>
        <w:t>Subject: Capital Injection in Excess of $20m is Required</w:t>
      </w:r>
    </w:p>
    <w:p w14:paraId="35945765" w14:textId="77777777" w:rsidR="008F33A3" w:rsidRPr="00E12B13" w:rsidRDefault="008F33A3" w:rsidP="008F33A3">
      <w:pPr>
        <w:pStyle w:val="ListParagraph"/>
        <w:spacing w:after="60"/>
        <w:ind w:left="0"/>
        <w:rPr>
          <w:b/>
          <w:color w:val="000000" w:themeColor="text1"/>
          <w:lang w:val="en-GB"/>
        </w:rPr>
      </w:pPr>
      <w:r w:rsidRPr="00E12B13">
        <w:rPr>
          <w:b/>
          <w:color w:val="000000" w:themeColor="text1"/>
          <w:lang w:val="en-GB"/>
        </w:rPr>
        <w:t>Introduction</w:t>
      </w:r>
    </w:p>
    <w:p w14:paraId="16E997E8" w14:textId="77777777" w:rsidR="008F33A3" w:rsidRPr="00E12B13" w:rsidRDefault="008F33A3" w:rsidP="008F33A3">
      <w:pPr>
        <w:pStyle w:val="ListParagraph"/>
        <w:spacing w:after="60"/>
        <w:ind w:left="0"/>
        <w:rPr>
          <w:color w:val="000000" w:themeColor="text1"/>
          <w:lang w:val="en-GB"/>
        </w:rPr>
      </w:pPr>
      <w:r w:rsidRPr="00E12B13">
        <w:rPr>
          <w:color w:val="000000" w:themeColor="text1"/>
          <w:lang w:val="en-GB"/>
        </w:rPr>
        <w:t>The purpose of memo is to explain the reasons why a capital injection in excess of the $20m amount is required, including the specific risks the company faces.</w:t>
      </w:r>
    </w:p>
    <w:p w14:paraId="1A756D6F" w14:textId="77777777" w:rsidR="008F33A3" w:rsidRPr="00E12B13" w:rsidRDefault="008F33A3" w:rsidP="008F33A3">
      <w:pPr>
        <w:pStyle w:val="ListParagraph"/>
        <w:spacing w:after="60"/>
        <w:ind w:left="0"/>
        <w:rPr>
          <w:b/>
          <w:color w:val="FF0000"/>
          <w:lang w:val="en-GB"/>
        </w:rPr>
      </w:pPr>
      <w:r w:rsidRPr="00E12B13">
        <w:rPr>
          <w:b/>
          <w:color w:val="FF0000"/>
          <w:lang w:val="en-GB"/>
        </w:rPr>
        <w:t>Target Surplus Requirement</w:t>
      </w:r>
    </w:p>
    <w:p w14:paraId="25F4001C" w14:textId="77777777" w:rsidR="008F33A3" w:rsidRPr="00E12B13" w:rsidRDefault="008F33A3" w:rsidP="008F33A3">
      <w:pPr>
        <w:pStyle w:val="ListParagraph"/>
        <w:numPr>
          <w:ilvl w:val="0"/>
          <w:numId w:val="16"/>
        </w:numPr>
        <w:spacing w:after="60"/>
        <w:rPr>
          <w:color w:val="000000" w:themeColor="text1"/>
          <w:lang w:val="en-GB"/>
        </w:rPr>
      </w:pPr>
      <w:r w:rsidRPr="00E12B13">
        <w:rPr>
          <w:color w:val="000000" w:themeColor="text1"/>
          <w:lang w:val="en-GB"/>
        </w:rPr>
        <w:t>Company may wish to hold an amount of target surplus above the Capi</w:t>
      </w:r>
      <w:r>
        <w:rPr>
          <w:color w:val="000000" w:themeColor="text1"/>
          <w:lang w:val="en-GB"/>
        </w:rPr>
        <w:t>tal Adequacy requirement.</w:t>
      </w:r>
    </w:p>
    <w:p w14:paraId="1CB50246" w14:textId="77777777" w:rsidR="008F33A3" w:rsidRPr="00E12B13" w:rsidRDefault="008F33A3" w:rsidP="008F33A3">
      <w:pPr>
        <w:pStyle w:val="ListParagraph"/>
        <w:numPr>
          <w:ilvl w:val="0"/>
          <w:numId w:val="16"/>
        </w:numPr>
        <w:spacing w:after="60"/>
        <w:rPr>
          <w:color w:val="FF0000"/>
          <w:lang w:val="en-GB"/>
        </w:rPr>
      </w:pPr>
      <w:r w:rsidRPr="00E12B13">
        <w:rPr>
          <w:color w:val="FF0000"/>
          <w:lang w:val="en-GB"/>
        </w:rPr>
        <w:t>General reasons for doing so include:</w:t>
      </w:r>
    </w:p>
    <w:p w14:paraId="6724F192" w14:textId="77777777" w:rsidR="008F33A3" w:rsidRPr="00E12B13" w:rsidRDefault="008F33A3" w:rsidP="008F33A3">
      <w:pPr>
        <w:pStyle w:val="ListParagraph"/>
        <w:numPr>
          <w:ilvl w:val="0"/>
          <w:numId w:val="18"/>
        </w:numPr>
        <w:spacing w:after="60"/>
        <w:rPr>
          <w:color w:val="FF0000"/>
          <w:lang w:val="en-GB"/>
        </w:rPr>
      </w:pPr>
      <w:r w:rsidRPr="00E12B13">
        <w:rPr>
          <w:color w:val="FF0000"/>
          <w:lang w:val="en-GB"/>
        </w:rPr>
        <w:t>So as to have a buffer above any regulatory capital breach as opposed to being right on the limit.</w:t>
      </w:r>
    </w:p>
    <w:p w14:paraId="0F546C72" w14:textId="77777777" w:rsidR="008F33A3" w:rsidRPr="00E12B13" w:rsidRDefault="008F33A3" w:rsidP="008F33A3">
      <w:pPr>
        <w:pStyle w:val="ListParagraph"/>
        <w:numPr>
          <w:ilvl w:val="0"/>
          <w:numId w:val="18"/>
        </w:numPr>
        <w:spacing w:after="60"/>
        <w:rPr>
          <w:color w:val="FF0000"/>
          <w:lang w:val="en-GB"/>
        </w:rPr>
      </w:pPr>
      <w:r w:rsidRPr="00E12B13">
        <w:rPr>
          <w:color w:val="FF0000"/>
          <w:lang w:val="en-GB"/>
        </w:rPr>
        <w:t>It is strongly recommended by APRA.</w:t>
      </w:r>
    </w:p>
    <w:p w14:paraId="34D1154D" w14:textId="77777777" w:rsidR="008F33A3" w:rsidRPr="00E12B13" w:rsidRDefault="008F33A3" w:rsidP="008F33A3">
      <w:pPr>
        <w:pStyle w:val="ListParagraph"/>
        <w:numPr>
          <w:ilvl w:val="0"/>
          <w:numId w:val="18"/>
        </w:numPr>
        <w:spacing w:after="60"/>
        <w:rPr>
          <w:color w:val="FF0000"/>
          <w:lang w:val="en-GB"/>
        </w:rPr>
      </w:pPr>
      <w:r w:rsidRPr="00E12B13">
        <w:rPr>
          <w:color w:val="FF0000"/>
          <w:lang w:val="en-GB"/>
        </w:rPr>
        <w:lastRenderedPageBreak/>
        <w:t>So as to understand threats to the capital adequacy position before they materialise.</w:t>
      </w:r>
    </w:p>
    <w:p w14:paraId="542AF42D" w14:textId="77777777" w:rsidR="008F33A3" w:rsidRPr="00E12B13" w:rsidRDefault="008F33A3" w:rsidP="008F33A3">
      <w:pPr>
        <w:pStyle w:val="ListParagraph"/>
        <w:numPr>
          <w:ilvl w:val="0"/>
          <w:numId w:val="18"/>
        </w:numPr>
        <w:spacing w:after="60"/>
        <w:rPr>
          <w:color w:val="FF0000"/>
          <w:lang w:val="en-GB"/>
        </w:rPr>
      </w:pPr>
      <w:r w:rsidRPr="00E12B13">
        <w:rPr>
          <w:color w:val="FF0000"/>
          <w:lang w:val="en-GB"/>
        </w:rPr>
        <w:t>To satisfy a credit rating.</w:t>
      </w:r>
    </w:p>
    <w:p w14:paraId="0EE64DF3" w14:textId="77777777" w:rsidR="008F33A3" w:rsidRPr="00E12B13" w:rsidRDefault="008F33A3" w:rsidP="008F33A3">
      <w:pPr>
        <w:pStyle w:val="ListParagraph"/>
        <w:spacing w:after="60"/>
        <w:ind w:left="0"/>
        <w:rPr>
          <w:b/>
          <w:color w:val="000000" w:themeColor="text1"/>
          <w:lang w:val="en-GB"/>
        </w:rPr>
      </w:pPr>
      <w:r w:rsidRPr="00E12B13">
        <w:rPr>
          <w:b/>
          <w:color w:val="000000" w:themeColor="text1"/>
          <w:lang w:val="en-GB"/>
        </w:rPr>
        <w:t>Specific Company Risks</w:t>
      </w:r>
    </w:p>
    <w:p w14:paraId="34491076" w14:textId="77777777" w:rsidR="008F33A3" w:rsidRPr="00E12B13" w:rsidRDefault="008F33A3" w:rsidP="008F33A3">
      <w:pPr>
        <w:pStyle w:val="ListParagraph"/>
        <w:spacing w:after="60"/>
        <w:ind w:left="0"/>
        <w:rPr>
          <w:color w:val="000000" w:themeColor="text1"/>
          <w:lang w:val="en-GB"/>
        </w:rPr>
      </w:pPr>
      <w:r w:rsidRPr="00E12B13">
        <w:rPr>
          <w:color w:val="000000" w:themeColor="text1"/>
          <w:lang w:val="en-GB"/>
        </w:rPr>
        <w:t>Reasons specific to the company include:</w:t>
      </w:r>
    </w:p>
    <w:p w14:paraId="720946A5" w14:textId="77777777" w:rsidR="008F33A3" w:rsidRPr="00E12B13" w:rsidRDefault="008F33A3" w:rsidP="008F33A3">
      <w:pPr>
        <w:pStyle w:val="ListParagraph"/>
        <w:numPr>
          <w:ilvl w:val="0"/>
          <w:numId w:val="17"/>
        </w:numPr>
        <w:spacing w:after="60"/>
        <w:rPr>
          <w:color w:val="000000" w:themeColor="text1"/>
          <w:lang w:val="en-GB"/>
        </w:rPr>
      </w:pPr>
      <w:r w:rsidRPr="00E12B13">
        <w:rPr>
          <w:color w:val="000000" w:themeColor="text1"/>
          <w:lang w:val="en-GB"/>
        </w:rPr>
        <w:t xml:space="preserve">The company continues to grow quickly. To the extent that YRT new business exceeds SPT new business, this will imply </w:t>
      </w:r>
      <w:r w:rsidRPr="00E12B13">
        <w:rPr>
          <w:color w:val="FF0000"/>
          <w:lang w:val="en-GB"/>
        </w:rPr>
        <w:t xml:space="preserve">a capital strain </w:t>
      </w:r>
      <w:r w:rsidRPr="00E12B13">
        <w:rPr>
          <w:color w:val="000000" w:themeColor="text1"/>
          <w:lang w:val="en-GB"/>
        </w:rPr>
        <w:t>which means that a New Business Reserve will be required to be established. This will increase the ca</w:t>
      </w:r>
      <w:r>
        <w:rPr>
          <w:color w:val="000000" w:themeColor="text1"/>
          <w:lang w:val="en-GB"/>
        </w:rPr>
        <w:t>pital adequacy requirement.</w:t>
      </w:r>
    </w:p>
    <w:p w14:paraId="68E82897" w14:textId="77777777" w:rsidR="008F33A3" w:rsidRPr="00E12B13" w:rsidRDefault="008F33A3" w:rsidP="008F33A3">
      <w:pPr>
        <w:pStyle w:val="ListParagraph"/>
        <w:numPr>
          <w:ilvl w:val="0"/>
          <w:numId w:val="17"/>
        </w:numPr>
        <w:spacing w:after="60"/>
        <w:rPr>
          <w:color w:val="000000" w:themeColor="text1"/>
          <w:lang w:val="en-GB"/>
        </w:rPr>
      </w:pPr>
      <w:r w:rsidRPr="00E12B13">
        <w:rPr>
          <w:color w:val="000000" w:themeColor="text1"/>
          <w:lang w:val="en-GB"/>
        </w:rPr>
        <w:t>For the single premium term business</w:t>
      </w:r>
      <w:r>
        <w:rPr>
          <w:color w:val="000000" w:themeColor="text1"/>
          <w:lang w:val="en-GB"/>
        </w:rPr>
        <w:t>,</w:t>
      </w:r>
      <w:r w:rsidRPr="00E12B13">
        <w:rPr>
          <w:color w:val="000000" w:themeColor="text1"/>
          <w:lang w:val="en-GB"/>
        </w:rPr>
        <w:t xml:space="preserve"> there is a </w:t>
      </w:r>
      <w:r w:rsidRPr="00E12B13">
        <w:rPr>
          <w:color w:val="FF0000"/>
          <w:lang w:val="en-GB"/>
        </w:rPr>
        <w:t>mismatch between the cash assets and the capital adequacy liability (present value of future death claims</w:t>
      </w:r>
      <w:r w:rsidRPr="00E12B13">
        <w:rPr>
          <w:color w:val="000000" w:themeColor="text1"/>
          <w:lang w:val="en-GB"/>
        </w:rPr>
        <w:t>). The company may be exposed adversely to a greater change in yields than allowed for under the Capital Adequacy Requirement.</w:t>
      </w:r>
    </w:p>
    <w:p w14:paraId="2D6A246A" w14:textId="77777777" w:rsidR="008F33A3" w:rsidRPr="00E12B13" w:rsidRDefault="008F33A3" w:rsidP="008F33A3">
      <w:pPr>
        <w:pStyle w:val="ListParagraph"/>
        <w:numPr>
          <w:ilvl w:val="0"/>
          <w:numId w:val="17"/>
        </w:numPr>
        <w:spacing w:after="60"/>
        <w:rPr>
          <w:color w:val="000000" w:themeColor="text1"/>
          <w:lang w:val="en-GB"/>
        </w:rPr>
      </w:pPr>
      <w:r w:rsidRPr="00E12B13">
        <w:rPr>
          <w:color w:val="000000" w:themeColor="text1"/>
          <w:lang w:val="en-GB"/>
        </w:rPr>
        <w:t>The company may potentially incur an operational risk style event which is not allowed for under LPS3.04</w:t>
      </w:r>
      <w:r>
        <w:rPr>
          <w:color w:val="000000" w:themeColor="text1"/>
          <w:lang w:val="en-GB"/>
        </w:rPr>
        <w:t>.</w:t>
      </w:r>
    </w:p>
    <w:p w14:paraId="5C03BE23" w14:textId="77777777" w:rsidR="008F33A3" w:rsidRPr="00E12B13" w:rsidRDefault="008F33A3" w:rsidP="008F33A3">
      <w:pPr>
        <w:pStyle w:val="ListParagraph"/>
        <w:numPr>
          <w:ilvl w:val="0"/>
          <w:numId w:val="17"/>
        </w:numPr>
        <w:spacing w:after="60"/>
        <w:rPr>
          <w:color w:val="000000" w:themeColor="text1"/>
          <w:lang w:val="en-GB"/>
        </w:rPr>
      </w:pPr>
      <w:r w:rsidRPr="00E12B13">
        <w:rPr>
          <w:color w:val="000000" w:themeColor="text1"/>
          <w:lang w:val="en-GB"/>
        </w:rPr>
        <w:t xml:space="preserve">A very </w:t>
      </w:r>
      <w:r w:rsidRPr="00E12B13">
        <w:rPr>
          <w:color w:val="FF0000"/>
          <w:lang w:val="en-GB"/>
        </w:rPr>
        <w:t xml:space="preserve">adverse year of claims </w:t>
      </w:r>
      <w:r w:rsidRPr="00E12B13">
        <w:rPr>
          <w:color w:val="000000" w:themeColor="text1"/>
          <w:lang w:val="en-GB"/>
        </w:rPr>
        <w:t>(or a pandemic type event) will also mean the company will have a shortfall in meeting its capital adequacy requirement.</w:t>
      </w:r>
    </w:p>
    <w:p w14:paraId="16A2376F" w14:textId="77777777" w:rsidR="008F33A3" w:rsidRPr="00E12B13" w:rsidRDefault="008F33A3" w:rsidP="008F33A3">
      <w:pPr>
        <w:pStyle w:val="ListParagraph"/>
        <w:numPr>
          <w:ilvl w:val="0"/>
          <w:numId w:val="17"/>
        </w:numPr>
        <w:spacing w:after="60"/>
        <w:rPr>
          <w:color w:val="000000" w:themeColor="text1"/>
          <w:lang w:val="en-GB"/>
        </w:rPr>
      </w:pPr>
      <w:r w:rsidRPr="00E12B13">
        <w:rPr>
          <w:color w:val="000000" w:themeColor="text1"/>
          <w:lang w:val="en-GB"/>
        </w:rPr>
        <w:t xml:space="preserve">A very </w:t>
      </w:r>
      <w:r w:rsidRPr="00E12B13">
        <w:rPr>
          <w:color w:val="FF0000"/>
          <w:lang w:val="en-GB"/>
        </w:rPr>
        <w:t xml:space="preserve">adverse year of additional expenses </w:t>
      </w:r>
      <w:r w:rsidRPr="00E12B13">
        <w:rPr>
          <w:color w:val="000000" w:themeColor="text1"/>
          <w:lang w:val="en-GB"/>
        </w:rPr>
        <w:t>incurred will also mean the company will have a shortfall in meeting its capital adequacy requirement.</w:t>
      </w:r>
    </w:p>
    <w:p w14:paraId="68355452" w14:textId="77777777" w:rsidR="008F33A3" w:rsidRPr="00E12B13" w:rsidRDefault="008F33A3" w:rsidP="008F33A3">
      <w:pPr>
        <w:pStyle w:val="ListParagraph"/>
        <w:numPr>
          <w:ilvl w:val="0"/>
          <w:numId w:val="17"/>
        </w:numPr>
        <w:spacing w:after="60"/>
        <w:rPr>
          <w:color w:val="000000" w:themeColor="text1"/>
          <w:lang w:val="en-GB"/>
        </w:rPr>
      </w:pPr>
      <w:r w:rsidRPr="00E12B13">
        <w:rPr>
          <w:color w:val="000000" w:themeColor="text1"/>
          <w:lang w:val="en-GB"/>
        </w:rPr>
        <w:t xml:space="preserve">A possible </w:t>
      </w:r>
      <w:r w:rsidRPr="00E12B13">
        <w:rPr>
          <w:color w:val="FF0000"/>
          <w:lang w:val="en-GB"/>
        </w:rPr>
        <w:t xml:space="preserve">reinsurer default </w:t>
      </w:r>
      <w:r w:rsidRPr="00E12B13">
        <w:rPr>
          <w:color w:val="000000" w:themeColor="text1"/>
          <w:lang w:val="en-GB"/>
        </w:rPr>
        <w:t>could mean the capital adequa</w:t>
      </w:r>
      <w:r>
        <w:rPr>
          <w:color w:val="000000" w:themeColor="text1"/>
          <w:lang w:val="en-GB"/>
        </w:rPr>
        <w:t>cy requirement may be breached.</w:t>
      </w:r>
    </w:p>
    <w:p w14:paraId="60F0B411" w14:textId="77777777" w:rsidR="008F33A3" w:rsidRPr="00B00EB4" w:rsidRDefault="008F33A3" w:rsidP="008F33A3">
      <w:pPr>
        <w:pStyle w:val="ListParagraph"/>
        <w:spacing w:after="60"/>
        <w:ind w:left="0"/>
        <w:rPr>
          <w:color w:val="000000" w:themeColor="text1"/>
          <w:lang w:val="en-GB"/>
        </w:rPr>
      </w:pPr>
      <w:r w:rsidRPr="00E12B13">
        <w:rPr>
          <w:color w:val="000000" w:themeColor="text1"/>
          <w:lang w:val="en-GB"/>
        </w:rPr>
        <w:t>Yours Sincerely, Appointed Actuary</w:t>
      </w:r>
    </w:p>
    <w:p w14:paraId="78FD7A46" w14:textId="77777777" w:rsidR="008F33A3" w:rsidRPr="00491180" w:rsidRDefault="008F33A3" w:rsidP="001646F0">
      <w:pPr>
        <w:pStyle w:val="Default"/>
        <w:spacing w:after="60"/>
        <w:rPr>
          <w:rFonts w:asciiTheme="minorHAnsi" w:hAnsiTheme="minorHAnsi"/>
          <w:sz w:val="22"/>
          <w:szCs w:val="22"/>
        </w:rPr>
      </w:pPr>
      <w:bookmarkStart w:id="0" w:name="_GoBack"/>
      <w:bookmarkEnd w:id="0"/>
    </w:p>
    <w:sectPr w:rsidR="008F33A3" w:rsidRPr="0049118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6B145C" w14:textId="77777777" w:rsidR="00DC2CD5" w:rsidRDefault="00DC2CD5" w:rsidP="00565DE9">
      <w:pPr>
        <w:spacing w:after="0" w:line="240" w:lineRule="auto"/>
      </w:pPr>
      <w:r>
        <w:separator/>
      </w:r>
    </w:p>
  </w:endnote>
  <w:endnote w:type="continuationSeparator" w:id="0">
    <w:p w14:paraId="509BE936" w14:textId="77777777" w:rsidR="00DC2CD5" w:rsidRDefault="00DC2CD5" w:rsidP="00565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3664FE" w14:textId="77777777" w:rsidR="00DC2CD5" w:rsidRDefault="00DC2CD5" w:rsidP="00565DE9">
      <w:pPr>
        <w:spacing w:after="0" w:line="240" w:lineRule="auto"/>
      </w:pPr>
      <w:r>
        <w:separator/>
      </w:r>
    </w:p>
  </w:footnote>
  <w:footnote w:type="continuationSeparator" w:id="0">
    <w:p w14:paraId="5D4E9B58" w14:textId="77777777" w:rsidR="00DC2CD5" w:rsidRDefault="00DC2CD5" w:rsidP="00565D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A3DE3"/>
    <w:multiLevelType w:val="hybridMultilevel"/>
    <w:tmpl w:val="DC541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B94242"/>
    <w:multiLevelType w:val="hybridMultilevel"/>
    <w:tmpl w:val="2CE26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7D502F6"/>
    <w:multiLevelType w:val="hybridMultilevel"/>
    <w:tmpl w:val="9A6A7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51020B"/>
    <w:multiLevelType w:val="hybridMultilevel"/>
    <w:tmpl w:val="0750D0B0"/>
    <w:lvl w:ilvl="0" w:tplc="04090001">
      <w:start w:val="1"/>
      <w:numFmt w:val="bullet"/>
      <w:lvlText w:val=""/>
      <w:lvlJc w:val="left"/>
      <w:pPr>
        <w:ind w:left="40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A34BE3"/>
    <w:multiLevelType w:val="hybridMultilevel"/>
    <w:tmpl w:val="33BAB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E8184A"/>
    <w:multiLevelType w:val="hybridMultilevel"/>
    <w:tmpl w:val="0F3E0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40201F"/>
    <w:multiLevelType w:val="hybridMultilevel"/>
    <w:tmpl w:val="34040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DC4A88"/>
    <w:multiLevelType w:val="hybridMultilevel"/>
    <w:tmpl w:val="20EA3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E72DB5"/>
    <w:multiLevelType w:val="hybridMultilevel"/>
    <w:tmpl w:val="507C0D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0EB4942"/>
    <w:multiLevelType w:val="hybridMultilevel"/>
    <w:tmpl w:val="3E641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731770"/>
    <w:multiLevelType w:val="hybridMultilevel"/>
    <w:tmpl w:val="9468E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FF63D4"/>
    <w:multiLevelType w:val="hybridMultilevel"/>
    <w:tmpl w:val="763A09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0C0273C"/>
    <w:multiLevelType w:val="hybridMultilevel"/>
    <w:tmpl w:val="BEF2F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363775"/>
    <w:multiLevelType w:val="hybridMultilevel"/>
    <w:tmpl w:val="87DED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79668C"/>
    <w:multiLevelType w:val="hybridMultilevel"/>
    <w:tmpl w:val="5BD46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B56D5E"/>
    <w:multiLevelType w:val="hybridMultilevel"/>
    <w:tmpl w:val="D9203E2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nsid w:val="62B45BBE"/>
    <w:multiLevelType w:val="hybridMultilevel"/>
    <w:tmpl w:val="972C16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A2F5903"/>
    <w:multiLevelType w:val="hybridMultilevel"/>
    <w:tmpl w:val="17046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14"/>
  </w:num>
  <w:num w:numId="4">
    <w:abstractNumId w:val="3"/>
  </w:num>
  <w:num w:numId="5">
    <w:abstractNumId w:val="0"/>
  </w:num>
  <w:num w:numId="6">
    <w:abstractNumId w:val="12"/>
  </w:num>
  <w:num w:numId="7">
    <w:abstractNumId w:val="6"/>
  </w:num>
  <w:num w:numId="8">
    <w:abstractNumId w:val="5"/>
  </w:num>
  <w:num w:numId="9">
    <w:abstractNumId w:val="9"/>
  </w:num>
  <w:num w:numId="10">
    <w:abstractNumId w:val="17"/>
  </w:num>
  <w:num w:numId="11">
    <w:abstractNumId w:val="2"/>
  </w:num>
  <w:num w:numId="12">
    <w:abstractNumId w:val="4"/>
  </w:num>
  <w:num w:numId="13">
    <w:abstractNumId w:val="13"/>
  </w:num>
  <w:num w:numId="14">
    <w:abstractNumId w:val="11"/>
  </w:num>
  <w:num w:numId="15">
    <w:abstractNumId w:val="16"/>
  </w:num>
  <w:num w:numId="16">
    <w:abstractNumId w:val="1"/>
  </w:num>
  <w:num w:numId="17">
    <w:abstractNumId w:val="8"/>
  </w:num>
  <w:num w:numId="18">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F2A"/>
    <w:rsid w:val="000020A8"/>
    <w:rsid w:val="00002E6C"/>
    <w:rsid w:val="00012792"/>
    <w:rsid w:val="00012C43"/>
    <w:rsid w:val="00014A11"/>
    <w:rsid w:val="000167FC"/>
    <w:rsid w:val="00021598"/>
    <w:rsid w:val="000224A3"/>
    <w:rsid w:val="00025BF7"/>
    <w:rsid w:val="00026F9E"/>
    <w:rsid w:val="000270E7"/>
    <w:rsid w:val="0003016D"/>
    <w:rsid w:val="00030932"/>
    <w:rsid w:val="000310A4"/>
    <w:rsid w:val="00031F6C"/>
    <w:rsid w:val="00034C5F"/>
    <w:rsid w:val="00035492"/>
    <w:rsid w:val="00035A51"/>
    <w:rsid w:val="00035E50"/>
    <w:rsid w:val="00042A3B"/>
    <w:rsid w:val="00042CAA"/>
    <w:rsid w:val="00045CCD"/>
    <w:rsid w:val="0005178A"/>
    <w:rsid w:val="00051EDA"/>
    <w:rsid w:val="00052A09"/>
    <w:rsid w:val="00053328"/>
    <w:rsid w:val="00053DAB"/>
    <w:rsid w:val="00054186"/>
    <w:rsid w:val="000553A4"/>
    <w:rsid w:val="00055D2F"/>
    <w:rsid w:val="000579D9"/>
    <w:rsid w:val="00061E9E"/>
    <w:rsid w:val="000620A3"/>
    <w:rsid w:val="00062C98"/>
    <w:rsid w:val="00062ECC"/>
    <w:rsid w:val="00065C37"/>
    <w:rsid w:val="000710F8"/>
    <w:rsid w:val="0007159A"/>
    <w:rsid w:val="00074012"/>
    <w:rsid w:val="000740CC"/>
    <w:rsid w:val="000760DF"/>
    <w:rsid w:val="000764FF"/>
    <w:rsid w:val="000807BE"/>
    <w:rsid w:val="00080DFA"/>
    <w:rsid w:val="00083E3D"/>
    <w:rsid w:val="000874FD"/>
    <w:rsid w:val="00092372"/>
    <w:rsid w:val="00093A90"/>
    <w:rsid w:val="00093F69"/>
    <w:rsid w:val="00094261"/>
    <w:rsid w:val="000971FB"/>
    <w:rsid w:val="000A10CF"/>
    <w:rsid w:val="000A1F46"/>
    <w:rsid w:val="000A3AD5"/>
    <w:rsid w:val="000A6EFF"/>
    <w:rsid w:val="000A7AC2"/>
    <w:rsid w:val="000B22C7"/>
    <w:rsid w:val="000B252A"/>
    <w:rsid w:val="000B6580"/>
    <w:rsid w:val="000B7850"/>
    <w:rsid w:val="000C0255"/>
    <w:rsid w:val="000C0D3D"/>
    <w:rsid w:val="000C377D"/>
    <w:rsid w:val="000C764C"/>
    <w:rsid w:val="000D0132"/>
    <w:rsid w:val="000D1349"/>
    <w:rsid w:val="000D23C3"/>
    <w:rsid w:val="000D2B62"/>
    <w:rsid w:val="000D33CA"/>
    <w:rsid w:val="000D5C83"/>
    <w:rsid w:val="000D66EA"/>
    <w:rsid w:val="000D6D93"/>
    <w:rsid w:val="000E470E"/>
    <w:rsid w:val="000E59D7"/>
    <w:rsid w:val="000F04CC"/>
    <w:rsid w:val="000F1189"/>
    <w:rsid w:val="000F359F"/>
    <w:rsid w:val="000F521F"/>
    <w:rsid w:val="000F6A44"/>
    <w:rsid w:val="00100D63"/>
    <w:rsid w:val="00102728"/>
    <w:rsid w:val="00103C6A"/>
    <w:rsid w:val="00104EF8"/>
    <w:rsid w:val="001055FA"/>
    <w:rsid w:val="00107E2A"/>
    <w:rsid w:val="00113F8B"/>
    <w:rsid w:val="00114361"/>
    <w:rsid w:val="001143DD"/>
    <w:rsid w:val="001151FD"/>
    <w:rsid w:val="00115583"/>
    <w:rsid w:val="00117411"/>
    <w:rsid w:val="001176D2"/>
    <w:rsid w:val="0012171E"/>
    <w:rsid w:val="00121D93"/>
    <w:rsid w:val="0012358B"/>
    <w:rsid w:val="00124601"/>
    <w:rsid w:val="00125320"/>
    <w:rsid w:val="00125440"/>
    <w:rsid w:val="00125723"/>
    <w:rsid w:val="00125E00"/>
    <w:rsid w:val="00126652"/>
    <w:rsid w:val="00126A01"/>
    <w:rsid w:val="00130283"/>
    <w:rsid w:val="001302A7"/>
    <w:rsid w:val="00132A6F"/>
    <w:rsid w:val="001366F3"/>
    <w:rsid w:val="00137C86"/>
    <w:rsid w:val="00137E1E"/>
    <w:rsid w:val="001424FA"/>
    <w:rsid w:val="00142945"/>
    <w:rsid w:val="001430CE"/>
    <w:rsid w:val="00143429"/>
    <w:rsid w:val="00144C98"/>
    <w:rsid w:val="00146811"/>
    <w:rsid w:val="00151E84"/>
    <w:rsid w:val="00152031"/>
    <w:rsid w:val="00155049"/>
    <w:rsid w:val="001555D0"/>
    <w:rsid w:val="00156131"/>
    <w:rsid w:val="00161061"/>
    <w:rsid w:val="001623E2"/>
    <w:rsid w:val="001645F1"/>
    <w:rsid w:val="001646F0"/>
    <w:rsid w:val="00164A64"/>
    <w:rsid w:val="0016576F"/>
    <w:rsid w:val="00165977"/>
    <w:rsid w:val="00165AC8"/>
    <w:rsid w:val="00166577"/>
    <w:rsid w:val="00167390"/>
    <w:rsid w:val="0016779A"/>
    <w:rsid w:val="00167844"/>
    <w:rsid w:val="00174DF7"/>
    <w:rsid w:val="00182934"/>
    <w:rsid w:val="00183218"/>
    <w:rsid w:val="0018339E"/>
    <w:rsid w:val="00184833"/>
    <w:rsid w:val="001853A5"/>
    <w:rsid w:val="001860DE"/>
    <w:rsid w:val="001868AA"/>
    <w:rsid w:val="0018718B"/>
    <w:rsid w:val="00192E4A"/>
    <w:rsid w:val="00193607"/>
    <w:rsid w:val="001954ED"/>
    <w:rsid w:val="001969E8"/>
    <w:rsid w:val="00197244"/>
    <w:rsid w:val="001A04B2"/>
    <w:rsid w:val="001A23D6"/>
    <w:rsid w:val="001A353B"/>
    <w:rsid w:val="001A3953"/>
    <w:rsid w:val="001A4F0F"/>
    <w:rsid w:val="001A50D4"/>
    <w:rsid w:val="001A61C7"/>
    <w:rsid w:val="001A7B2B"/>
    <w:rsid w:val="001B0F52"/>
    <w:rsid w:val="001B2676"/>
    <w:rsid w:val="001B2ECF"/>
    <w:rsid w:val="001B3E3F"/>
    <w:rsid w:val="001B577B"/>
    <w:rsid w:val="001B728F"/>
    <w:rsid w:val="001C1DCE"/>
    <w:rsid w:val="001C3817"/>
    <w:rsid w:val="001C3970"/>
    <w:rsid w:val="001C3BB4"/>
    <w:rsid w:val="001C431D"/>
    <w:rsid w:val="001C5785"/>
    <w:rsid w:val="001D03A8"/>
    <w:rsid w:val="001D2026"/>
    <w:rsid w:val="001D202D"/>
    <w:rsid w:val="001D3ED2"/>
    <w:rsid w:val="001D6BB4"/>
    <w:rsid w:val="001E1952"/>
    <w:rsid w:val="001E1C07"/>
    <w:rsid w:val="001E2478"/>
    <w:rsid w:val="001E35BE"/>
    <w:rsid w:val="001E68A5"/>
    <w:rsid w:val="001E7415"/>
    <w:rsid w:val="001F0735"/>
    <w:rsid w:val="001F166C"/>
    <w:rsid w:val="001F3534"/>
    <w:rsid w:val="001F3AF4"/>
    <w:rsid w:val="001F5857"/>
    <w:rsid w:val="001F5FAA"/>
    <w:rsid w:val="0020099A"/>
    <w:rsid w:val="00200EF6"/>
    <w:rsid w:val="0020167B"/>
    <w:rsid w:val="00202B25"/>
    <w:rsid w:val="00203C9A"/>
    <w:rsid w:val="0020429F"/>
    <w:rsid w:val="00204C32"/>
    <w:rsid w:val="00205626"/>
    <w:rsid w:val="002062EB"/>
    <w:rsid w:val="00206D5C"/>
    <w:rsid w:val="00210721"/>
    <w:rsid w:val="002116E8"/>
    <w:rsid w:val="00211E15"/>
    <w:rsid w:val="00216AA6"/>
    <w:rsid w:val="0022000A"/>
    <w:rsid w:val="002250E8"/>
    <w:rsid w:val="002273AB"/>
    <w:rsid w:val="002308C2"/>
    <w:rsid w:val="002320A5"/>
    <w:rsid w:val="00232610"/>
    <w:rsid w:val="00232D90"/>
    <w:rsid w:val="00233651"/>
    <w:rsid w:val="0023416A"/>
    <w:rsid w:val="002345F8"/>
    <w:rsid w:val="0023603E"/>
    <w:rsid w:val="0023744B"/>
    <w:rsid w:val="00237E46"/>
    <w:rsid w:val="00240A14"/>
    <w:rsid w:val="00241064"/>
    <w:rsid w:val="00241276"/>
    <w:rsid w:val="00241D14"/>
    <w:rsid w:val="00245381"/>
    <w:rsid w:val="00245E38"/>
    <w:rsid w:val="0025036C"/>
    <w:rsid w:val="0025122F"/>
    <w:rsid w:val="0025148E"/>
    <w:rsid w:val="00252194"/>
    <w:rsid w:val="00252396"/>
    <w:rsid w:val="0025443A"/>
    <w:rsid w:val="00255B1D"/>
    <w:rsid w:val="00256F14"/>
    <w:rsid w:val="00260426"/>
    <w:rsid w:val="002604DB"/>
    <w:rsid w:val="00263501"/>
    <w:rsid w:val="0026474F"/>
    <w:rsid w:val="00267843"/>
    <w:rsid w:val="0026793B"/>
    <w:rsid w:val="00270102"/>
    <w:rsid w:val="00270E93"/>
    <w:rsid w:val="0027219A"/>
    <w:rsid w:val="0027336D"/>
    <w:rsid w:val="002752B2"/>
    <w:rsid w:val="00277354"/>
    <w:rsid w:val="002776D0"/>
    <w:rsid w:val="002803D9"/>
    <w:rsid w:val="002811C1"/>
    <w:rsid w:val="00285541"/>
    <w:rsid w:val="00285AEE"/>
    <w:rsid w:val="00285E46"/>
    <w:rsid w:val="00286771"/>
    <w:rsid w:val="002976E9"/>
    <w:rsid w:val="00297D92"/>
    <w:rsid w:val="002A284E"/>
    <w:rsid w:val="002A3312"/>
    <w:rsid w:val="002A3E82"/>
    <w:rsid w:val="002A7EDB"/>
    <w:rsid w:val="002B12E0"/>
    <w:rsid w:val="002B30A2"/>
    <w:rsid w:val="002B4130"/>
    <w:rsid w:val="002B6957"/>
    <w:rsid w:val="002B708D"/>
    <w:rsid w:val="002B7865"/>
    <w:rsid w:val="002B793E"/>
    <w:rsid w:val="002B7C04"/>
    <w:rsid w:val="002C003E"/>
    <w:rsid w:val="002C3A6E"/>
    <w:rsid w:val="002C75B8"/>
    <w:rsid w:val="002C7C0A"/>
    <w:rsid w:val="002D0518"/>
    <w:rsid w:val="002D4053"/>
    <w:rsid w:val="002D4973"/>
    <w:rsid w:val="002D5C09"/>
    <w:rsid w:val="002D7A68"/>
    <w:rsid w:val="002E3E47"/>
    <w:rsid w:val="002E5653"/>
    <w:rsid w:val="002E5DCA"/>
    <w:rsid w:val="002F0574"/>
    <w:rsid w:val="002F0765"/>
    <w:rsid w:val="002F0F2B"/>
    <w:rsid w:val="002F1A67"/>
    <w:rsid w:val="002F2224"/>
    <w:rsid w:val="002F2ACB"/>
    <w:rsid w:val="002F39CE"/>
    <w:rsid w:val="002F6336"/>
    <w:rsid w:val="002F64F3"/>
    <w:rsid w:val="002F6FA6"/>
    <w:rsid w:val="00300BCE"/>
    <w:rsid w:val="00300E35"/>
    <w:rsid w:val="00301199"/>
    <w:rsid w:val="0030363D"/>
    <w:rsid w:val="003054FB"/>
    <w:rsid w:val="00305C75"/>
    <w:rsid w:val="00306809"/>
    <w:rsid w:val="00311251"/>
    <w:rsid w:val="003138A6"/>
    <w:rsid w:val="00313DC2"/>
    <w:rsid w:val="00314844"/>
    <w:rsid w:val="003154D6"/>
    <w:rsid w:val="0032131E"/>
    <w:rsid w:val="00322412"/>
    <w:rsid w:val="0032344D"/>
    <w:rsid w:val="00330FF9"/>
    <w:rsid w:val="00333F8C"/>
    <w:rsid w:val="00336530"/>
    <w:rsid w:val="00340AD8"/>
    <w:rsid w:val="00341485"/>
    <w:rsid w:val="003417A1"/>
    <w:rsid w:val="00342BA5"/>
    <w:rsid w:val="00343825"/>
    <w:rsid w:val="003442C9"/>
    <w:rsid w:val="0034584F"/>
    <w:rsid w:val="0034639C"/>
    <w:rsid w:val="00347E62"/>
    <w:rsid w:val="00350563"/>
    <w:rsid w:val="0035640B"/>
    <w:rsid w:val="0035712B"/>
    <w:rsid w:val="003616C4"/>
    <w:rsid w:val="00361D14"/>
    <w:rsid w:val="00363497"/>
    <w:rsid w:val="00365CD8"/>
    <w:rsid w:val="00365DEB"/>
    <w:rsid w:val="003737C6"/>
    <w:rsid w:val="00373B2F"/>
    <w:rsid w:val="00375170"/>
    <w:rsid w:val="00377C13"/>
    <w:rsid w:val="003850E0"/>
    <w:rsid w:val="00386976"/>
    <w:rsid w:val="00387E54"/>
    <w:rsid w:val="00387E57"/>
    <w:rsid w:val="00391137"/>
    <w:rsid w:val="00391FDB"/>
    <w:rsid w:val="003948D9"/>
    <w:rsid w:val="0039544F"/>
    <w:rsid w:val="003A0573"/>
    <w:rsid w:val="003A0EA0"/>
    <w:rsid w:val="003A2B67"/>
    <w:rsid w:val="003A4E46"/>
    <w:rsid w:val="003B2AB2"/>
    <w:rsid w:val="003B2B65"/>
    <w:rsid w:val="003B2C88"/>
    <w:rsid w:val="003B3917"/>
    <w:rsid w:val="003B5271"/>
    <w:rsid w:val="003B75AA"/>
    <w:rsid w:val="003C29B3"/>
    <w:rsid w:val="003C4709"/>
    <w:rsid w:val="003C658D"/>
    <w:rsid w:val="003C716E"/>
    <w:rsid w:val="003D0897"/>
    <w:rsid w:val="003D77D3"/>
    <w:rsid w:val="003E2B38"/>
    <w:rsid w:val="003E3017"/>
    <w:rsid w:val="003E3A7F"/>
    <w:rsid w:val="003F1A08"/>
    <w:rsid w:val="003F1FBB"/>
    <w:rsid w:val="003F2271"/>
    <w:rsid w:val="003F262D"/>
    <w:rsid w:val="003F4019"/>
    <w:rsid w:val="003F40BE"/>
    <w:rsid w:val="003F51CF"/>
    <w:rsid w:val="003F6CD6"/>
    <w:rsid w:val="003F77D7"/>
    <w:rsid w:val="004022B3"/>
    <w:rsid w:val="00402D30"/>
    <w:rsid w:val="0040568B"/>
    <w:rsid w:val="0040610B"/>
    <w:rsid w:val="004068EA"/>
    <w:rsid w:val="0041091A"/>
    <w:rsid w:val="00412A4D"/>
    <w:rsid w:val="004130AA"/>
    <w:rsid w:val="0041375F"/>
    <w:rsid w:val="00415934"/>
    <w:rsid w:val="00415B45"/>
    <w:rsid w:val="0041643C"/>
    <w:rsid w:val="00421560"/>
    <w:rsid w:val="00423588"/>
    <w:rsid w:val="00424FFC"/>
    <w:rsid w:val="004259C4"/>
    <w:rsid w:val="00426532"/>
    <w:rsid w:val="0042777A"/>
    <w:rsid w:val="004306F5"/>
    <w:rsid w:val="0043078B"/>
    <w:rsid w:val="00434A9C"/>
    <w:rsid w:val="00434FB9"/>
    <w:rsid w:val="00442E59"/>
    <w:rsid w:val="00443018"/>
    <w:rsid w:val="0044321F"/>
    <w:rsid w:val="00443D7E"/>
    <w:rsid w:val="004445EC"/>
    <w:rsid w:val="00446CCC"/>
    <w:rsid w:val="004549FD"/>
    <w:rsid w:val="00454EA8"/>
    <w:rsid w:val="00456DD1"/>
    <w:rsid w:val="00461001"/>
    <w:rsid w:val="004619A3"/>
    <w:rsid w:val="00462BEA"/>
    <w:rsid w:val="004675CE"/>
    <w:rsid w:val="0046797E"/>
    <w:rsid w:val="004679CF"/>
    <w:rsid w:val="004706ED"/>
    <w:rsid w:val="00471404"/>
    <w:rsid w:val="00473DE7"/>
    <w:rsid w:val="00474A33"/>
    <w:rsid w:val="00476A42"/>
    <w:rsid w:val="00476E75"/>
    <w:rsid w:val="0047718D"/>
    <w:rsid w:val="00480634"/>
    <w:rsid w:val="00480DA5"/>
    <w:rsid w:val="00491180"/>
    <w:rsid w:val="00492A51"/>
    <w:rsid w:val="004931D6"/>
    <w:rsid w:val="00493759"/>
    <w:rsid w:val="00495762"/>
    <w:rsid w:val="0049636C"/>
    <w:rsid w:val="00496836"/>
    <w:rsid w:val="0049782C"/>
    <w:rsid w:val="004A02F2"/>
    <w:rsid w:val="004A0BD0"/>
    <w:rsid w:val="004A27A0"/>
    <w:rsid w:val="004A2C8C"/>
    <w:rsid w:val="004A6941"/>
    <w:rsid w:val="004A6D40"/>
    <w:rsid w:val="004A767E"/>
    <w:rsid w:val="004B0696"/>
    <w:rsid w:val="004B13DE"/>
    <w:rsid w:val="004B4883"/>
    <w:rsid w:val="004B4BAA"/>
    <w:rsid w:val="004B6D6D"/>
    <w:rsid w:val="004B77EC"/>
    <w:rsid w:val="004C29FA"/>
    <w:rsid w:val="004C351A"/>
    <w:rsid w:val="004C37B7"/>
    <w:rsid w:val="004C3982"/>
    <w:rsid w:val="004C4515"/>
    <w:rsid w:val="004C4ED3"/>
    <w:rsid w:val="004C57C2"/>
    <w:rsid w:val="004C746B"/>
    <w:rsid w:val="004D14F4"/>
    <w:rsid w:val="004D28E9"/>
    <w:rsid w:val="004D54A6"/>
    <w:rsid w:val="004E2938"/>
    <w:rsid w:val="004E2E35"/>
    <w:rsid w:val="004E4B61"/>
    <w:rsid w:val="004E6308"/>
    <w:rsid w:val="004E630D"/>
    <w:rsid w:val="004E7486"/>
    <w:rsid w:val="004F0A76"/>
    <w:rsid w:val="004F107C"/>
    <w:rsid w:val="004F18B8"/>
    <w:rsid w:val="004F1D32"/>
    <w:rsid w:val="004F2A73"/>
    <w:rsid w:val="004F5463"/>
    <w:rsid w:val="004F5D6C"/>
    <w:rsid w:val="00500B5F"/>
    <w:rsid w:val="00501811"/>
    <w:rsid w:val="00502D9E"/>
    <w:rsid w:val="005061C5"/>
    <w:rsid w:val="005062FC"/>
    <w:rsid w:val="00506DEC"/>
    <w:rsid w:val="00507441"/>
    <w:rsid w:val="005104D2"/>
    <w:rsid w:val="00511815"/>
    <w:rsid w:val="00511E9C"/>
    <w:rsid w:val="005165B5"/>
    <w:rsid w:val="005176BF"/>
    <w:rsid w:val="005238BA"/>
    <w:rsid w:val="0052455E"/>
    <w:rsid w:val="00524BA8"/>
    <w:rsid w:val="00525A78"/>
    <w:rsid w:val="00525F5F"/>
    <w:rsid w:val="005260BD"/>
    <w:rsid w:val="005273F5"/>
    <w:rsid w:val="00530C84"/>
    <w:rsid w:val="0053204D"/>
    <w:rsid w:val="0053352F"/>
    <w:rsid w:val="00533D84"/>
    <w:rsid w:val="00534976"/>
    <w:rsid w:val="00536EA6"/>
    <w:rsid w:val="005374AB"/>
    <w:rsid w:val="00540595"/>
    <w:rsid w:val="00540FBE"/>
    <w:rsid w:val="00541025"/>
    <w:rsid w:val="0054315C"/>
    <w:rsid w:val="00543699"/>
    <w:rsid w:val="005444CD"/>
    <w:rsid w:val="00547AFE"/>
    <w:rsid w:val="005504BA"/>
    <w:rsid w:val="0055577B"/>
    <w:rsid w:val="0056004D"/>
    <w:rsid w:val="005604A4"/>
    <w:rsid w:val="00565DE9"/>
    <w:rsid w:val="0056677B"/>
    <w:rsid w:val="00567C54"/>
    <w:rsid w:val="00570352"/>
    <w:rsid w:val="00570F36"/>
    <w:rsid w:val="00570F7C"/>
    <w:rsid w:val="00571EEF"/>
    <w:rsid w:val="00572F8D"/>
    <w:rsid w:val="005764C2"/>
    <w:rsid w:val="00577CA5"/>
    <w:rsid w:val="005868A3"/>
    <w:rsid w:val="00587221"/>
    <w:rsid w:val="00590067"/>
    <w:rsid w:val="00594E06"/>
    <w:rsid w:val="00595BD4"/>
    <w:rsid w:val="00595FF1"/>
    <w:rsid w:val="005A3375"/>
    <w:rsid w:val="005A4052"/>
    <w:rsid w:val="005A4B73"/>
    <w:rsid w:val="005A58CB"/>
    <w:rsid w:val="005A70D6"/>
    <w:rsid w:val="005B0D75"/>
    <w:rsid w:val="005B5295"/>
    <w:rsid w:val="005B5C7E"/>
    <w:rsid w:val="005B6316"/>
    <w:rsid w:val="005C0907"/>
    <w:rsid w:val="005C0EC7"/>
    <w:rsid w:val="005C1F22"/>
    <w:rsid w:val="005C30B3"/>
    <w:rsid w:val="005D1550"/>
    <w:rsid w:val="005D23DD"/>
    <w:rsid w:val="005D4309"/>
    <w:rsid w:val="005D4739"/>
    <w:rsid w:val="005D5786"/>
    <w:rsid w:val="005E1127"/>
    <w:rsid w:val="005F0705"/>
    <w:rsid w:val="005F3791"/>
    <w:rsid w:val="005F38E5"/>
    <w:rsid w:val="005F3C15"/>
    <w:rsid w:val="005F4C6D"/>
    <w:rsid w:val="005F50B7"/>
    <w:rsid w:val="005F72EE"/>
    <w:rsid w:val="005F7DB0"/>
    <w:rsid w:val="006009F0"/>
    <w:rsid w:val="00601B61"/>
    <w:rsid w:val="006022FB"/>
    <w:rsid w:val="006030D4"/>
    <w:rsid w:val="0060331E"/>
    <w:rsid w:val="00603640"/>
    <w:rsid w:val="00610450"/>
    <w:rsid w:val="00612B33"/>
    <w:rsid w:val="00614762"/>
    <w:rsid w:val="00615664"/>
    <w:rsid w:val="00620693"/>
    <w:rsid w:val="00620991"/>
    <w:rsid w:val="00626895"/>
    <w:rsid w:val="00626FF5"/>
    <w:rsid w:val="0062716E"/>
    <w:rsid w:val="00627E99"/>
    <w:rsid w:val="00630028"/>
    <w:rsid w:val="006304A3"/>
    <w:rsid w:val="00631414"/>
    <w:rsid w:val="00631FF7"/>
    <w:rsid w:val="00632FCC"/>
    <w:rsid w:val="006357D3"/>
    <w:rsid w:val="00637B13"/>
    <w:rsid w:val="00640732"/>
    <w:rsid w:val="00640C5F"/>
    <w:rsid w:val="006438A9"/>
    <w:rsid w:val="0064448E"/>
    <w:rsid w:val="006452DF"/>
    <w:rsid w:val="006474AF"/>
    <w:rsid w:val="006516F1"/>
    <w:rsid w:val="00653B23"/>
    <w:rsid w:val="006545FA"/>
    <w:rsid w:val="00655AFB"/>
    <w:rsid w:val="00655C00"/>
    <w:rsid w:val="00655C36"/>
    <w:rsid w:val="00656467"/>
    <w:rsid w:val="006577EA"/>
    <w:rsid w:val="00657F42"/>
    <w:rsid w:val="00661FCA"/>
    <w:rsid w:val="00662D8E"/>
    <w:rsid w:val="006631C0"/>
    <w:rsid w:val="00665194"/>
    <w:rsid w:val="0066689D"/>
    <w:rsid w:val="0066692E"/>
    <w:rsid w:val="00671E0F"/>
    <w:rsid w:val="00677F24"/>
    <w:rsid w:val="00680C3D"/>
    <w:rsid w:val="00681546"/>
    <w:rsid w:val="006822CE"/>
    <w:rsid w:val="00683597"/>
    <w:rsid w:val="00686877"/>
    <w:rsid w:val="006873E7"/>
    <w:rsid w:val="00687C4F"/>
    <w:rsid w:val="00693E5E"/>
    <w:rsid w:val="00693FED"/>
    <w:rsid w:val="00697CAD"/>
    <w:rsid w:val="006A0640"/>
    <w:rsid w:val="006A30B5"/>
    <w:rsid w:val="006A3271"/>
    <w:rsid w:val="006A4985"/>
    <w:rsid w:val="006A4CFC"/>
    <w:rsid w:val="006A508C"/>
    <w:rsid w:val="006A6B76"/>
    <w:rsid w:val="006A7538"/>
    <w:rsid w:val="006A79D7"/>
    <w:rsid w:val="006B0890"/>
    <w:rsid w:val="006B0C6A"/>
    <w:rsid w:val="006B199E"/>
    <w:rsid w:val="006B298B"/>
    <w:rsid w:val="006B2C17"/>
    <w:rsid w:val="006C12F0"/>
    <w:rsid w:val="006C1F85"/>
    <w:rsid w:val="006C352B"/>
    <w:rsid w:val="006C471E"/>
    <w:rsid w:val="006C5D26"/>
    <w:rsid w:val="006C6C3B"/>
    <w:rsid w:val="006C7526"/>
    <w:rsid w:val="006C7645"/>
    <w:rsid w:val="006D04C8"/>
    <w:rsid w:val="006D3676"/>
    <w:rsid w:val="006D3BA8"/>
    <w:rsid w:val="006E078D"/>
    <w:rsid w:val="006E4A05"/>
    <w:rsid w:val="006F10ED"/>
    <w:rsid w:val="006F1389"/>
    <w:rsid w:val="006F1DB2"/>
    <w:rsid w:val="006F7702"/>
    <w:rsid w:val="00701056"/>
    <w:rsid w:val="007014EE"/>
    <w:rsid w:val="00701D02"/>
    <w:rsid w:val="0070282D"/>
    <w:rsid w:val="00703650"/>
    <w:rsid w:val="007036BD"/>
    <w:rsid w:val="00704FA1"/>
    <w:rsid w:val="0070667A"/>
    <w:rsid w:val="00711C2E"/>
    <w:rsid w:val="0071441F"/>
    <w:rsid w:val="0071486F"/>
    <w:rsid w:val="00715CE6"/>
    <w:rsid w:val="0071749C"/>
    <w:rsid w:val="00717E65"/>
    <w:rsid w:val="007213E4"/>
    <w:rsid w:val="0072183E"/>
    <w:rsid w:val="0072294D"/>
    <w:rsid w:val="00723112"/>
    <w:rsid w:val="00725AF0"/>
    <w:rsid w:val="00725E64"/>
    <w:rsid w:val="00737066"/>
    <w:rsid w:val="0074034F"/>
    <w:rsid w:val="00740DE3"/>
    <w:rsid w:val="00741920"/>
    <w:rsid w:val="007423DA"/>
    <w:rsid w:val="00742D28"/>
    <w:rsid w:val="0074376A"/>
    <w:rsid w:val="00744098"/>
    <w:rsid w:val="00744AEB"/>
    <w:rsid w:val="00747F5C"/>
    <w:rsid w:val="00750666"/>
    <w:rsid w:val="00751460"/>
    <w:rsid w:val="007534CC"/>
    <w:rsid w:val="007539BA"/>
    <w:rsid w:val="00755639"/>
    <w:rsid w:val="007557AF"/>
    <w:rsid w:val="00755D5A"/>
    <w:rsid w:val="00756C8C"/>
    <w:rsid w:val="0075791A"/>
    <w:rsid w:val="00760225"/>
    <w:rsid w:val="00763976"/>
    <w:rsid w:val="007639DE"/>
    <w:rsid w:val="0076586F"/>
    <w:rsid w:val="007666B9"/>
    <w:rsid w:val="00772E62"/>
    <w:rsid w:val="00774776"/>
    <w:rsid w:val="007748C9"/>
    <w:rsid w:val="00775428"/>
    <w:rsid w:val="00775607"/>
    <w:rsid w:val="00777037"/>
    <w:rsid w:val="007824D3"/>
    <w:rsid w:val="007829AD"/>
    <w:rsid w:val="0078308D"/>
    <w:rsid w:val="00787586"/>
    <w:rsid w:val="007879A4"/>
    <w:rsid w:val="007907EC"/>
    <w:rsid w:val="007941C1"/>
    <w:rsid w:val="007970AD"/>
    <w:rsid w:val="007A1330"/>
    <w:rsid w:val="007A27D4"/>
    <w:rsid w:val="007A7954"/>
    <w:rsid w:val="007B05B1"/>
    <w:rsid w:val="007B0819"/>
    <w:rsid w:val="007B2032"/>
    <w:rsid w:val="007B2412"/>
    <w:rsid w:val="007B2577"/>
    <w:rsid w:val="007B308F"/>
    <w:rsid w:val="007B3B79"/>
    <w:rsid w:val="007B51ED"/>
    <w:rsid w:val="007B588F"/>
    <w:rsid w:val="007B78F7"/>
    <w:rsid w:val="007C13A2"/>
    <w:rsid w:val="007C20AF"/>
    <w:rsid w:val="007C3D6E"/>
    <w:rsid w:val="007C554B"/>
    <w:rsid w:val="007C76B7"/>
    <w:rsid w:val="007D75E1"/>
    <w:rsid w:val="007E1F9D"/>
    <w:rsid w:val="007E4252"/>
    <w:rsid w:val="007E5B63"/>
    <w:rsid w:val="007E5F54"/>
    <w:rsid w:val="007E64DF"/>
    <w:rsid w:val="007F4643"/>
    <w:rsid w:val="007F52C4"/>
    <w:rsid w:val="00801A95"/>
    <w:rsid w:val="00802E22"/>
    <w:rsid w:val="00803054"/>
    <w:rsid w:val="0080613C"/>
    <w:rsid w:val="0080742F"/>
    <w:rsid w:val="00812F84"/>
    <w:rsid w:val="0081302B"/>
    <w:rsid w:val="00813432"/>
    <w:rsid w:val="0081667B"/>
    <w:rsid w:val="00820C1D"/>
    <w:rsid w:val="008241FC"/>
    <w:rsid w:val="008266C2"/>
    <w:rsid w:val="008279B4"/>
    <w:rsid w:val="00831359"/>
    <w:rsid w:val="0083242C"/>
    <w:rsid w:val="00832942"/>
    <w:rsid w:val="00833FEB"/>
    <w:rsid w:val="0083408B"/>
    <w:rsid w:val="00834F6E"/>
    <w:rsid w:val="00835AB3"/>
    <w:rsid w:val="0083630B"/>
    <w:rsid w:val="00836486"/>
    <w:rsid w:val="00840F97"/>
    <w:rsid w:val="008439F6"/>
    <w:rsid w:val="0084553F"/>
    <w:rsid w:val="0084702D"/>
    <w:rsid w:val="00847FF6"/>
    <w:rsid w:val="00850F19"/>
    <w:rsid w:val="0085416C"/>
    <w:rsid w:val="008556F4"/>
    <w:rsid w:val="00855F98"/>
    <w:rsid w:val="0085686B"/>
    <w:rsid w:val="008572CF"/>
    <w:rsid w:val="00861944"/>
    <w:rsid w:val="008622AE"/>
    <w:rsid w:val="00863F13"/>
    <w:rsid w:val="008652E5"/>
    <w:rsid w:val="00870CC9"/>
    <w:rsid w:val="00870DCB"/>
    <w:rsid w:val="008745BD"/>
    <w:rsid w:val="00875374"/>
    <w:rsid w:val="00877524"/>
    <w:rsid w:val="00877C19"/>
    <w:rsid w:val="008830A8"/>
    <w:rsid w:val="0088357D"/>
    <w:rsid w:val="008848FA"/>
    <w:rsid w:val="00884C58"/>
    <w:rsid w:val="00884DB9"/>
    <w:rsid w:val="00885A49"/>
    <w:rsid w:val="00886C57"/>
    <w:rsid w:val="008874A4"/>
    <w:rsid w:val="0089195B"/>
    <w:rsid w:val="008926E5"/>
    <w:rsid w:val="00892C12"/>
    <w:rsid w:val="00894643"/>
    <w:rsid w:val="00895926"/>
    <w:rsid w:val="00895CB4"/>
    <w:rsid w:val="008A3A06"/>
    <w:rsid w:val="008A562A"/>
    <w:rsid w:val="008B2EFF"/>
    <w:rsid w:val="008B2F99"/>
    <w:rsid w:val="008B31C1"/>
    <w:rsid w:val="008B529D"/>
    <w:rsid w:val="008B65FD"/>
    <w:rsid w:val="008C173A"/>
    <w:rsid w:val="008C1A63"/>
    <w:rsid w:val="008C1ED4"/>
    <w:rsid w:val="008C3448"/>
    <w:rsid w:val="008C406D"/>
    <w:rsid w:val="008C4E87"/>
    <w:rsid w:val="008C5852"/>
    <w:rsid w:val="008C611F"/>
    <w:rsid w:val="008C688A"/>
    <w:rsid w:val="008C6AC0"/>
    <w:rsid w:val="008C7BCA"/>
    <w:rsid w:val="008C7E01"/>
    <w:rsid w:val="008D21DB"/>
    <w:rsid w:val="008D27B8"/>
    <w:rsid w:val="008D3B52"/>
    <w:rsid w:val="008D4784"/>
    <w:rsid w:val="008D51A1"/>
    <w:rsid w:val="008E29B3"/>
    <w:rsid w:val="008E5C1B"/>
    <w:rsid w:val="008E63C0"/>
    <w:rsid w:val="008E742B"/>
    <w:rsid w:val="008F14DD"/>
    <w:rsid w:val="008F17A4"/>
    <w:rsid w:val="008F2771"/>
    <w:rsid w:val="008F33A3"/>
    <w:rsid w:val="008F58ED"/>
    <w:rsid w:val="008F72D6"/>
    <w:rsid w:val="008F7ACD"/>
    <w:rsid w:val="008F7AEB"/>
    <w:rsid w:val="00900798"/>
    <w:rsid w:val="009028A8"/>
    <w:rsid w:val="009130E8"/>
    <w:rsid w:val="0091407F"/>
    <w:rsid w:val="009158AB"/>
    <w:rsid w:val="009207E9"/>
    <w:rsid w:val="009222C8"/>
    <w:rsid w:val="00923D5D"/>
    <w:rsid w:val="009244DA"/>
    <w:rsid w:val="00931645"/>
    <w:rsid w:val="00933E6C"/>
    <w:rsid w:val="0093447C"/>
    <w:rsid w:val="00937E4A"/>
    <w:rsid w:val="00940C8E"/>
    <w:rsid w:val="00942022"/>
    <w:rsid w:val="00944DCA"/>
    <w:rsid w:val="009453DB"/>
    <w:rsid w:val="00946B25"/>
    <w:rsid w:val="00946FEB"/>
    <w:rsid w:val="00947BB3"/>
    <w:rsid w:val="00951C56"/>
    <w:rsid w:val="009529EE"/>
    <w:rsid w:val="00952A6D"/>
    <w:rsid w:val="00953825"/>
    <w:rsid w:val="00953EBF"/>
    <w:rsid w:val="00954793"/>
    <w:rsid w:val="00954C61"/>
    <w:rsid w:val="00954DFA"/>
    <w:rsid w:val="00962247"/>
    <w:rsid w:val="00962578"/>
    <w:rsid w:val="00962F82"/>
    <w:rsid w:val="009634A1"/>
    <w:rsid w:val="00964DFC"/>
    <w:rsid w:val="00966C67"/>
    <w:rsid w:val="0096763D"/>
    <w:rsid w:val="00967E30"/>
    <w:rsid w:val="00971465"/>
    <w:rsid w:val="00971D0E"/>
    <w:rsid w:val="00972AA0"/>
    <w:rsid w:val="009736C1"/>
    <w:rsid w:val="00973FBF"/>
    <w:rsid w:val="00975F84"/>
    <w:rsid w:val="00976CE4"/>
    <w:rsid w:val="009816BF"/>
    <w:rsid w:val="0098322C"/>
    <w:rsid w:val="00984035"/>
    <w:rsid w:val="00984A62"/>
    <w:rsid w:val="00984FF5"/>
    <w:rsid w:val="00985E80"/>
    <w:rsid w:val="0098766D"/>
    <w:rsid w:val="00993C3B"/>
    <w:rsid w:val="00996FDA"/>
    <w:rsid w:val="009A14B5"/>
    <w:rsid w:val="009A1800"/>
    <w:rsid w:val="009A3E6B"/>
    <w:rsid w:val="009A4BFD"/>
    <w:rsid w:val="009B0EEF"/>
    <w:rsid w:val="009B1884"/>
    <w:rsid w:val="009B2BF2"/>
    <w:rsid w:val="009B35C3"/>
    <w:rsid w:val="009B3A0E"/>
    <w:rsid w:val="009B4BB2"/>
    <w:rsid w:val="009C278B"/>
    <w:rsid w:val="009C6951"/>
    <w:rsid w:val="009D17BC"/>
    <w:rsid w:val="009D17CE"/>
    <w:rsid w:val="009D1834"/>
    <w:rsid w:val="009D45CF"/>
    <w:rsid w:val="009D4AF8"/>
    <w:rsid w:val="009D4B60"/>
    <w:rsid w:val="009D4E13"/>
    <w:rsid w:val="009D68FF"/>
    <w:rsid w:val="009E0BA4"/>
    <w:rsid w:val="009E1273"/>
    <w:rsid w:val="009E1F7F"/>
    <w:rsid w:val="009E3851"/>
    <w:rsid w:val="009E470D"/>
    <w:rsid w:val="009E4CAA"/>
    <w:rsid w:val="009E51AB"/>
    <w:rsid w:val="009E54DB"/>
    <w:rsid w:val="009E7D6E"/>
    <w:rsid w:val="009F3689"/>
    <w:rsid w:val="009F60FC"/>
    <w:rsid w:val="00A003F2"/>
    <w:rsid w:val="00A0181B"/>
    <w:rsid w:val="00A033B1"/>
    <w:rsid w:val="00A043FC"/>
    <w:rsid w:val="00A04B66"/>
    <w:rsid w:val="00A05611"/>
    <w:rsid w:val="00A05BD3"/>
    <w:rsid w:val="00A05F1F"/>
    <w:rsid w:val="00A07FD9"/>
    <w:rsid w:val="00A1259C"/>
    <w:rsid w:val="00A12F4D"/>
    <w:rsid w:val="00A13CEC"/>
    <w:rsid w:val="00A13E13"/>
    <w:rsid w:val="00A2299D"/>
    <w:rsid w:val="00A23514"/>
    <w:rsid w:val="00A23CB1"/>
    <w:rsid w:val="00A24004"/>
    <w:rsid w:val="00A25DB2"/>
    <w:rsid w:val="00A26D8C"/>
    <w:rsid w:val="00A3134B"/>
    <w:rsid w:val="00A31D5B"/>
    <w:rsid w:val="00A33823"/>
    <w:rsid w:val="00A342D1"/>
    <w:rsid w:val="00A34510"/>
    <w:rsid w:val="00A35D5C"/>
    <w:rsid w:val="00A37817"/>
    <w:rsid w:val="00A4146F"/>
    <w:rsid w:val="00A417A5"/>
    <w:rsid w:val="00A50328"/>
    <w:rsid w:val="00A51610"/>
    <w:rsid w:val="00A51EC8"/>
    <w:rsid w:val="00A6251F"/>
    <w:rsid w:val="00A633F9"/>
    <w:rsid w:val="00A66320"/>
    <w:rsid w:val="00A70AFD"/>
    <w:rsid w:val="00A70EB4"/>
    <w:rsid w:val="00A7336B"/>
    <w:rsid w:val="00A76528"/>
    <w:rsid w:val="00A76644"/>
    <w:rsid w:val="00A803DC"/>
    <w:rsid w:val="00A81060"/>
    <w:rsid w:val="00A82196"/>
    <w:rsid w:val="00A85258"/>
    <w:rsid w:val="00A90E0F"/>
    <w:rsid w:val="00A92C4F"/>
    <w:rsid w:val="00A93A81"/>
    <w:rsid w:val="00A94885"/>
    <w:rsid w:val="00A9588E"/>
    <w:rsid w:val="00A96539"/>
    <w:rsid w:val="00AA0FFE"/>
    <w:rsid w:val="00AA19B8"/>
    <w:rsid w:val="00AA2927"/>
    <w:rsid w:val="00AA49DC"/>
    <w:rsid w:val="00AA54E1"/>
    <w:rsid w:val="00AB0635"/>
    <w:rsid w:val="00AB116C"/>
    <w:rsid w:val="00AB1B61"/>
    <w:rsid w:val="00AB1E7A"/>
    <w:rsid w:val="00AB2B70"/>
    <w:rsid w:val="00AB35CE"/>
    <w:rsid w:val="00AB3BB2"/>
    <w:rsid w:val="00AB48A8"/>
    <w:rsid w:val="00AC08A6"/>
    <w:rsid w:val="00AC499A"/>
    <w:rsid w:val="00AC4DBF"/>
    <w:rsid w:val="00AC730F"/>
    <w:rsid w:val="00AD0321"/>
    <w:rsid w:val="00AD0E36"/>
    <w:rsid w:val="00AD2024"/>
    <w:rsid w:val="00AD2B09"/>
    <w:rsid w:val="00AD2C48"/>
    <w:rsid w:val="00AD394D"/>
    <w:rsid w:val="00AD3D43"/>
    <w:rsid w:val="00AD5DD2"/>
    <w:rsid w:val="00AD7565"/>
    <w:rsid w:val="00AE0F5E"/>
    <w:rsid w:val="00AE100C"/>
    <w:rsid w:val="00AE4B72"/>
    <w:rsid w:val="00AE6434"/>
    <w:rsid w:val="00AF19A0"/>
    <w:rsid w:val="00AF405C"/>
    <w:rsid w:val="00AF6A6B"/>
    <w:rsid w:val="00AF7645"/>
    <w:rsid w:val="00AF79C9"/>
    <w:rsid w:val="00B03C75"/>
    <w:rsid w:val="00B04D90"/>
    <w:rsid w:val="00B04DD9"/>
    <w:rsid w:val="00B073AC"/>
    <w:rsid w:val="00B12BB7"/>
    <w:rsid w:val="00B14C5D"/>
    <w:rsid w:val="00B15EA5"/>
    <w:rsid w:val="00B22DDC"/>
    <w:rsid w:val="00B241B3"/>
    <w:rsid w:val="00B256F6"/>
    <w:rsid w:val="00B259DD"/>
    <w:rsid w:val="00B26C68"/>
    <w:rsid w:val="00B273D0"/>
    <w:rsid w:val="00B30763"/>
    <w:rsid w:val="00B30A5E"/>
    <w:rsid w:val="00B335EB"/>
    <w:rsid w:val="00B35378"/>
    <w:rsid w:val="00B365F9"/>
    <w:rsid w:val="00B3788B"/>
    <w:rsid w:val="00B40D8D"/>
    <w:rsid w:val="00B42BD4"/>
    <w:rsid w:val="00B431B1"/>
    <w:rsid w:val="00B4350C"/>
    <w:rsid w:val="00B466B1"/>
    <w:rsid w:val="00B5279D"/>
    <w:rsid w:val="00B53648"/>
    <w:rsid w:val="00B54909"/>
    <w:rsid w:val="00B57918"/>
    <w:rsid w:val="00B6044B"/>
    <w:rsid w:val="00B614E1"/>
    <w:rsid w:val="00B61ECA"/>
    <w:rsid w:val="00B62CED"/>
    <w:rsid w:val="00B63DD6"/>
    <w:rsid w:val="00B63F8A"/>
    <w:rsid w:val="00B643F8"/>
    <w:rsid w:val="00B65CC9"/>
    <w:rsid w:val="00B65E6B"/>
    <w:rsid w:val="00B67B8E"/>
    <w:rsid w:val="00B70721"/>
    <w:rsid w:val="00B70790"/>
    <w:rsid w:val="00B70C60"/>
    <w:rsid w:val="00B70C62"/>
    <w:rsid w:val="00B73475"/>
    <w:rsid w:val="00B73736"/>
    <w:rsid w:val="00B737F1"/>
    <w:rsid w:val="00B74C02"/>
    <w:rsid w:val="00B757EA"/>
    <w:rsid w:val="00B80A10"/>
    <w:rsid w:val="00B831EB"/>
    <w:rsid w:val="00B8774F"/>
    <w:rsid w:val="00B87FF1"/>
    <w:rsid w:val="00B9199F"/>
    <w:rsid w:val="00B92FE2"/>
    <w:rsid w:val="00B94DAF"/>
    <w:rsid w:val="00B96754"/>
    <w:rsid w:val="00BA03A9"/>
    <w:rsid w:val="00BA27B2"/>
    <w:rsid w:val="00BA379D"/>
    <w:rsid w:val="00BA38B5"/>
    <w:rsid w:val="00BA53B8"/>
    <w:rsid w:val="00BA690F"/>
    <w:rsid w:val="00BA7D22"/>
    <w:rsid w:val="00BB1CBF"/>
    <w:rsid w:val="00BB1FDE"/>
    <w:rsid w:val="00BB2313"/>
    <w:rsid w:val="00BB2C65"/>
    <w:rsid w:val="00BB774F"/>
    <w:rsid w:val="00BB7CCA"/>
    <w:rsid w:val="00BC0C0D"/>
    <w:rsid w:val="00BC1328"/>
    <w:rsid w:val="00BC20FE"/>
    <w:rsid w:val="00BC4F54"/>
    <w:rsid w:val="00BC66C4"/>
    <w:rsid w:val="00BC733F"/>
    <w:rsid w:val="00BC7AE6"/>
    <w:rsid w:val="00BC7EB6"/>
    <w:rsid w:val="00BD0642"/>
    <w:rsid w:val="00BD130C"/>
    <w:rsid w:val="00BD2CDC"/>
    <w:rsid w:val="00BD4376"/>
    <w:rsid w:val="00BD499F"/>
    <w:rsid w:val="00BD4C83"/>
    <w:rsid w:val="00BD5480"/>
    <w:rsid w:val="00BD5E16"/>
    <w:rsid w:val="00BD79EC"/>
    <w:rsid w:val="00BE2C93"/>
    <w:rsid w:val="00BE37F2"/>
    <w:rsid w:val="00BE5E13"/>
    <w:rsid w:val="00BE5F5D"/>
    <w:rsid w:val="00BF3B84"/>
    <w:rsid w:val="00BF3EF9"/>
    <w:rsid w:val="00BF5744"/>
    <w:rsid w:val="00BF5C2F"/>
    <w:rsid w:val="00BF79FD"/>
    <w:rsid w:val="00C02821"/>
    <w:rsid w:val="00C02E15"/>
    <w:rsid w:val="00C03C4B"/>
    <w:rsid w:val="00C12043"/>
    <w:rsid w:val="00C13779"/>
    <w:rsid w:val="00C13BC5"/>
    <w:rsid w:val="00C1440B"/>
    <w:rsid w:val="00C1711C"/>
    <w:rsid w:val="00C176E8"/>
    <w:rsid w:val="00C23051"/>
    <w:rsid w:val="00C23721"/>
    <w:rsid w:val="00C259B2"/>
    <w:rsid w:val="00C26554"/>
    <w:rsid w:val="00C26FFB"/>
    <w:rsid w:val="00C326CC"/>
    <w:rsid w:val="00C32DA1"/>
    <w:rsid w:val="00C33076"/>
    <w:rsid w:val="00C34467"/>
    <w:rsid w:val="00C35322"/>
    <w:rsid w:val="00C370EF"/>
    <w:rsid w:val="00C37A9A"/>
    <w:rsid w:val="00C40E20"/>
    <w:rsid w:val="00C4211A"/>
    <w:rsid w:val="00C424F9"/>
    <w:rsid w:val="00C46FCC"/>
    <w:rsid w:val="00C510B6"/>
    <w:rsid w:val="00C51297"/>
    <w:rsid w:val="00C5172C"/>
    <w:rsid w:val="00C517D0"/>
    <w:rsid w:val="00C5333A"/>
    <w:rsid w:val="00C54CBB"/>
    <w:rsid w:val="00C56B9F"/>
    <w:rsid w:val="00C57162"/>
    <w:rsid w:val="00C60CB0"/>
    <w:rsid w:val="00C60F5A"/>
    <w:rsid w:val="00C63587"/>
    <w:rsid w:val="00C640A1"/>
    <w:rsid w:val="00C669D6"/>
    <w:rsid w:val="00C67918"/>
    <w:rsid w:val="00C70BF1"/>
    <w:rsid w:val="00C713C8"/>
    <w:rsid w:val="00C716F0"/>
    <w:rsid w:val="00C721C9"/>
    <w:rsid w:val="00C74B84"/>
    <w:rsid w:val="00C81791"/>
    <w:rsid w:val="00C81AFD"/>
    <w:rsid w:val="00C82882"/>
    <w:rsid w:val="00C830BF"/>
    <w:rsid w:val="00C8681E"/>
    <w:rsid w:val="00C8784F"/>
    <w:rsid w:val="00C90250"/>
    <w:rsid w:val="00C90594"/>
    <w:rsid w:val="00C90F01"/>
    <w:rsid w:val="00C93ADF"/>
    <w:rsid w:val="00C945CF"/>
    <w:rsid w:val="00C95AB0"/>
    <w:rsid w:val="00C97EF9"/>
    <w:rsid w:val="00CA0ECD"/>
    <w:rsid w:val="00CA0ED1"/>
    <w:rsid w:val="00CA1E3D"/>
    <w:rsid w:val="00CA449D"/>
    <w:rsid w:val="00CA48A5"/>
    <w:rsid w:val="00CA685B"/>
    <w:rsid w:val="00CA6917"/>
    <w:rsid w:val="00CA7B54"/>
    <w:rsid w:val="00CB025C"/>
    <w:rsid w:val="00CB176A"/>
    <w:rsid w:val="00CB2BB1"/>
    <w:rsid w:val="00CB2D67"/>
    <w:rsid w:val="00CB33DE"/>
    <w:rsid w:val="00CB343F"/>
    <w:rsid w:val="00CB6C8F"/>
    <w:rsid w:val="00CC18C8"/>
    <w:rsid w:val="00CC2D97"/>
    <w:rsid w:val="00CC38F5"/>
    <w:rsid w:val="00CC3F4F"/>
    <w:rsid w:val="00CC4329"/>
    <w:rsid w:val="00CC4333"/>
    <w:rsid w:val="00CC5A00"/>
    <w:rsid w:val="00CC5D3F"/>
    <w:rsid w:val="00CD03DC"/>
    <w:rsid w:val="00CD0537"/>
    <w:rsid w:val="00CD06F9"/>
    <w:rsid w:val="00CD1092"/>
    <w:rsid w:val="00CD4CE4"/>
    <w:rsid w:val="00CD61FB"/>
    <w:rsid w:val="00CD733B"/>
    <w:rsid w:val="00CD7704"/>
    <w:rsid w:val="00CD7899"/>
    <w:rsid w:val="00CE432F"/>
    <w:rsid w:val="00CE50AF"/>
    <w:rsid w:val="00CE66D0"/>
    <w:rsid w:val="00CE7683"/>
    <w:rsid w:val="00CF496E"/>
    <w:rsid w:val="00CF7E2D"/>
    <w:rsid w:val="00D00950"/>
    <w:rsid w:val="00D01C00"/>
    <w:rsid w:val="00D0298C"/>
    <w:rsid w:val="00D043E6"/>
    <w:rsid w:val="00D05112"/>
    <w:rsid w:val="00D05B8E"/>
    <w:rsid w:val="00D10E83"/>
    <w:rsid w:val="00D11690"/>
    <w:rsid w:val="00D12CBB"/>
    <w:rsid w:val="00D135E4"/>
    <w:rsid w:val="00D13DD2"/>
    <w:rsid w:val="00D14AF2"/>
    <w:rsid w:val="00D1627A"/>
    <w:rsid w:val="00D16418"/>
    <w:rsid w:val="00D16C0A"/>
    <w:rsid w:val="00D16C6E"/>
    <w:rsid w:val="00D17972"/>
    <w:rsid w:val="00D21E79"/>
    <w:rsid w:val="00D2428C"/>
    <w:rsid w:val="00D2603D"/>
    <w:rsid w:val="00D306E4"/>
    <w:rsid w:val="00D31CDE"/>
    <w:rsid w:val="00D31EF7"/>
    <w:rsid w:val="00D33FCD"/>
    <w:rsid w:val="00D34F26"/>
    <w:rsid w:val="00D35295"/>
    <w:rsid w:val="00D35E54"/>
    <w:rsid w:val="00D373C6"/>
    <w:rsid w:val="00D41931"/>
    <w:rsid w:val="00D4471C"/>
    <w:rsid w:val="00D4521A"/>
    <w:rsid w:val="00D4527E"/>
    <w:rsid w:val="00D45AC7"/>
    <w:rsid w:val="00D4689E"/>
    <w:rsid w:val="00D5313D"/>
    <w:rsid w:val="00D543F0"/>
    <w:rsid w:val="00D55688"/>
    <w:rsid w:val="00D56CE6"/>
    <w:rsid w:val="00D60715"/>
    <w:rsid w:val="00D6138D"/>
    <w:rsid w:val="00D61965"/>
    <w:rsid w:val="00D65B71"/>
    <w:rsid w:val="00D66375"/>
    <w:rsid w:val="00D6740A"/>
    <w:rsid w:val="00D67429"/>
    <w:rsid w:val="00D70580"/>
    <w:rsid w:val="00D72D20"/>
    <w:rsid w:val="00D76C75"/>
    <w:rsid w:val="00D77AAC"/>
    <w:rsid w:val="00D80A93"/>
    <w:rsid w:val="00D8292C"/>
    <w:rsid w:val="00D82B99"/>
    <w:rsid w:val="00D842B7"/>
    <w:rsid w:val="00D84765"/>
    <w:rsid w:val="00D8592C"/>
    <w:rsid w:val="00D87361"/>
    <w:rsid w:val="00D90444"/>
    <w:rsid w:val="00D91448"/>
    <w:rsid w:val="00D92108"/>
    <w:rsid w:val="00D934EA"/>
    <w:rsid w:val="00D95BFC"/>
    <w:rsid w:val="00D973C5"/>
    <w:rsid w:val="00DA0AB8"/>
    <w:rsid w:val="00DA15BC"/>
    <w:rsid w:val="00DA19F5"/>
    <w:rsid w:val="00DA1EAD"/>
    <w:rsid w:val="00DA4C03"/>
    <w:rsid w:val="00DA5225"/>
    <w:rsid w:val="00DA6467"/>
    <w:rsid w:val="00DA75BB"/>
    <w:rsid w:val="00DA76AE"/>
    <w:rsid w:val="00DB16DE"/>
    <w:rsid w:val="00DB2EDB"/>
    <w:rsid w:val="00DB7F39"/>
    <w:rsid w:val="00DB7F9F"/>
    <w:rsid w:val="00DC1C51"/>
    <w:rsid w:val="00DC1E3D"/>
    <w:rsid w:val="00DC2CD5"/>
    <w:rsid w:val="00DC2E3A"/>
    <w:rsid w:val="00DC3E66"/>
    <w:rsid w:val="00DC5517"/>
    <w:rsid w:val="00DC57DE"/>
    <w:rsid w:val="00DD1060"/>
    <w:rsid w:val="00DD150C"/>
    <w:rsid w:val="00DD641A"/>
    <w:rsid w:val="00DD6AB2"/>
    <w:rsid w:val="00DE4C68"/>
    <w:rsid w:val="00DE5E6A"/>
    <w:rsid w:val="00DE6CF9"/>
    <w:rsid w:val="00DF03BA"/>
    <w:rsid w:val="00DF0678"/>
    <w:rsid w:val="00DF0D89"/>
    <w:rsid w:val="00DF0E68"/>
    <w:rsid w:val="00DF1E95"/>
    <w:rsid w:val="00DF3AF6"/>
    <w:rsid w:val="00DF48B8"/>
    <w:rsid w:val="00DF4B62"/>
    <w:rsid w:val="00DF6CAD"/>
    <w:rsid w:val="00DF6CB8"/>
    <w:rsid w:val="00DF75B1"/>
    <w:rsid w:val="00E0051D"/>
    <w:rsid w:val="00E02692"/>
    <w:rsid w:val="00E10C9E"/>
    <w:rsid w:val="00E10DE4"/>
    <w:rsid w:val="00E11507"/>
    <w:rsid w:val="00E12DAC"/>
    <w:rsid w:val="00E165AC"/>
    <w:rsid w:val="00E20635"/>
    <w:rsid w:val="00E20B18"/>
    <w:rsid w:val="00E21C49"/>
    <w:rsid w:val="00E2203B"/>
    <w:rsid w:val="00E227BE"/>
    <w:rsid w:val="00E22BD6"/>
    <w:rsid w:val="00E2315C"/>
    <w:rsid w:val="00E262C0"/>
    <w:rsid w:val="00E33159"/>
    <w:rsid w:val="00E33B9C"/>
    <w:rsid w:val="00E342C5"/>
    <w:rsid w:val="00E36AA0"/>
    <w:rsid w:val="00E36AEE"/>
    <w:rsid w:val="00E37D52"/>
    <w:rsid w:val="00E405A7"/>
    <w:rsid w:val="00E41F2E"/>
    <w:rsid w:val="00E43CBC"/>
    <w:rsid w:val="00E44950"/>
    <w:rsid w:val="00E500F8"/>
    <w:rsid w:val="00E53D27"/>
    <w:rsid w:val="00E55698"/>
    <w:rsid w:val="00E5627D"/>
    <w:rsid w:val="00E56CBC"/>
    <w:rsid w:val="00E57F89"/>
    <w:rsid w:val="00E62C9C"/>
    <w:rsid w:val="00E638AE"/>
    <w:rsid w:val="00E65062"/>
    <w:rsid w:val="00E67A64"/>
    <w:rsid w:val="00E70055"/>
    <w:rsid w:val="00E7157A"/>
    <w:rsid w:val="00E73FD1"/>
    <w:rsid w:val="00E75A1A"/>
    <w:rsid w:val="00E75D5C"/>
    <w:rsid w:val="00E75F40"/>
    <w:rsid w:val="00E774D6"/>
    <w:rsid w:val="00E806BF"/>
    <w:rsid w:val="00E80736"/>
    <w:rsid w:val="00E82A47"/>
    <w:rsid w:val="00E87FD0"/>
    <w:rsid w:val="00E925A3"/>
    <w:rsid w:val="00E96D78"/>
    <w:rsid w:val="00E97450"/>
    <w:rsid w:val="00E9779E"/>
    <w:rsid w:val="00EA003E"/>
    <w:rsid w:val="00EA4BA7"/>
    <w:rsid w:val="00EA4E90"/>
    <w:rsid w:val="00EA4FCF"/>
    <w:rsid w:val="00EA549C"/>
    <w:rsid w:val="00EA60D7"/>
    <w:rsid w:val="00EA7318"/>
    <w:rsid w:val="00EB29E2"/>
    <w:rsid w:val="00EB31A3"/>
    <w:rsid w:val="00EB77C9"/>
    <w:rsid w:val="00EC09F1"/>
    <w:rsid w:val="00EC3CF5"/>
    <w:rsid w:val="00EC670A"/>
    <w:rsid w:val="00ED017F"/>
    <w:rsid w:val="00ED0690"/>
    <w:rsid w:val="00ED1927"/>
    <w:rsid w:val="00ED4DE5"/>
    <w:rsid w:val="00ED6C95"/>
    <w:rsid w:val="00ED7F38"/>
    <w:rsid w:val="00EE02D5"/>
    <w:rsid w:val="00EE1FCA"/>
    <w:rsid w:val="00EE2AA3"/>
    <w:rsid w:val="00EE4AAD"/>
    <w:rsid w:val="00EF0654"/>
    <w:rsid w:val="00EF16FA"/>
    <w:rsid w:val="00EF184E"/>
    <w:rsid w:val="00EF24CB"/>
    <w:rsid w:val="00EF359E"/>
    <w:rsid w:val="00EF362C"/>
    <w:rsid w:val="00EF5988"/>
    <w:rsid w:val="00EF5DF0"/>
    <w:rsid w:val="00F01313"/>
    <w:rsid w:val="00F016CA"/>
    <w:rsid w:val="00F02E4F"/>
    <w:rsid w:val="00F03B05"/>
    <w:rsid w:val="00F067AF"/>
    <w:rsid w:val="00F07B1B"/>
    <w:rsid w:val="00F07CE4"/>
    <w:rsid w:val="00F10FD5"/>
    <w:rsid w:val="00F11376"/>
    <w:rsid w:val="00F124F5"/>
    <w:rsid w:val="00F14696"/>
    <w:rsid w:val="00F14A81"/>
    <w:rsid w:val="00F16020"/>
    <w:rsid w:val="00F1629D"/>
    <w:rsid w:val="00F21879"/>
    <w:rsid w:val="00F23B5D"/>
    <w:rsid w:val="00F24CD9"/>
    <w:rsid w:val="00F2562E"/>
    <w:rsid w:val="00F30F82"/>
    <w:rsid w:val="00F32D5F"/>
    <w:rsid w:val="00F3309B"/>
    <w:rsid w:val="00F33355"/>
    <w:rsid w:val="00F33FA5"/>
    <w:rsid w:val="00F343CE"/>
    <w:rsid w:val="00F362E0"/>
    <w:rsid w:val="00F41B3A"/>
    <w:rsid w:val="00F42338"/>
    <w:rsid w:val="00F42899"/>
    <w:rsid w:val="00F43FB6"/>
    <w:rsid w:val="00F45ABE"/>
    <w:rsid w:val="00F51C2D"/>
    <w:rsid w:val="00F51C7B"/>
    <w:rsid w:val="00F55834"/>
    <w:rsid w:val="00F56BAE"/>
    <w:rsid w:val="00F57438"/>
    <w:rsid w:val="00F60276"/>
    <w:rsid w:val="00F61DF1"/>
    <w:rsid w:val="00F63774"/>
    <w:rsid w:val="00F63CBF"/>
    <w:rsid w:val="00F63F2A"/>
    <w:rsid w:val="00F6540B"/>
    <w:rsid w:val="00F664CB"/>
    <w:rsid w:val="00F66620"/>
    <w:rsid w:val="00F66D57"/>
    <w:rsid w:val="00F66EB6"/>
    <w:rsid w:val="00F678A3"/>
    <w:rsid w:val="00F6793D"/>
    <w:rsid w:val="00F70217"/>
    <w:rsid w:val="00F70631"/>
    <w:rsid w:val="00F707DB"/>
    <w:rsid w:val="00F734E9"/>
    <w:rsid w:val="00F77A66"/>
    <w:rsid w:val="00F825C1"/>
    <w:rsid w:val="00F82837"/>
    <w:rsid w:val="00F8327D"/>
    <w:rsid w:val="00F84689"/>
    <w:rsid w:val="00F86A5F"/>
    <w:rsid w:val="00F87E50"/>
    <w:rsid w:val="00F87F35"/>
    <w:rsid w:val="00F9158A"/>
    <w:rsid w:val="00F92026"/>
    <w:rsid w:val="00F9288B"/>
    <w:rsid w:val="00F95641"/>
    <w:rsid w:val="00F97582"/>
    <w:rsid w:val="00F97A98"/>
    <w:rsid w:val="00FA29A3"/>
    <w:rsid w:val="00FA2DB5"/>
    <w:rsid w:val="00FA4922"/>
    <w:rsid w:val="00FA496A"/>
    <w:rsid w:val="00FA548D"/>
    <w:rsid w:val="00FA575B"/>
    <w:rsid w:val="00FA7A82"/>
    <w:rsid w:val="00FB21E3"/>
    <w:rsid w:val="00FB280B"/>
    <w:rsid w:val="00FB37E4"/>
    <w:rsid w:val="00FB3B60"/>
    <w:rsid w:val="00FB62C6"/>
    <w:rsid w:val="00FC15FE"/>
    <w:rsid w:val="00FC360E"/>
    <w:rsid w:val="00FC439F"/>
    <w:rsid w:val="00FC53DA"/>
    <w:rsid w:val="00FD4EDC"/>
    <w:rsid w:val="00FD4FD8"/>
    <w:rsid w:val="00FD5C08"/>
    <w:rsid w:val="00FD78A8"/>
    <w:rsid w:val="00FE02E1"/>
    <w:rsid w:val="00FE1EDC"/>
    <w:rsid w:val="00FE36E8"/>
    <w:rsid w:val="00FE548F"/>
    <w:rsid w:val="00FE67B4"/>
    <w:rsid w:val="00FE79E4"/>
    <w:rsid w:val="00FE7DDA"/>
    <w:rsid w:val="00FF0ABF"/>
    <w:rsid w:val="00FF1F30"/>
    <w:rsid w:val="00FF505A"/>
    <w:rsid w:val="00FF71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09D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976"/>
    <w:pPr>
      <w:ind w:left="720"/>
      <w:contextualSpacing/>
    </w:pPr>
  </w:style>
  <w:style w:type="paragraph" w:styleId="Header">
    <w:name w:val="header"/>
    <w:basedOn w:val="Normal"/>
    <w:link w:val="HeaderChar"/>
    <w:uiPriority w:val="99"/>
    <w:unhideWhenUsed/>
    <w:rsid w:val="00565DE9"/>
    <w:pPr>
      <w:tabs>
        <w:tab w:val="center" w:pos="4320"/>
        <w:tab w:val="right" w:pos="8640"/>
      </w:tabs>
      <w:spacing w:after="0" w:line="240" w:lineRule="auto"/>
    </w:pPr>
  </w:style>
  <w:style w:type="character" w:customStyle="1" w:styleId="HeaderChar">
    <w:name w:val="Header Char"/>
    <w:basedOn w:val="DefaultParagraphFont"/>
    <w:link w:val="Header"/>
    <w:uiPriority w:val="99"/>
    <w:rsid w:val="00565DE9"/>
  </w:style>
  <w:style w:type="paragraph" w:styleId="Footer">
    <w:name w:val="footer"/>
    <w:basedOn w:val="Normal"/>
    <w:link w:val="FooterChar"/>
    <w:uiPriority w:val="99"/>
    <w:unhideWhenUsed/>
    <w:rsid w:val="00565DE9"/>
    <w:pPr>
      <w:tabs>
        <w:tab w:val="center" w:pos="4320"/>
        <w:tab w:val="right" w:pos="8640"/>
      </w:tabs>
      <w:spacing w:after="0" w:line="240" w:lineRule="auto"/>
    </w:pPr>
  </w:style>
  <w:style w:type="character" w:customStyle="1" w:styleId="FooterChar">
    <w:name w:val="Footer Char"/>
    <w:basedOn w:val="DefaultParagraphFont"/>
    <w:link w:val="Footer"/>
    <w:uiPriority w:val="99"/>
    <w:rsid w:val="00565DE9"/>
  </w:style>
  <w:style w:type="paragraph" w:customStyle="1" w:styleId="Default">
    <w:name w:val="Default"/>
    <w:rsid w:val="00CD770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E10C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713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13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976"/>
    <w:pPr>
      <w:ind w:left="720"/>
      <w:contextualSpacing/>
    </w:pPr>
  </w:style>
  <w:style w:type="paragraph" w:styleId="Header">
    <w:name w:val="header"/>
    <w:basedOn w:val="Normal"/>
    <w:link w:val="HeaderChar"/>
    <w:uiPriority w:val="99"/>
    <w:unhideWhenUsed/>
    <w:rsid w:val="00565DE9"/>
    <w:pPr>
      <w:tabs>
        <w:tab w:val="center" w:pos="4320"/>
        <w:tab w:val="right" w:pos="8640"/>
      </w:tabs>
      <w:spacing w:after="0" w:line="240" w:lineRule="auto"/>
    </w:pPr>
  </w:style>
  <w:style w:type="character" w:customStyle="1" w:styleId="HeaderChar">
    <w:name w:val="Header Char"/>
    <w:basedOn w:val="DefaultParagraphFont"/>
    <w:link w:val="Header"/>
    <w:uiPriority w:val="99"/>
    <w:rsid w:val="00565DE9"/>
  </w:style>
  <w:style w:type="paragraph" w:styleId="Footer">
    <w:name w:val="footer"/>
    <w:basedOn w:val="Normal"/>
    <w:link w:val="FooterChar"/>
    <w:uiPriority w:val="99"/>
    <w:unhideWhenUsed/>
    <w:rsid w:val="00565DE9"/>
    <w:pPr>
      <w:tabs>
        <w:tab w:val="center" w:pos="4320"/>
        <w:tab w:val="right" w:pos="8640"/>
      </w:tabs>
      <w:spacing w:after="0" w:line="240" w:lineRule="auto"/>
    </w:pPr>
  </w:style>
  <w:style w:type="character" w:customStyle="1" w:styleId="FooterChar">
    <w:name w:val="Footer Char"/>
    <w:basedOn w:val="DefaultParagraphFont"/>
    <w:link w:val="Footer"/>
    <w:uiPriority w:val="99"/>
    <w:rsid w:val="00565DE9"/>
  </w:style>
  <w:style w:type="paragraph" w:customStyle="1" w:styleId="Default">
    <w:name w:val="Default"/>
    <w:rsid w:val="00CD770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E10C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713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13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9031">
      <w:bodyDiv w:val="1"/>
      <w:marLeft w:val="0"/>
      <w:marRight w:val="0"/>
      <w:marTop w:val="0"/>
      <w:marBottom w:val="0"/>
      <w:divBdr>
        <w:top w:val="none" w:sz="0" w:space="0" w:color="auto"/>
        <w:left w:val="none" w:sz="0" w:space="0" w:color="auto"/>
        <w:bottom w:val="none" w:sz="0" w:space="0" w:color="auto"/>
        <w:right w:val="none" w:sz="0" w:space="0" w:color="auto"/>
      </w:divBdr>
    </w:div>
    <w:div w:id="110050573">
      <w:bodyDiv w:val="1"/>
      <w:marLeft w:val="0"/>
      <w:marRight w:val="0"/>
      <w:marTop w:val="0"/>
      <w:marBottom w:val="0"/>
      <w:divBdr>
        <w:top w:val="none" w:sz="0" w:space="0" w:color="auto"/>
        <w:left w:val="none" w:sz="0" w:space="0" w:color="auto"/>
        <w:bottom w:val="none" w:sz="0" w:space="0" w:color="auto"/>
        <w:right w:val="none" w:sz="0" w:space="0" w:color="auto"/>
      </w:divBdr>
    </w:div>
    <w:div w:id="114569429">
      <w:bodyDiv w:val="1"/>
      <w:marLeft w:val="0"/>
      <w:marRight w:val="0"/>
      <w:marTop w:val="0"/>
      <w:marBottom w:val="0"/>
      <w:divBdr>
        <w:top w:val="none" w:sz="0" w:space="0" w:color="auto"/>
        <w:left w:val="none" w:sz="0" w:space="0" w:color="auto"/>
        <w:bottom w:val="none" w:sz="0" w:space="0" w:color="auto"/>
        <w:right w:val="none" w:sz="0" w:space="0" w:color="auto"/>
      </w:divBdr>
    </w:div>
    <w:div w:id="489294666">
      <w:bodyDiv w:val="1"/>
      <w:marLeft w:val="0"/>
      <w:marRight w:val="0"/>
      <w:marTop w:val="0"/>
      <w:marBottom w:val="0"/>
      <w:divBdr>
        <w:top w:val="none" w:sz="0" w:space="0" w:color="auto"/>
        <w:left w:val="none" w:sz="0" w:space="0" w:color="auto"/>
        <w:bottom w:val="none" w:sz="0" w:space="0" w:color="auto"/>
        <w:right w:val="none" w:sz="0" w:space="0" w:color="auto"/>
      </w:divBdr>
    </w:div>
    <w:div w:id="620766260">
      <w:bodyDiv w:val="1"/>
      <w:marLeft w:val="0"/>
      <w:marRight w:val="0"/>
      <w:marTop w:val="0"/>
      <w:marBottom w:val="0"/>
      <w:divBdr>
        <w:top w:val="none" w:sz="0" w:space="0" w:color="auto"/>
        <w:left w:val="none" w:sz="0" w:space="0" w:color="auto"/>
        <w:bottom w:val="none" w:sz="0" w:space="0" w:color="auto"/>
        <w:right w:val="none" w:sz="0" w:space="0" w:color="auto"/>
      </w:divBdr>
    </w:div>
    <w:div w:id="784689334">
      <w:bodyDiv w:val="1"/>
      <w:marLeft w:val="0"/>
      <w:marRight w:val="0"/>
      <w:marTop w:val="0"/>
      <w:marBottom w:val="0"/>
      <w:divBdr>
        <w:top w:val="none" w:sz="0" w:space="0" w:color="auto"/>
        <w:left w:val="none" w:sz="0" w:space="0" w:color="auto"/>
        <w:bottom w:val="none" w:sz="0" w:space="0" w:color="auto"/>
        <w:right w:val="none" w:sz="0" w:space="0" w:color="auto"/>
      </w:divBdr>
    </w:div>
    <w:div w:id="968317236">
      <w:bodyDiv w:val="1"/>
      <w:marLeft w:val="0"/>
      <w:marRight w:val="0"/>
      <w:marTop w:val="0"/>
      <w:marBottom w:val="0"/>
      <w:divBdr>
        <w:top w:val="none" w:sz="0" w:space="0" w:color="auto"/>
        <w:left w:val="none" w:sz="0" w:space="0" w:color="auto"/>
        <w:bottom w:val="none" w:sz="0" w:space="0" w:color="auto"/>
        <w:right w:val="none" w:sz="0" w:space="0" w:color="auto"/>
      </w:divBdr>
    </w:div>
    <w:div w:id="1042903669">
      <w:bodyDiv w:val="1"/>
      <w:marLeft w:val="0"/>
      <w:marRight w:val="0"/>
      <w:marTop w:val="0"/>
      <w:marBottom w:val="0"/>
      <w:divBdr>
        <w:top w:val="none" w:sz="0" w:space="0" w:color="auto"/>
        <w:left w:val="none" w:sz="0" w:space="0" w:color="auto"/>
        <w:bottom w:val="none" w:sz="0" w:space="0" w:color="auto"/>
        <w:right w:val="none" w:sz="0" w:space="0" w:color="auto"/>
      </w:divBdr>
    </w:div>
    <w:div w:id="1183282727">
      <w:bodyDiv w:val="1"/>
      <w:marLeft w:val="0"/>
      <w:marRight w:val="0"/>
      <w:marTop w:val="0"/>
      <w:marBottom w:val="0"/>
      <w:divBdr>
        <w:top w:val="none" w:sz="0" w:space="0" w:color="auto"/>
        <w:left w:val="none" w:sz="0" w:space="0" w:color="auto"/>
        <w:bottom w:val="none" w:sz="0" w:space="0" w:color="auto"/>
        <w:right w:val="none" w:sz="0" w:space="0" w:color="auto"/>
      </w:divBdr>
    </w:div>
    <w:div w:id="1634484451">
      <w:bodyDiv w:val="1"/>
      <w:marLeft w:val="0"/>
      <w:marRight w:val="0"/>
      <w:marTop w:val="0"/>
      <w:marBottom w:val="0"/>
      <w:divBdr>
        <w:top w:val="none" w:sz="0" w:space="0" w:color="auto"/>
        <w:left w:val="none" w:sz="0" w:space="0" w:color="auto"/>
        <w:bottom w:val="none" w:sz="0" w:space="0" w:color="auto"/>
        <w:right w:val="none" w:sz="0" w:space="0" w:color="auto"/>
      </w:divBdr>
    </w:div>
    <w:div w:id="184215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A1B596-D22F-4B79-9FDA-BFCCCA84F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4575</TotalTime>
  <Pages>13</Pages>
  <Words>4558</Words>
  <Characters>25984</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AIG</Company>
  <LinksUpToDate>false</LinksUpToDate>
  <CharactersWithSpaces>30482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Vincent-JF</dc:creator>
  <cp:keywords/>
  <dc:description/>
  <cp:lastModifiedBy>Zhu, Vincent-JF</cp:lastModifiedBy>
  <cp:revision>1208</cp:revision>
  <dcterms:created xsi:type="dcterms:W3CDTF">2018-07-05T06:44:00Z</dcterms:created>
  <dcterms:modified xsi:type="dcterms:W3CDTF">2019-09-08T12:04:00Z</dcterms:modified>
</cp:coreProperties>
</file>