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31FA45FA" w:rsidR="00365DEB" w:rsidRPr="00565DE9" w:rsidRDefault="00E0051D" w:rsidP="00D61965">
      <w:pPr>
        <w:spacing w:after="60"/>
        <w:jc w:val="center"/>
        <w:rPr>
          <w:b/>
        </w:rPr>
      </w:pPr>
      <w:r>
        <w:rPr>
          <w:b/>
        </w:rPr>
        <w:t>201</w:t>
      </w:r>
      <w:r w:rsidR="002A5657">
        <w:rPr>
          <w:b/>
        </w:rPr>
        <w:t>3</w:t>
      </w:r>
      <w:r w:rsidR="00715CE6">
        <w:rPr>
          <w:b/>
        </w:rPr>
        <w:t xml:space="preserve"> S2</w:t>
      </w:r>
    </w:p>
    <w:p w14:paraId="4F56F67E" w14:textId="6E121791" w:rsidR="002A5657" w:rsidRDefault="00BC7AE6" w:rsidP="00BA1C3F">
      <w:pPr>
        <w:spacing w:after="0"/>
        <w:rPr>
          <w:i/>
          <w:color w:val="000000" w:themeColor="text1"/>
        </w:rPr>
      </w:pPr>
      <w:r w:rsidRPr="00125723">
        <w:rPr>
          <w:b/>
          <w:color w:val="000000" w:themeColor="text1"/>
        </w:rPr>
        <w:t>Q1</w:t>
      </w:r>
      <w:r>
        <w:rPr>
          <w:b/>
          <w:color w:val="000000" w:themeColor="text1"/>
        </w:rPr>
        <w:t xml:space="preserve"> </w:t>
      </w:r>
      <w:r w:rsidR="002F3824">
        <w:rPr>
          <w:color w:val="000000" w:themeColor="text1"/>
        </w:rPr>
        <w:t>a</w:t>
      </w:r>
      <w:r w:rsidRPr="00CC2D97">
        <w:rPr>
          <w:color w:val="000000" w:themeColor="text1"/>
        </w:rPr>
        <w:t xml:space="preserve">) </w:t>
      </w:r>
      <w:r w:rsidR="00B34500" w:rsidRPr="00B34500">
        <w:rPr>
          <w:i/>
          <w:color w:val="000000" w:themeColor="text1"/>
        </w:rPr>
        <w:t>Calculate the Capital Base of</w:t>
      </w:r>
      <w:r w:rsidR="00B34500">
        <w:rPr>
          <w:i/>
          <w:color w:val="000000" w:themeColor="text1"/>
        </w:rPr>
        <w:t>:</w:t>
      </w:r>
    </w:p>
    <w:p w14:paraId="1A669FED" w14:textId="71CF99D5" w:rsidR="00B34500" w:rsidRDefault="00B34500" w:rsidP="00BA1C3F">
      <w:pPr>
        <w:spacing w:after="0"/>
        <w:rPr>
          <w:color w:val="000000" w:themeColor="text1"/>
        </w:rPr>
      </w:pPr>
      <w:proofErr w:type="spellStart"/>
      <w:r>
        <w:rPr>
          <w:color w:val="000000" w:themeColor="text1"/>
        </w:rPr>
        <w:t>i</w:t>
      </w:r>
      <w:proofErr w:type="spellEnd"/>
      <w:r>
        <w:rPr>
          <w:color w:val="000000" w:themeColor="text1"/>
        </w:rPr>
        <w:t>. Statutory Fund</w:t>
      </w:r>
    </w:p>
    <w:p w14:paraId="606F4CDF" w14:textId="07C070FC" w:rsidR="00B34500" w:rsidRDefault="00B34500" w:rsidP="002A5657">
      <w:pPr>
        <w:spacing w:after="60"/>
        <w:rPr>
          <w:color w:val="000000" w:themeColor="text1"/>
        </w:rPr>
      </w:pPr>
      <w:r>
        <w:rPr>
          <w:color w:val="000000" w:themeColor="text1"/>
        </w:rPr>
        <w:t>Capital Base = 120,000 + (-50,000)</w:t>
      </w:r>
      <w:r w:rsidR="00283B72">
        <w:rPr>
          <w:color w:val="000000" w:themeColor="text1"/>
        </w:rPr>
        <w:t xml:space="preserve"> + 80,000*20% </w:t>
      </w:r>
      <w:r>
        <w:rPr>
          <w:color w:val="000000" w:themeColor="text1"/>
        </w:rPr>
        <w:t>= 76,000</w:t>
      </w:r>
    </w:p>
    <w:p w14:paraId="43953A15" w14:textId="77777777" w:rsidR="00AD1BB3" w:rsidRPr="006C3A70" w:rsidRDefault="00AD1BB3" w:rsidP="00AD1BB3">
      <w:pPr>
        <w:spacing w:after="60"/>
        <w:rPr>
          <w:b/>
          <w:color w:val="FF0000"/>
        </w:rPr>
      </w:pPr>
      <w:r w:rsidRPr="00AD1BB3">
        <w:rPr>
          <w:color w:val="FF0000"/>
        </w:rPr>
        <w:t xml:space="preserve">Under LPS112, </w:t>
      </w:r>
      <w:r w:rsidRPr="006C3A70">
        <w:rPr>
          <w:b/>
          <w:color w:val="FF0000"/>
        </w:rPr>
        <w:t>the capital base of a statutory fund is calculated as:</w:t>
      </w:r>
    </w:p>
    <w:p w14:paraId="4EE221F4" w14:textId="1C1D1DA5" w:rsidR="00AD1BB3" w:rsidRPr="006C3A70" w:rsidRDefault="00AD1BB3" w:rsidP="00AD1BB3">
      <w:pPr>
        <w:pStyle w:val="ListParagraph"/>
        <w:numPr>
          <w:ilvl w:val="0"/>
          <w:numId w:val="24"/>
        </w:numPr>
        <w:spacing w:after="60"/>
        <w:rPr>
          <w:b/>
          <w:color w:val="FF0000"/>
        </w:rPr>
      </w:pPr>
      <w:r w:rsidRPr="006C3A70">
        <w:rPr>
          <w:b/>
          <w:color w:val="FF0000"/>
        </w:rPr>
        <w:t>the net assets of the fund; less</w:t>
      </w:r>
    </w:p>
    <w:p w14:paraId="543D5DD0" w14:textId="2F315538" w:rsidR="00AD1BB3" w:rsidRPr="006C3A70" w:rsidRDefault="00AD1BB3" w:rsidP="00AD1BB3">
      <w:pPr>
        <w:pStyle w:val="ListParagraph"/>
        <w:numPr>
          <w:ilvl w:val="0"/>
          <w:numId w:val="24"/>
        </w:numPr>
        <w:spacing w:after="60"/>
        <w:rPr>
          <w:b/>
          <w:color w:val="FF0000"/>
        </w:rPr>
      </w:pPr>
      <w:r w:rsidRPr="006C3A70">
        <w:rPr>
          <w:b/>
          <w:color w:val="FF0000"/>
        </w:rPr>
        <w:t>all regulatory adjustments to the net assets of the statutory fund; plus</w:t>
      </w:r>
    </w:p>
    <w:p w14:paraId="5144DC0A" w14:textId="1BE4E11D" w:rsidR="00AD1BB3" w:rsidRPr="00AD1BB3" w:rsidRDefault="00AD1BB3" w:rsidP="00AD1BB3">
      <w:pPr>
        <w:pStyle w:val="ListParagraph"/>
        <w:numPr>
          <w:ilvl w:val="0"/>
          <w:numId w:val="24"/>
        </w:numPr>
        <w:spacing w:after="60"/>
        <w:rPr>
          <w:color w:val="FF0000"/>
        </w:rPr>
      </w:pPr>
      <w:r w:rsidRPr="006C3A70">
        <w:rPr>
          <w:b/>
          <w:color w:val="FF0000"/>
        </w:rPr>
        <w:t>Tier 2 Capital</w:t>
      </w:r>
      <w:r w:rsidRPr="00AD1BB3">
        <w:rPr>
          <w:color w:val="FF0000"/>
        </w:rPr>
        <w:t>.</w:t>
      </w:r>
    </w:p>
    <w:p w14:paraId="59BA3F8D" w14:textId="77777777" w:rsidR="00AD1BB3" w:rsidRPr="00AD1BB3" w:rsidRDefault="00AD1BB3" w:rsidP="00AD1BB3">
      <w:pPr>
        <w:spacing w:after="60"/>
        <w:rPr>
          <w:color w:val="FF0000"/>
        </w:rPr>
      </w:pPr>
      <w:r w:rsidRPr="00AD1BB3">
        <w:rPr>
          <w:color w:val="FF0000"/>
        </w:rPr>
        <w:t>The regulatory adjustments are covered in Attachment B of LPS112 and in this case comprise of the following:</w:t>
      </w:r>
    </w:p>
    <w:p w14:paraId="5924EED8" w14:textId="5C419DEB" w:rsidR="00AD1BB3" w:rsidRPr="00AD1BB3" w:rsidRDefault="00AD1BB3" w:rsidP="00AD1BB3">
      <w:pPr>
        <w:pStyle w:val="ListParagraph"/>
        <w:numPr>
          <w:ilvl w:val="0"/>
          <w:numId w:val="24"/>
        </w:numPr>
        <w:spacing w:after="60"/>
        <w:rPr>
          <w:color w:val="FF0000"/>
        </w:rPr>
      </w:pPr>
      <w:r w:rsidRPr="00AD1BB3">
        <w:rPr>
          <w:b/>
          <w:color w:val="FF0000"/>
        </w:rPr>
        <w:t>Deferred Tax Asset</w:t>
      </w:r>
      <w:r w:rsidRPr="00AD1BB3">
        <w:rPr>
          <w:color w:val="FF0000"/>
        </w:rPr>
        <w:t>: The deferred tax asset is an inadmissible for the purposes of calculating the capital base of the statutory fund</w:t>
      </w:r>
    </w:p>
    <w:p w14:paraId="78EBC083" w14:textId="1E9F7D5E" w:rsidR="00AD1BB3" w:rsidRPr="00AD1BB3" w:rsidRDefault="00AD1BB3" w:rsidP="00AD1BB3">
      <w:pPr>
        <w:pStyle w:val="ListParagraph"/>
        <w:numPr>
          <w:ilvl w:val="0"/>
          <w:numId w:val="24"/>
        </w:numPr>
        <w:spacing w:after="60"/>
        <w:rPr>
          <w:b/>
          <w:color w:val="FF0000"/>
        </w:rPr>
      </w:pPr>
      <w:r w:rsidRPr="00AD1BB3">
        <w:rPr>
          <w:b/>
          <w:color w:val="FF0000"/>
        </w:rPr>
        <w:t>The difference between the Adjusted Policy Liabilities and the Sum of the Policy Liabilities</w:t>
      </w:r>
      <w:r w:rsidRPr="00AD1BB3">
        <w:rPr>
          <w:color w:val="FF0000"/>
        </w:rPr>
        <w:t xml:space="preserve"> which is in effect applying the termination value minimum to the capital base. The adjusted policy liabilities is </w:t>
      </w:r>
      <w:r w:rsidRPr="00AD1BB3">
        <w:rPr>
          <w:b/>
          <w:color w:val="FF0000"/>
        </w:rPr>
        <w:t>defined as the maximum of the Termination Value (which is equal to the IBNR + DLR + UPR given there is no surrender value) and the Risk Free BEL</w:t>
      </w:r>
    </w:p>
    <w:p w14:paraId="07455EF3" w14:textId="77777777" w:rsidR="00AD1BB3" w:rsidRPr="00AD1BB3" w:rsidRDefault="00AD1BB3" w:rsidP="00AD1BB3">
      <w:pPr>
        <w:spacing w:after="60"/>
        <w:rPr>
          <w:color w:val="FF0000"/>
        </w:rPr>
      </w:pPr>
      <w:r w:rsidRPr="00AD1BB3">
        <w:rPr>
          <w:color w:val="FF0000"/>
        </w:rPr>
        <w:t>The capital base for the statutory fund is calculated as:</w:t>
      </w:r>
    </w:p>
    <w:p w14:paraId="0B583F69" w14:textId="1E5CCEBC" w:rsidR="00AD1BB3" w:rsidRPr="00AD1BB3" w:rsidRDefault="00AD1BB3" w:rsidP="00AD1BB3">
      <w:pPr>
        <w:pStyle w:val="ListParagraph"/>
        <w:numPr>
          <w:ilvl w:val="0"/>
          <w:numId w:val="24"/>
        </w:numPr>
        <w:spacing w:after="60"/>
        <w:rPr>
          <w:color w:val="FF0000"/>
        </w:rPr>
      </w:pPr>
      <w:r w:rsidRPr="00AD1BB3">
        <w:rPr>
          <w:color w:val="FF0000"/>
        </w:rPr>
        <w:t>Capital Base = $150m (</w:t>
      </w:r>
      <w:r w:rsidRPr="006C3A70">
        <w:rPr>
          <w:i/>
          <w:color w:val="FF0000"/>
        </w:rPr>
        <w:t>Net assets</w:t>
      </w:r>
      <w:r w:rsidRPr="00AD1BB3">
        <w:rPr>
          <w:color w:val="FF0000"/>
        </w:rPr>
        <w:t>)</w:t>
      </w:r>
    </w:p>
    <w:p w14:paraId="53855C49" w14:textId="20B50774" w:rsidR="00AD1BB3" w:rsidRPr="00AD1BB3" w:rsidRDefault="00AD1BB3" w:rsidP="00AD1BB3">
      <w:pPr>
        <w:spacing w:after="60"/>
        <w:rPr>
          <w:color w:val="FF0000"/>
        </w:rPr>
      </w:pPr>
      <w:r>
        <w:rPr>
          <w:color w:val="FF0000"/>
        </w:rPr>
        <w:tab/>
      </w:r>
      <w:r>
        <w:rPr>
          <w:color w:val="FF0000"/>
        </w:rPr>
        <w:tab/>
      </w:r>
      <w:r>
        <w:rPr>
          <w:color w:val="FF0000"/>
        </w:rPr>
        <w:tab/>
        <w:t xml:space="preserve">   </w:t>
      </w:r>
      <w:r w:rsidRPr="00AD1BB3">
        <w:rPr>
          <w:color w:val="FF0000"/>
        </w:rPr>
        <w:t>-$5m (</w:t>
      </w:r>
      <w:r w:rsidRPr="006C3A70">
        <w:rPr>
          <w:i/>
          <w:color w:val="FF0000"/>
        </w:rPr>
        <w:t>Deferred Tax Asset</w:t>
      </w:r>
      <w:r w:rsidRPr="00AD1BB3">
        <w:rPr>
          <w:color w:val="FF0000"/>
        </w:rPr>
        <w:t>)</w:t>
      </w:r>
    </w:p>
    <w:p w14:paraId="7F8CB6D6" w14:textId="29BFCE6F" w:rsidR="00AD1BB3" w:rsidRDefault="00AD1BB3" w:rsidP="00AD1BB3">
      <w:pPr>
        <w:spacing w:after="0"/>
        <w:rPr>
          <w:color w:val="FF0000"/>
        </w:rPr>
      </w:pPr>
      <w:r>
        <w:rPr>
          <w:color w:val="FF0000"/>
        </w:rPr>
        <w:tab/>
      </w:r>
      <w:r>
        <w:rPr>
          <w:color w:val="FF0000"/>
        </w:rPr>
        <w:tab/>
      </w:r>
      <w:r>
        <w:rPr>
          <w:color w:val="FF0000"/>
        </w:rPr>
        <w:tab/>
        <w:t xml:space="preserve">   </w:t>
      </w:r>
      <w:r w:rsidR="00283B72">
        <w:rPr>
          <w:color w:val="FF0000"/>
        </w:rPr>
        <w:t xml:space="preserve">- [max ($10m + $15m + $50m, </w:t>
      </w:r>
      <w:r w:rsidR="00283B72" w:rsidRPr="009D13BE">
        <w:rPr>
          <w:color w:val="FF0000"/>
        </w:rPr>
        <w:t>$200m</w:t>
      </w:r>
      <w:r w:rsidR="009D13BE">
        <w:rPr>
          <w:color w:val="FF0000"/>
        </w:rPr>
        <w:t>)</w:t>
      </w:r>
      <w:r w:rsidRPr="009D13BE">
        <w:rPr>
          <w:color w:val="FF0000"/>
        </w:rPr>
        <w:t xml:space="preserve"> x 50% - $30m</w:t>
      </w:r>
      <w:r w:rsidR="009D13BE">
        <w:rPr>
          <w:color w:val="FF0000"/>
        </w:rPr>
        <w:t>)</w:t>
      </w:r>
    </w:p>
    <w:p w14:paraId="3E323EC0" w14:textId="25F53820" w:rsidR="00AD1BB3" w:rsidRPr="00AD1BB3" w:rsidRDefault="00AD1BB3" w:rsidP="00AD1BB3">
      <w:pPr>
        <w:spacing w:after="0"/>
        <w:rPr>
          <w:color w:val="FF0000"/>
        </w:rPr>
      </w:pPr>
      <w:r w:rsidRPr="00AD1BB3">
        <w:rPr>
          <w:color w:val="FF0000"/>
        </w:rPr>
        <w:t xml:space="preserve"> </w:t>
      </w:r>
      <w:r>
        <w:rPr>
          <w:color w:val="FF0000"/>
        </w:rPr>
        <w:tab/>
      </w:r>
      <w:r>
        <w:rPr>
          <w:color w:val="FF0000"/>
        </w:rPr>
        <w:tab/>
      </w:r>
      <w:r>
        <w:rPr>
          <w:color w:val="FF0000"/>
        </w:rPr>
        <w:tab/>
        <w:t xml:space="preserve">     </w:t>
      </w:r>
      <w:r w:rsidRPr="00AD1BB3">
        <w:rPr>
          <w:color w:val="FF0000"/>
        </w:rPr>
        <w:t>(</w:t>
      </w:r>
      <w:r w:rsidRPr="009D13BE">
        <w:rPr>
          <w:i/>
          <w:color w:val="FF0000"/>
        </w:rPr>
        <w:t>Reinsured Adjusted Policy Liability – Net Policy Liability</w:t>
      </w:r>
      <w:r w:rsidR="006C3A70">
        <w:rPr>
          <w:i/>
          <w:color w:val="FF0000"/>
        </w:rPr>
        <w:t>)</w:t>
      </w:r>
    </w:p>
    <w:p w14:paraId="1D69C087" w14:textId="6405ACB6" w:rsidR="00AD1BB3" w:rsidRDefault="00AD1BB3" w:rsidP="00AD1BB3">
      <w:pPr>
        <w:spacing w:after="60"/>
        <w:rPr>
          <w:color w:val="FF0000"/>
        </w:rPr>
      </w:pPr>
      <w:r>
        <w:rPr>
          <w:color w:val="FF0000"/>
        </w:rPr>
        <w:tab/>
      </w:r>
      <w:r>
        <w:rPr>
          <w:color w:val="FF0000"/>
        </w:rPr>
        <w:tab/>
        <w:t xml:space="preserve"> </w:t>
      </w:r>
      <w:r>
        <w:rPr>
          <w:color w:val="FF0000"/>
        </w:rPr>
        <w:tab/>
        <w:t xml:space="preserve">   =</w:t>
      </w:r>
      <w:r w:rsidR="009D13BE">
        <w:rPr>
          <w:color w:val="FF0000"/>
        </w:rPr>
        <w:t>$150m - $5m – 70</w:t>
      </w:r>
      <w:r w:rsidRPr="00AD1BB3">
        <w:rPr>
          <w:color w:val="FF0000"/>
        </w:rPr>
        <w:t xml:space="preserve">m </w:t>
      </w:r>
    </w:p>
    <w:p w14:paraId="49B564FF" w14:textId="6DACFFE8" w:rsidR="00B34500" w:rsidRPr="00AD1BB3" w:rsidRDefault="00AD1BB3" w:rsidP="00AD1BB3">
      <w:pPr>
        <w:spacing w:after="60"/>
        <w:rPr>
          <w:color w:val="FF0000"/>
        </w:rPr>
      </w:pPr>
      <w:r>
        <w:rPr>
          <w:color w:val="FF0000"/>
        </w:rPr>
        <w:tab/>
      </w:r>
      <w:r>
        <w:rPr>
          <w:color w:val="FF0000"/>
        </w:rPr>
        <w:tab/>
      </w:r>
      <w:r>
        <w:rPr>
          <w:color w:val="FF0000"/>
        </w:rPr>
        <w:tab/>
        <w:t xml:space="preserve">   </w:t>
      </w:r>
      <w:r w:rsidR="009D13BE">
        <w:rPr>
          <w:color w:val="FF0000"/>
        </w:rPr>
        <w:t>= $7</w:t>
      </w:r>
      <w:r w:rsidRPr="00AD1BB3">
        <w:rPr>
          <w:color w:val="FF0000"/>
        </w:rPr>
        <w:t>5m</w:t>
      </w:r>
    </w:p>
    <w:p w14:paraId="56D57ADD" w14:textId="77777777" w:rsidR="00AD1BB3" w:rsidRDefault="00AD1BB3" w:rsidP="00AD1BB3">
      <w:pPr>
        <w:spacing w:after="60"/>
        <w:rPr>
          <w:color w:val="000000" w:themeColor="text1"/>
        </w:rPr>
      </w:pPr>
    </w:p>
    <w:p w14:paraId="75180756" w14:textId="2AAAB432" w:rsidR="00B34500" w:rsidRDefault="00B34500" w:rsidP="00BA1C3F">
      <w:pPr>
        <w:spacing w:after="0"/>
        <w:rPr>
          <w:color w:val="000000" w:themeColor="text1"/>
        </w:rPr>
      </w:pPr>
      <w:r>
        <w:rPr>
          <w:color w:val="000000" w:themeColor="text1"/>
        </w:rPr>
        <w:t xml:space="preserve">ii. </w:t>
      </w:r>
      <w:r w:rsidRPr="00B34500">
        <w:rPr>
          <w:color w:val="000000" w:themeColor="text1"/>
        </w:rPr>
        <w:t>Shareholders Fund (also</w:t>
      </w:r>
      <w:r>
        <w:rPr>
          <w:color w:val="000000" w:themeColor="text1"/>
        </w:rPr>
        <w:t xml:space="preserve"> known as the General Fund)</w:t>
      </w:r>
    </w:p>
    <w:p w14:paraId="03BAA428" w14:textId="1F5D48E8" w:rsidR="00B34500" w:rsidRDefault="00B34500" w:rsidP="002A5657">
      <w:pPr>
        <w:spacing w:after="60"/>
        <w:rPr>
          <w:color w:val="000000" w:themeColor="text1"/>
        </w:rPr>
      </w:pPr>
      <w:r>
        <w:rPr>
          <w:color w:val="000000" w:themeColor="text1"/>
        </w:rPr>
        <w:t>Capital Base = -120,000 + 50,000 + 8,000 + (-50,000) + 150,000</w:t>
      </w:r>
      <w:r w:rsidR="00F4650D">
        <w:rPr>
          <w:color w:val="000000" w:themeColor="text1"/>
        </w:rPr>
        <w:t xml:space="preserve"> +50,000 = </w:t>
      </w:r>
      <w:r w:rsidRPr="00B34500">
        <w:rPr>
          <w:color w:val="000000" w:themeColor="text1"/>
        </w:rPr>
        <w:t>88</w:t>
      </w:r>
      <w:r>
        <w:rPr>
          <w:color w:val="000000" w:themeColor="text1"/>
        </w:rPr>
        <w:t>,</w:t>
      </w:r>
      <w:r w:rsidRPr="00B34500">
        <w:rPr>
          <w:color w:val="000000" w:themeColor="text1"/>
        </w:rPr>
        <w:t>000</w:t>
      </w:r>
    </w:p>
    <w:p w14:paraId="1116B645" w14:textId="77777777" w:rsidR="00A514DC" w:rsidRPr="00A514DC" w:rsidRDefault="00A514DC" w:rsidP="00A514DC">
      <w:pPr>
        <w:spacing w:after="60"/>
        <w:rPr>
          <w:color w:val="FF0000"/>
        </w:rPr>
      </w:pPr>
      <w:r w:rsidRPr="00A514DC">
        <w:rPr>
          <w:color w:val="FF0000"/>
        </w:rPr>
        <w:t>Under LPS112, the capital base of the shareholders (or general) fund is calculated as:</w:t>
      </w:r>
    </w:p>
    <w:p w14:paraId="2F5B2A0B" w14:textId="74670D13" w:rsidR="00A514DC" w:rsidRPr="00A514DC" w:rsidRDefault="00A514DC" w:rsidP="00A514DC">
      <w:pPr>
        <w:pStyle w:val="ListParagraph"/>
        <w:numPr>
          <w:ilvl w:val="0"/>
          <w:numId w:val="24"/>
        </w:numPr>
        <w:spacing w:after="60"/>
        <w:rPr>
          <w:color w:val="FF0000"/>
        </w:rPr>
      </w:pPr>
      <w:r w:rsidRPr="00A514DC">
        <w:rPr>
          <w:color w:val="FF0000"/>
        </w:rPr>
        <w:t>the net assets of the fund; less</w:t>
      </w:r>
    </w:p>
    <w:p w14:paraId="20DBCE12" w14:textId="661F5DCA" w:rsidR="00B34500" w:rsidRDefault="00A514DC" w:rsidP="00A514DC">
      <w:pPr>
        <w:pStyle w:val="ListParagraph"/>
        <w:numPr>
          <w:ilvl w:val="0"/>
          <w:numId w:val="24"/>
        </w:numPr>
        <w:spacing w:after="60"/>
        <w:rPr>
          <w:color w:val="FF0000"/>
        </w:rPr>
      </w:pPr>
      <w:r w:rsidRPr="00A514DC">
        <w:rPr>
          <w:color w:val="FF0000"/>
        </w:rPr>
        <w:t>all regulatory adjustments to the net assets of the general fund</w:t>
      </w:r>
    </w:p>
    <w:p w14:paraId="221B84B5" w14:textId="39791BAA" w:rsidR="00A514DC" w:rsidRPr="00A514DC" w:rsidRDefault="00A514DC" w:rsidP="00A514DC">
      <w:pPr>
        <w:pStyle w:val="ListParagraph"/>
        <w:numPr>
          <w:ilvl w:val="0"/>
          <w:numId w:val="24"/>
        </w:numPr>
        <w:spacing w:after="60"/>
        <w:rPr>
          <w:i/>
          <w:color w:val="FF0000"/>
        </w:rPr>
      </w:pPr>
      <w:r w:rsidRPr="00A514DC">
        <w:rPr>
          <w:i/>
          <w:color w:val="FF0000"/>
        </w:rPr>
        <w:t>no Tier 2 capital is allowed in Shareholders Fund</w:t>
      </w:r>
    </w:p>
    <w:p w14:paraId="134BC7A8" w14:textId="77777777" w:rsidR="00A514DC" w:rsidRPr="00A514DC" w:rsidRDefault="00A514DC" w:rsidP="00A514DC">
      <w:pPr>
        <w:spacing w:after="60"/>
        <w:rPr>
          <w:color w:val="FF0000"/>
        </w:rPr>
      </w:pPr>
      <w:r w:rsidRPr="00A514DC">
        <w:rPr>
          <w:color w:val="FF0000"/>
        </w:rPr>
        <w:t>The regulatory adjustments are covered in Attachment B of LPS112 and in this case comprise of the following:</w:t>
      </w:r>
    </w:p>
    <w:p w14:paraId="5D3740EF" w14:textId="103B49F9" w:rsidR="00A514DC" w:rsidRPr="00A514DC" w:rsidRDefault="00A514DC" w:rsidP="00A514DC">
      <w:pPr>
        <w:pStyle w:val="ListParagraph"/>
        <w:numPr>
          <w:ilvl w:val="0"/>
          <w:numId w:val="24"/>
        </w:numPr>
        <w:spacing w:after="60"/>
        <w:rPr>
          <w:color w:val="FF0000"/>
        </w:rPr>
      </w:pPr>
      <w:r w:rsidRPr="00A514DC">
        <w:rPr>
          <w:b/>
          <w:color w:val="FF0000"/>
        </w:rPr>
        <w:t xml:space="preserve">Preference Share: </w:t>
      </w:r>
      <w:r w:rsidRPr="00A514DC">
        <w:rPr>
          <w:b/>
          <w:color w:val="FF0000"/>
          <w:u w:val="single"/>
        </w:rPr>
        <w:t>the fact that the preference share ranks above policyholders means that it is not eligible as Additional Tier 1 capital under LPS112</w:t>
      </w:r>
      <w:r w:rsidRPr="00A514DC">
        <w:rPr>
          <w:b/>
          <w:color w:val="FF0000"/>
        </w:rPr>
        <w:t>.</w:t>
      </w:r>
      <w:r w:rsidRPr="00A514DC">
        <w:rPr>
          <w:color w:val="FF0000"/>
        </w:rPr>
        <w:t xml:space="preserve"> In addition,</w:t>
      </w:r>
      <w:r>
        <w:rPr>
          <w:color w:val="FF0000"/>
        </w:rPr>
        <w:t xml:space="preserve"> </w:t>
      </w:r>
      <w:r w:rsidRPr="00A514DC">
        <w:rPr>
          <w:color w:val="FF0000"/>
        </w:rPr>
        <w:t>LPS112 also does not allow the preference share to be redeemable at the option of the holder.</w:t>
      </w:r>
    </w:p>
    <w:p w14:paraId="2BC306EA" w14:textId="40DF99CC" w:rsidR="00A514DC" w:rsidRPr="00A514DC" w:rsidRDefault="00A514DC" w:rsidP="00A514DC">
      <w:pPr>
        <w:spacing w:after="60"/>
        <w:rPr>
          <w:color w:val="FF0000"/>
        </w:rPr>
      </w:pPr>
      <w:r w:rsidRPr="00A514DC">
        <w:rPr>
          <w:color w:val="FF0000"/>
        </w:rPr>
        <w:t>The capital base for the shareholders fund is calculated as:</w:t>
      </w:r>
    </w:p>
    <w:p w14:paraId="73ECFCAC" w14:textId="3571EAC8" w:rsidR="00A514DC" w:rsidRPr="00A514DC" w:rsidRDefault="00A514DC" w:rsidP="00A514DC">
      <w:pPr>
        <w:pStyle w:val="ListParagraph"/>
        <w:numPr>
          <w:ilvl w:val="0"/>
          <w:numId w:val="24"/>
        </w:numPr>
        <w:spacing w:after="60"/>
        <w:rPr>
          <w:color w:val="FF0000"/>
        </w:rPr>
      </w:pPr>
      <w:r w:rsidRPr="00A514DC">
        <w:rPr>
          <w:color w:val="FF0000"/>
        </w:rPr>
        <w:lastRenderedPageBreak/>
        <w:t>Capital Base = $88m (Net assets)</w:t>
      </w:r>
    </w:p>
    <w:p w14:paraId="65A63F21" w14:textId="05BBF28A" w:rsidR="00A514DC" w:rsidRPr="00A514DC" w:rsidRDefault="00A514DC" w:rsidP="00A514DC">
      <w:pPr>
        <w:spacing w:after="60"/>
        <w:rPr>
          <w:color w:val="FF0000"/>
        </w:rPr>
      </w:pPr>
      <w:r w:rsidRPr="00A514DC">
        <w:rPr>
          <w:color w:val="FF0000"/>
        </w:rPr>
        <w:t></w:t>
      </w:r>
      <w:r>
        <w:rPr>
          <w:color w:val="FF0000"/>
        </w:rPr>
        <w:tab/>
      </w:r>
      <w:r>
        <w:rPr>
          <w:color w:val="FF0000"/>
        </w:rPr>
        <w:tab/>
      </w:r>
      <w:r>
        <w:rPr>
          <w:color w:val="FF0000"/>
        </w:rPr>
        <w:tab/>
      </w:r>
      <w:r w:rsidRPr="00A514DC">
        <w:rPr>
          <w:color w:val="FF0000"/>
        </w:rPr>
        <w:t xml:space="preserve"> - $50m (Preference Share Capital)</w:t>
      </w:r>
    </w:p>
    <w:p w14:paraId="658B46D2" w14:textId="49E93249" w:rsidR="00A514DC" w:rsidRPr="00A514DC" w:rsidRDefault="00A514DC" w:rsidP="00A514DC">
      <w:pPr>
        <w:spacing w:after="60"/>
        <w:rPr>
          <w:color w:val="FF0000"/>
        </w:rPr>
      </w:pPr>
      <w:r w:rsidRPr="00A514DC">
        <w:rPr>
          <w:color w:val="FF0000"/>
        </w:rPr>
        <w:t></w:t>
      </w:r>
      <w:r>
        <w:rPr>
          <w:color w:val="FF0000"/>
        </w:rPr>
        <w:tab/>
      </w:r>
      <w:r>
        <w:rPr>
          <w:color w:val="FF0000"/>
        </w:rPr>
        <w:tab/>
      </w:r>
      <w:r>
        <w:rPr>
          <w:color w:val="FF0000"/>
        </w:rPr>
        <w:tab/>
      </w:r>
      <w:r w:rsidRPr="00A514DC">
        <w:rPr>
          <w:color w:val="FF0000"/>
        </w:rPr>
        <w:t xml:space="preserve"> = $38.0m</w:t>
      </w:r>
    </w:p>
    <w:p w14:paraId="78769264" w14:textId="49C036C5" w:rsidR="002C7758" w:rsidRPr="00BA1C3F" w:rsidRDefault="00B34500" w:rsidP="00BA1C3F">
      <w:pPr>
        <w:spacing w:after="0"/>
        <w:rPr>
          <w:color w:val="000000" w:themeColor="text1"/>
        </w:rPr>
      </w:pPr>
      <w:r w:rsidRPr="00BA1C3F">
        <w:rPr>
          <w:color w:val="000000" w:themeColor="text1"/>
        </w:rPr>
        <w:t xml:space="preserve">iii. </w:t>
      </w:r>
      <w:r w:rsidR="00875054" w:rsidRPr="00BA1C3F">
        <w:rPr>
          <w:color w:val="000000" w:themeColor="text1"/>
        </w:rPr>
        <w:t>C</w:t>
      </w:r>
      <w:r w:rsidRPr="00BA1C3F">
        <w:rPr>
          <w:color w:val="000000" w:themeColor="text1"/>
        </w:rPr>
        <w:t>ompany as a whole</w:t>
      </w:r>
    </w:p>
    <w:p w14:paraId="5C2A4B3C" w14:textId="0790ABDE" w:rsidR="00B34500" w:rsidRDefault="00B34500" w:rsidP="00B34500">
      <w:pPr>
        <w:spacing w:after="60"/>
        <w:rPr>
          <w:color w:val="000000" w:themeColor="text1"/>
        </w:rPr>
      </w:pPr>
      <w:r>
        <w:rPr>
          <w:color w:val="000000" w:themeColor="text1"/>
        </w:rPr>
        <w:t xml:space="preserve">Capital Base = </w:t>
      </w:r>
      <w:r w:rsidR="00F4650D">
        <w:rPr>
          <w:color w:val="000000" w:themeColor="text1"/>
        </w:rPr>
        <w:t>238,000 – 80,000*80% = 174,000</w:t>
      </w:r>
    </w:p>
    <w:p w14:paraId="1F26F491" w14:textId="77777777" w:rsidR="00875054" w:rsidRPr="00875054" w:rsidRDefault="00875054" w:rsidP="00875054">
      <w:pPr>
        <w:spacing w:after="60"/>
        <w:rPr>
          <w:color w:val="FF0000"/>
        </w:rPr>
      </w:pPr>
      <w:r w:rsidRPr="00875054">
        <w:rPr>
          <w:color w:val="FF0000"/>
        </w:rPr>
        <w:t>The capital base of the company as a whole is the sum of the capital base of its constituent parts. Hence the capital base is calculated as:</w:t>
      </w:r>
    </w:p>
    <w:p w14:paraId="34810F61" w14:textId="77777777" w:rsidR="00875054" w:rsidRPr="00875054" w:rsidRDefault="00875054" w:rsidP="00875054">
      <w:pPr>
        <w:spacing w:after="60"/>
        <w:rPr>
          <w:color w:val="FF0000"/>
        </w:rPr>
      </w:pPr>
      <w:r w:rsidRPr="00875054">
        <w:rPr>
          <w:color w:val="FF0000"/>
        </w:rPr>
        <w:t>Capital Base = Capital Base of Statutory Fund + Capital Base of Shareholders Fund</w:t>
      </w:r>
    </w:p>
    <w:p w14:paraId="5CAB58BB" w14:textId="19760A87" w:rsidR="00875054" w:rsidRDefault="00875054" w:rsidP="00875054">
      <w:pPr>
        <w:spacing w:after="60"/>
        <w:rPr>
          <w:color w:val="FF0000"/>
        </w:rPr>
      </w:pPr>
      <w:r w:rsidRPr="00875054">
        <w:rPr>
          <w:color w:val="FF0000"/>
        </w:rPr>
        <w:t xml:space="preserve"> </w:t>
      </w:r>
      <w:r w:rsidR="000A6E4E">
        <w:rPr>
          <w:color w:val="FF0000"/>
        </w:rPr>
        <w:tab/>
        <w:t xml:space="preserve">        </w:t>
      </w:r>
      <w:r w:rsidR="009D13BE">
        <w:rPr>
          <w:color w:val="FF0000"/>
        </w:rPr>
        <w:t xml:space="preserve"> = $7</w:t>
      </w:r>
      <w:r w:rsidR="000A6E4E">
        <w:rPr>
          <w:color w:val="FF0000"/>
        </w:rPr>
        <w:t>5m + $38m</w:t>
      </w:r>
      <w:r w:rsidR="009D13BE">
        <w:rPr>
          <w:color w:val="FF0000"/>
        </w:rPr>
        <w:t xml:space="preserve"> = $113</w:t>
      </w:r>
      <w:r w:rsidRPr="00875054">
        <w:rPr>
          <w:color w:val="FF0000"/>
        </w:rPr>
        <w:t>m</w:t>
      </w:r>
    </w:p>
    <w:p w14:paraId="47697561" w14:textId="77777777" w:rsidR="00B535EF" w:rsidRDefault="00B535EF" w:rsidP="00875054">
      <w:pPr>
        <w:spacing w:after="60"/>
        <w:rPr>
          <w:color w:val="FF0000"/>
        </w:rPr>
      </w:pPr>
    </w:p>
    <w:p w14:paraId="09F3DFF0" w14:textId="444DBD00" w:rsidR="0047681A" w:rsidRPr="00BA1C3F" w:rsidRDefault="009F0D17" w:rsidP="00BA1C3F">
      <w:pPr>
        <w:spacing w:after="0"/>
        <w:rPr>
          <w:i/>
        </w:rPr>
      </w:pPr>
      <w:r w:rsidRPr="003A7392">
        <w:t>1b)</w:t>
      </w:r>
      <w:r w:rsidR="005D1960">
        <w:t xml:space="preserve"> </w:t>
      </w:r>
      <w:r w:rsidR="000D4DE0" w:rsidRPr="00BA1C3F">
        <w:rPr>
          <w:i/>
        </w:rPr>
        <w:t>How to determine the</w:t>
      </w:r>
      <w:r w:rsidR="0047681A" w:rsidRPr="00BA1C3F">
        <w:rPr>
          <w:i/>
        </w:rPr>
        <w:t xml:space="preserve"> risk margins to be used for the calculation of the insurance risk charge:</w:t>
      </w:r>
    </w:p>
    <w:p w14:paraId="7A298D31" w14:textId="4D1B1612" w:rsidR="0047681A" w:rsidRPr="0047681A" w:rsidRDefault="0047681A" w:rsidP="00BA1C3F">
      <w:pPr>
        <w:tabs>
          <w:tab w:val="right" w:pos="8640"/>
        </w:tabs>
        <w:spacing w:after="0"/>
        <w:rPr>
          <w:b/>
        </w:rPr>
      </w:pPr>
      <w:r w:rsidRPr="0047681A">
        <w:rPr>
          <w:b/>
        </w:rPr>
        <w:t>Random Risk Charge</w:t>
      </w:r>
      <w:r w:rsidR="00BA1C3F">
        <w:rPr>
          <w:b/>
        </w:rPr>
        <w:tab/>
      </w:r>
    </w:p>
    <w:p w14:paraId="271A88C3" w14:textId="226A0B88" w:rsidR="0047681A" w:rsidRPr="0047681A" w:rsidRDefault="0047681A" w:rsidP="009E48F4">
      <w:pPr>
        <w:pStyle w:val="ListParagraph"/>
        <w:numPr>
          <w:ilvl w:val="0"/>
          <w:numId w:val="24"/>
        </w:numPr>
        <w:spacing w:after="60"/>
        <w:ind w:left="360"/>
      </w:pPr>
      <w:r w:rsidRPr="0047681A">
        <w:t>Use a policy by policy projection model (likely grouping model pol</w:t>
      </w:r>
      <w:r w:rsidR="000D4DE0">
        <w:t xml:space="preserve">icies into model points </w:t>
      </w:r>
      <w:r w:rsidRPr="0047681A">
        <w:t xml:space="preserve">given runtime considerations) to </w:t>
      </w:r>
      <w:r w:rsidRPr="005E7230">
        <w:rPr>
          <w:color w:val="FF0000"/>
        </w:rPr>
        <w:t xml:space="preserve">run mortality / morbidity / termination decrements stochastically across a large number of simulations to get a probability distribution function. </w:t>
      </w:r>
      <w:r w:rsidRPr="0047681A">
        <w:t xml:space="preserve">This can then be used </w:t>
      </w:r>
      <w:r w:rsidRPr="005E7230">
        <w:rPr>
          <w:color w:val="FF0000"/>
        </w:rPr>
        <w:t xml:space="preserve">to </w:t>
      </w:r>
      <w:r w:rsidRPr="000D4DE0">
        <w:rPr>
          <w:color w:val="FF0000"/>
        </w:rPr>
        <w:t>determine the 99.5th percentile outcome and this would form the basis of the random risk charge</w:t>
      </w:r>
    </w:p>
    <w:p w14:paraId="3FFD7356" w14:textId="24C6BD84" w:rsidR="0047681A" w:rsidRPr="0047681A" w:rsidRDefault="0047681A" w:rsidP="009E48F4">
      <w:pPr>
        <w:pStyle w:val="ListParagraph"/>
        <w:numPr>
          <w:ilvl w:val="0"/>
          <w:numId w:val="24"/>
        </w:numPr>
        <w:spacing w:after="60"/>
        <w:ind w:left="360"/>
      </w:pPr>
      <w:r w:rsidRPr="000D4DE0">
        <w:rPr>
          <w:color w:val="FF0000"/>
        </w:rPr>
        <w:t>Consider variability of claims from year to year based on experience studies</w:t>
      </w:r>
      <w:r w:rsidRPr="0047681A">
        <w:t xml:space="preserve">. For example, the </w:t>
      </w:r>
      <w:r w:rsidR="005E7230">
        <w:t>A/E</w:t>
      </w:r>
      <w:r w:rsidRPr="0047681A">
        <w:t xml:space="preserve"> percentage for each year may be assessed against the average over a number of years to make a rough assessment of what a 1 in 200 year event may be.</w:t>
      </w:r>
    </w:p>
    <w:p w14:paraId="689E721B" w14:textId="39C7C278" w:rsidR="009F0D17" w:rsidRPr="0047681A" w:rsidRDefault="0047681A" w:rsidP="009E48F4">
      <w:pPr>
        <w:pStyle w:val="ListParagraph"/>
        <w:numPr>
          <w:ilvl w:val="0"/>
          <w:numId w:val="24"/>
        </w:numPr>
        <w:spacing w:after="60"/>
        <w:ind w:left="360"/>
      </w:pPr>
      <w:r w:rsidRPr="005E7230">
        <w:rPr>
          <w:color w:val="FF0000"/>
        </w:rPr>
        <w:t>Consider the impact of the reinsurance arrangements here in terms of the random risk</w:t>
      </w:r>
      <w:r w:rsidRPr="0047681A">
        <w:t>. The reinsurance arrangements have a per life retention of $1m for lump sum business and the methods noted above would need to consider the impact this would have on the random risk charge</w:t>
      </w:r>
    </w:p>
    <w:p w14:paraId="14E5C19F" w14:textId="76E3A039" w:rsidR="0047681A" w:rsidRPr="0047681A" w:rsidRDefault="0047681A" w:rsidP="009E48F4">
      <w:pPr>
        <w:pStyle w:val="ListParagraph"/>
        <w:numPr>
          <w:ilvl w:val="0"/>
          <w:numId w:val="24"/>
        </w:numPr>
        <w:spacing w:after="60"/>
        <w:ind w:left="360"/>
      </w:pPr>
      <w:r w:rsidRPr="005E7230">
        <w:rPr>
          <w:color w:val="FF0000"/>
        </w:rPr>
        <w:t>Consideration of market practice</w:t>
      </w:r>
      <w:r w:rsidRPr="0047681A">
        <w:t>. This information may be availabl</w:t>
      </w:r>
      <w:r w:rsidR="005E7230">
        <w:t>e through a number of channels</w:t>
      </w:r>
      <w:r w:rsidRPr="0047681A">
        <w:t>:</w:t>
      </w:r>
    </w:p>
    <w:p w14:paraId="4D41A7E9" w14:textId="2C8F19FC" w:rsidR="0047681A" w:rsidRPr="005E7230" w:rsidRDefault="0047681A" w:rsidP="009E48F4">
      <w:pPr>
        <w:pStyle w:val="ListParagraph"/>
        <w:numPr>
          <w:ilvl w:val="1"/>
          <w:numId w:val="24"/>
        </w:numPr>
        <w:spacing w:after="60"/>
        <w:ind w:left="990"/>
        <w:rPr>
          <w:sz w:val="20"/>
        </w:rPr>
      </w:pPr>
      <w:r w:rsidRPr="005E7230">
        <w:rPr>
          <w:sz w:val="20"/>
        </w:rPr>
        <w:t>Consultancies</w:t>
      </w:r>
    </w:p>
    <w:p w14:paraId="6AD3637E" w14:textId="0FC756F1" w:rsidR="0047681A" w:rsidRPr="005E7230" w:rsidRDefault="0047681A" w:rsidP="009E48F4">
      <w:pPr>
        <w:pStyle w:val="ListParagraph"/>
        <w:numPr>
          <w:ilvl w:val="1"/>
          <w:numId w:val="24"/>
        </w:numPr>
        <w:spacing w:after="60"/>
        <w:ind w:left="990"/>
        <w:rPr>
          <w:sz w:val="20"/>
        </w:rPr>
      </w:pPr>
      <w:r w:rsidRPr="005E7230">
        <w:rPr>
          <w:sz w:val="20"/>
        </w:rPr>
        <w:t>Actuaries Institute Committees</w:t>
      </w:r>
    </w:p>
    <w:p w14:paraId="2AD54E05" w14:textId="7E761A14" w:rsidR="000E57DE" w:rsidRPr="005E7230" w:rsidRDefault="005E7230" w:rsidP="009E48F4">
      <w:pPr>
        <w:pStyle w:val="ListParagraph"/>
        <w:numPr>
          <w:ilvl w:val="1"/>
          <w:numId w:val="24"/>
        </w:numPr>
        <w:spacing w:after="60"/>
        <w:ind w:left="990"/>
        <w:rPr>
          <w:sz w:val="20"/>
        </w:rPr>
      </w:pPr>
      <w:r w:rsidRPr="005E7230">
        <w:rPr>
          <w:sz w:val="20"/>
        </w:rPr>
        <w:t>Reinsurers</w:t>
      </w:r>
    </w:p>
    <w:p w14:paraId="52B56B1E" w14:textId="77777777" w:rsidR="0047681A" w:rsidRPr="0047681A" w:rsidRDefault="0047681A" w:rsidP="009E48F4">
      <w:pPr>
        <w:spacing w:after="0"/>
        <w:rPr>
          <w:b/>
        </w:rPr>
      </w:pPr>
      <w:r w:rsidRPr="0047681A">
        <w:rPr>
          <w:b/>
        </w:rPr>
        <w:t>Future Risk Charge</w:t>
      </w:r>
    </w:p>
    <w:p w14:paraId="14DB31D2" w14:textId="66291B58" w:rsidR="0047681A" w:rsidRPr="0047681A" w:rsidRDefault="0047681A" w:rsidP="005E7230">
      <w:pPr>
        <w:pStyle w:val="ListParagraph"/>
        <w:numPr>
          <w:ilvl w:val="0"/>
          <w:numId w:val="24"/>
        </w:numPr>
        <w:spacing w:after="60"/>
        <w:ind w:left="360"/>
      </w:pPr>
      <w:r w:rsidRPr="005E7230">
        <w:rPr>
          <w:color w:val="FF0000"/>
        </w:rPr>
        <w:t xml:space="preserve">Consideration of </w:t>
      </w:r>
      <w:r w:rsidRPr="005E7230">
        <w:rPr>
          <w:b/>
          <w:color w:val="FF0000"/>
        </w:rPr>
        <w:t>trend of actual vs expected</w:t>
      </w:r>
      <w:r w:rsidRPr="005E7230">
        <w:rPr>
          <w:color w:val="FF0000"/>
        </w:rPr>
        <w:t xml:space="preserve"> results </w:t>
      </w:r>
      <w:r w:rsidRPr="0047681A">
        <w:t>from year to year</w:t>
      </w:r>
    </w:p>
    <w:p w14:paraId="3813098D" w14:textId="531D9AD4" w:rsidR="0047681A" w:rsidRPr="0047681A" w:rsidRDefault="0047681A" w:rsidP="005E7230">
      <w:pPr>
        <w:pStyle w:val="ListParagraph"/>
        <w:numPr>
          <w:ilvl w:val="0"/>
          <w:numId w:val="24"/>
        </w:numPr>
        <w:spacing w:after="60"/>
        <w:ind w:left="360"/>
      </w:pPr>
      <w:r w:rsidRPr="005E7230">
        <w:rPr>
          <w:color w:val="FF0000"/>
        </w:rPr>
        <w:t xml:space="preserve">Consider the </w:t>
      </w:r>
      <w:r w:rsidRPr="005E7230">
        <w:rPr>
          <w:b/>
          <w:color w:val="FF0000"/>
        </w:rPr>
        <w:t>amount of data</w:t>
      </w:r>
      <w:r w:rsidRPr="005E7230">
        <w:rPr>
          <w:color w:val="FF0000"/>
        </w:rPr>
        <w:t xml:space="preserve"> that is has been used to det</w:t>
      </w:r>
      <w:r w:rsidR="005E7230" w:rsidRPr="005E7230">
        <w:rPr>
          <w:color w:val="FF0000"/>
        </w:rPr>
        <w:t>ermine estimates of basi</w:t>
      </w:r>
      <w:r w:rsidR="005E7230">
        <w:t xml:space="preserve">s. Less </w:t>
      </w:r>
      <w:r w:rsidRPr="0047681A">
        <w:t xml:space="preserve">data will increase the </w:t>
      </w:r>
      <w:proofErr w:type="spellStart"/>
      <w:r w:rsidRPr="0047681A">
        <w:t>mis</w:t>
      </w:r>
      <w:proofErr w:type="spellEnd"/>
      <w:r w:rsidR="005E7230">
        <w:t>-</w:t>
      </w:r>
      <w:r w:rsidRPr="0047681A">
        <w:t>estimation</w:t>
      </w:r>
      <w:r w:rsidR="005E7230">
        <w:t xml:space="preserve"> </w:t>
      </w:r>
      <w:r w:rsidRPr="0047681A">
        <w:t>risk in determining best estimate assumptions</w:t>
      </w:r>
    </w:p>
    <w:p w14:paraId="4D622BE8" w14:textId="7F834117" w:rsidR="0047681A" w:rsidRPr="0047681A" w:rsidRDefault="0047681A" w:rsidP="005E7230">
      <w:pPr>
        <w:pStyle w:val="ListParagraph"/>
        <w:numPr>
          <w:ilvl w:val="0"/>
          <w:numId w:val="24"/>
        </w:numPr>
        <w:spacing w:after="60"/>
        <w:ind w:left="360"/>
      </w:pPr>
      <w:r w:rsidRPr="005E7230">
        <w:rPr>
          <w:color w:val="FF0000"/>
        </w:rPr>
        <w:t xml:space="preserve">Consider market trends </w:t>
      </w:r>
      <w:r w:rsidRPr="0047681A">
        <w:t>over the past number of years for profitability by line of business.</w:t>
      </w:r>
    </w:p>
    <w:p w14:paraId="4A3B3A46" w14:textId="6C4710D9" w:rsidR="0047681A" w:rsidRPr="0047681A" w:rsidRDefault="0047681A" w:rsidP="005E7230">
      <w:pPr>
        <w:pStyle w:val="ListParagraph"/>
        <w:numPr>
          <w:ilvl w:val="0"/>
          <w:numId w:val="24"/>
        </w:numPr>
        <w:spacing w:after="60"/>
        <w:ind w:left="360"/>
      </w:pPr>
      <w:r w:rsidRPr="005E7230">
        <w:rPr>
          <w:color w:val="FF0000"/>
        </w:rPr>
        <w:t xml:space="preserve">Sources of information </w:t>
      </w:r>
      <w:r w:rsidRPr="0047681A">
        <w:t>include:</w:t>
      </w:r>
    </w:p>
    <w:p w14:paraId="5D3764D9" w14:textId="149C87C2" w:rsidR="0047681A" w:rsidRPr="005E7230" w:rsidRDefault="0047681A" w:rsidP="005E7230">
      <w:pPr>
        <w:pStyle w:val="ListParagraph"/>
        <w:numPr>
          <w:ilvl w:val="1"/>
          <w:numId w:val="24"/>
        </w:numPr>
        <w:spacing w:after="60"/>
        <w:ind w:left="990"/>
        <w:rPr>
          <w:sz w:val="20"/>
        </w:rPr>
      </w:pPr>
      <w:r w:rsidRPr="005E7230">
        <w:rPr>
          <w:sz w:val="20"/>
        </w:rPr>
        <w:t>APRA published quarterly statistics (look at trends in experience losses in the industry)</w:t>
      </w:r>
    </w:p>
    <w:p w14:paraId="3124B55F" w14:textId="6BEF3FF7" w:rsidR="0047681A" w:rsidRPr="005E7230" w:rsidRDefault="0047681A" w:rsidP="005E7230">
      <w:pPr>
        <w:pStyle w:val="ListParagraph"/>
        <w:numPr>
          <w:ilvl w:val="1"/>
          <w:numId w:val="24"/>
        </w:numPr>
        <w:spacing w:after="60"/>
        <w:ind w:left="990"/>
        <w:rPr>
          <w:sz w:val="20"/>
        </w:rPr>
      </w:pPr>
      <w:r w:rsidRPr="005E7230">
        <w:rPr>
          <w:sz w:val="20"/>
        </w:rPr>
        <w:t>Similar companies financial reports</w:t>
      </w:r>
    </w:p>
    <w:p w14:paraId="684EBD80" w14:textId="3D534021" w:rsidR="0047681A" w:rsidRPr="005E7230" w:rsidRDefault="0047681A" w:rsidP="005E7230">
      <w:pPr>
        <w:pStyle w:val="ListParagraph"/>
        <w:numPr>
          <w:ilvl w:val="1"/>
          <w:numId w:val="24"/>
        </w:numPr>
        <w:spacing w:after="60"/>
        <w:ind w:left="990"/>
        <w:rPr>
          <w:sz w:val="20"/>
        </w:rPr>
      </w:pPr>
      <w:r w:rsidRPr="005E7230">
        <w:rPr>
          <w:sz w:val="20"/>
        </w:rPr>
        <w:t>Internal Experience studies</w:t>
      </w:r>
    </w:p>
    <w:p w14:paraId="2FC8B5FC" w14:textId="27AB7652" w:rsidR="0047681A" w:rsidRPr="005E7230" w:rsidRDefault="0047681A" w:rsidP="005E7230">
      <w:pPr>
        <w:pStyle w:val="ListParagraph"/>
        <w:numPr>
          <w:ilvl w:val="1"/>
          <w:numId w:val="24"/>
        </w:numPr>
        <w:spacing w:after="60"/>
        <w:ind w:left="990"/>
        <w:rPr>
          <w:sz w:val="20"/>
        </w:rPr>
      </w:pPr>
      <w:r w:rsidRPr="005E7230">
        <w:rPr>
          <w:sz w:val="20"/>
        </w:rPr>
        <w:t>Reinsurers</w:t>
      </w:r>
    </w:p>
    <w:p w14:paraId="41FA6042" w14:textId="45C21A1D" w:rsidR="0047681A" w:rsidRPr="005E7230" w:rsidRDefault="0047681A" w:rsidP="005E7230">
      <w:pPr>
        <w:pStyle w:val="ListParagraph"/>
        <w:numPr>
          <w:ilvl w:val="1"/>
          <w:numId w:val="24"/>
        </w:numPr>
        <w:spacing w:after="60"/>
        <w:ind w:left="990"/>
        <w:rPr>
          <w:sz w:val="20"/>
        </w:rPr>
      </w:pPr>
      <w:r w:rsidRPr="005E7230">
        <w:rPr>
          <w:sz w:val="20"/>
        </w:rPr>
        <w:t>Consultants</w:t>
      </w:r>
    </w:p>
    <w:p w14:paraId="3D4BAA67" w14:textId="7A57F54D" w:rsidR="0047681A" w:rsidRPr="005E7230" w:rsidRDefault="0047681A" w:rsidP="005E7230">
      <w:pPr>
        <w:pStyle w:val="ListParagraph"/>
        <w:numPr>
          <w:ilvl w:val="1"/>
          <w:numId w:val="24"/>
        </w:numPr>
        <w:spacing w:after="60"/>
        <w:ind w:left="990"/>
        <w:rPr>
          <w:sz w:val="20"/>
        </w:rPr>
      </w:pPr>
      <w:r w:rsidRPr="005E7230">
        <w:rPr>
          <w:sz w:val="20"/>
        </w:rPr>
        <w:lastRenderedPageBreak/>
        <w:t>Industry papers and reports (e.g. IAA taskforce)</w:t>
      </w:r>
    </w:p>
    <w:p w14:paraId="541EDF65" w14:textId="0193263E" w:rsidR="000E57DE" w:rsidRPr="005E7230" w:rsidRDefault="0047681A" w:rsidP="005E7230">
      <w:pPr>
        <w:pStyle w:val="ListParagraph"/>
        <w:numPr>
          <w:ilvl w:val="1"/>
          <w:numId w:val="24"/>
        </w:numPr>
        <w:spacing w:after="60"/>
        <w:ind w:left="990"/>
        <w:rPr>
          <w:sz w:val="20"/>
        </w:rPr>
      </w:pPr>
      <w:r w:rsidRPr="005E7230">
        <w:rPr>
          <w:sz w:val="20"/>
        </w:rPr>
        <w:t>Internal capital model parameterization</w:t>
      </w:r>
    </w:p>
    <w:p w14:paraId="205C741C" w14:textId="77777777" w:rsidR="0047681A" w:rsidRPr="0047681A" w:rsidRDefault="0047681A" w:rsidP="009E48F4">
      <w:pPr>
        <w:spacing w:after="0"/>
        <w:rPr>
          <w:b/>
        </w:rPr>
      </w:pPr>
      <w:r w:rsidRPr="0047681A">
        <w:rPr>
          <w:b/>
        </w:rPr>
        <w:t>Event Risk Charge</w:t>
      </w:r>
    </w:p>
    <w:p w14:paraId="15DF16FD" w14:textId="4476B446" w:rsidR="0047681A" w:rsidRPr="005E7230" w:rsidRDefault="0047681A" w:rsidP="005E7230">
      <w:pPr>
        <w:pStyle w:val="ListParagraph"/>
        <w:numPr>
          <w:ilvl w:val="0"/>
          <w:numId w:val="24"/>
        </w:numPr>
        <w:spacing w:after="60"/>
        <w:ind w:left="360"/>
        <w:rPr>
          <w:color w:val="FF0000"/>
        </w:rPr>
      </w:pPr>
      <w:r w:rsidRPr="005E7230">
        <w:rPr>
          <w:color w:val="FF0000"/>
        </w:rPr>
        <w:t xml:space="preserve">Review portfolio for </w:t>
      </w:r>
      <w:r w:rsidRPr="005E7230">
        <w:rPr>
          <w:b/>
          <w:color w:val="FF0000"/>
        </w:rPr>
        <w:t>any concentration of risk</w:t>
      </w:r>
      <w:r w:rsidRPr="005E7230">
        <w:rPr>
          <w:color w:val="FF0000"/>
        </w:rPr>
        <w:t xml:space="preserve"> (e.g. geographical proximity if information is available)</w:t>
      </w:r>
    </w:p>
    <w:p w14:paraId="2A819FF5" w14:textId="7FC4A87E" w:rsidR="0047681A" w:rsidRPr="005E7230" w:rsidRDefault="0047681A" w:rsidP="005E7230">
      <w:pPr>
        <w:pStyle w:val="ListParagraph"/>
        <w:numPr>
          <w:ilvl w:val="1"/>
          <w:numId w:val="24"/>
        </w:numPr>
        <w:spacing w:after="60"/>
        <w:ind w:left="990"/>
        <w:rPr>
          <w:sz w:val="20"/>
        </w:rPr>
      </w:pPr>
      <w:r w:rsidRPr="005E7230">
        <w:rPr>
          <w:sz w:val="20"/>
        </w:rPr>
        <w:t>Feedback on pandemic and catastrophe risk from companies who work in this area – e.g. general insurance consultants</w:t>
      </w:r>
    </w:p>
    <w:p w14:paraId="33C8E2A8" w14:textId="2F5803D7" w:rsidR="00B535EF" w:rsidRPr="005E7230" w:rsidRDefault="0047681A" w:rsidP="005E7230">
      <w:pPr>
        <w:pStyle w:val="ListParagraph"/>
        <w:numPr>
          <w:ilvl w:val="1"/>
          <w:numId w:val="24"/>
        </w:numPr>
        <w:spacing w:after="60"/>
        <w:ind w:left="990"/>
        <w:rPr>
          <w:sz w:val="20"/>
        </w:rPr>
      </w:pPr>
      <w:r w:rsidRPr="005E7230">
        <w:rPr>
          <w:sz w:val="20"/>
        </w:rPr>
        <w:t>Sources include external consultancies</w:t>
      </w:r>
    </w:p>
    <w:p w14:paraId="3CAC0765" w14:textId="77777777" w:rsidR="00B535EF" w:rsidRPr="0047681A" w:rsidRDefault="00B535EF" w:rsidP="00875054">
      <w:pPr>
        <w:spacing w:after="60"/>
      </w:pPr>
    </w:p>
    <w:p w14:paraId="2EA488A8" w14:textId="5FD803F8" w:rsidR="00B535EF" w:rsidRPr="00BA1C3F" w:rsidRDefault="005E5313" w:rsidP="00BA1C3F">
      <w:pPr>
        <w:spacing w:after="0"/>
      </w:pPr>
      <w:r w:rsidRPr="00BA1C3F">
        <w:t xml:space="preserve">1c) </w:t>
      </w:r>
      <w:r w:rsidR="00DB1C4D" w:rsidRPr="00BA1C3F">
        <w:t>see spreadsheet</w:t>
      </w:r>
    </w:p>
    <w:p w14:paraId="3F6D736F" w14:textId="115A81C1" w:rsidR="00DB1C4D" w:rsidRPr="00DB1C4D" w:rsidRDefault="00372E6A" w:rsidP="003D2C33">
      <w:pPr>
        <w:spacing w:after="0"/>
        <w:rPr>
          <w:b/>
        </w:rPr>
      </w:pPr>
      <w:r>
        <w:rPr>
          <w:b/>
        </w:rPr>
        <w:t>E</w:t>
      </w:r>
      <w:r w:rsidR="00DB1C4D" w:rsidRPr="00DB1C4D">
        <w:rPr>
          <w:b/>
        </w:rPr>
        <w:t xml:space="preserve">xtra assumptions on recovering profitability: </w:t>
      </w:r>
    </w:p>
    <w:p w14:paraId="778A58F0" w14:textId="4AABF4DA" w:rsidR="00FF4A9C" w:rsidRPr="00A36C6E" w:rsidRDefault="00DD3179" w:rsidP="00875054">
      <w:pPr>
        <w:spacing w:after="60"/>
        <w:rPr>
          <w:color w:val="FF0000"/>
        </w:rPr>
      </w:pPr>
      <w:r w:rsidRPr="00A36C6E">
        <w:rPr>
          <w:color w:val="FF0000"/>
        </w:rPr>
        <w:t xml:space="preserve">For future stress, the stressed period is 3 years. </w:t>
      </w:r>
      <w:r w:rsidR="00DB1C4D" w:rsidRPr="00A36C6E">
        <w:rPr>
          <w:color w:val="FF0000"/>
        </w:rPr>
        <w:t>This can be argued as a result of “</w:t>
      </w:r>
      <w:r w:rsidR="00DB1C4D" w:rsidRPr="00A36C6E">
        <w:rPr>
          <w:i/>
          <w:color w:val="FF0000"/>
        </w:rPr>
        <w:t>The rates for the policies are reviewed every 3 years</w:t>
      </w:r>
      <w:r w:rsidR="00DB1C4D" w:rsidRPr="00A36C6E">
        <w:rPr>
          <w:color w:val="FF0000"/>
        </w:rPr>
        <w:t>”</w:t>
      </w:r>
      <w:r w:rsidRPr="00A36C6E">
        <w:rPr>
          <w:color w:val="FF0000"/>
        </w:rPr>
        <w:t>, so the company can increase rates to get back to breakeven profitability after 3 years.</w:t>
      </w:r>
    </w:p>
    <w:p w14:paraId="1182E906" w14:textId="77777777" w:rsidR="00FF4A9C" w:rsidRDefault="00FF4A9C" w:rsidP="00875054">
      <w:pPr>
        <w:spacing w:after="60"/>
      </w:pPr>
    </w:p>
    <w:p w14:paraId="4F351799" w14:textId="3067DA7F" w:rsidR="00DF7A5B" w:rsidRPr="00BA1C3F" w:rsidRDefault="003D2C33" w:rsidP="00BA1C3F">
      <w:pPr>
        <w:spacing w:after="0"/>
      </w:pPr>
      <w:r w:rsidRPr="00BA1C3F">
        <w:t xml:space="preserve">1d) </w:t>
      </w:r>
      <w:r w:rsidR="00DF5B80" w:rsidRPr="00BA1C3F">
        <w:t xml:space="preserve">Alternative ways </w:t>
      </w:r>
      <w:proofErr w:type="spellStart"/>
      <w:r w:rsidR="00DF5B80" w:rsidRPr="00BA1C3F">
        <w:t>Globex</w:t>
      </w:r>
      <w:proofErr w:type="spellEnd"/>
      <w:r w:rsidR="00DF5B80" w:rsidRPr="00BA1C3F">
        <w:t xml:space="preserve"> may reduce or eliminate the asset concentration risk charge</w:t>
      </w:r>
      <w:r w:rsidR="00DF7A5B" w:rsidRPr="00BA1C3F">
        <w:t xml:space="preserve"> and advantages and disadvantages of each approach</w:t>
      </w:r>
      <w:r w:rsidR="006D0155" w:rsidRPr="00BA1C3F">
        <w:t>:</w:t>
      </w:r>
    </w:p>
    <w:p w14:paraId="19BE657C" w14:textId="77777777" w:rsidR="00DF7A5B" w:rsidRPr="006D0155" w:rsidRDefault="00DF5B80" w:rsidP="00DF5B80">
      <w:pPr>
        <w:spacing w:after="60"/>
        <w:rPr>
          <w:b/>
        </w:rPr>
      </w:pPr>
      <w:proofErr w:type="spellStart"/>
      <w:r w:rsidRPr="006D0155">
        <w:rPr>
          <w:b/>
        </w:rPr>
        <w:t>Globex</w:t>
      </w:r>
      <w:proofErr w:type="spellEnd"/>
      <w:r w:rsidRPr="006D0155">
        <w:rPr>
          <w:b/>
        </w:rPr>
        <w:t xml:space="preserve"> can </w:t>
      </w:r>
      <w:r w:rsidRPr="006D0155">
        <w:rPr>
          <w:b/>
          <w:color w:val="00B050"/>
        </w:rPr>
        <w:t xml:space="preserve">switch to another reinsurer </w:t>
      </w:r>
      <w:r w:rsidRPr="006D0155">
        <w:rPr>
          <w:b/>
        </w:rPr>
        <w:t xml:space="preserve">for the new business </w:t>
      </w:r>
    </w:p>
    <w:p w14:paraId="29582FF7" w14:textId="052509B7" w:rsidR="00DF5B80" w:rsidRDefault="00DF5B80" w:rsidP="00DF5B80">
      <w:pPr>
        <w:pStyle w:val="ListParagraph"/>
        <w:numPr>
          <w:ilvl w:val="0"/>
          <w:numId w:val="28"/>
        </w:numPr>
        <w:spacing w:after="60"/>
      </w:pPr>
      <w:r>
        <w:t>Asset concentration risk will be mitigated quite a lot under this approach</w:t>
      </w:r>
    </w:p>
    <w:p w14:paraId="39164534" w14:textId="77777777" w:rsidR="00DF5B80" w:rsidRDefault="00DF5B80" w:rsidP="00DF5B80">
      <w:pPr>
        <w:pStyle w:val="ListParagraph"/>
        <w:numPr>
          <w:ilvl w:val="0"/>
          <w:numId w:val="28"/>
        </w:numPr>
        <w:spacing w:after="60"/>
      </w:pPr>
      <w:r>
        <w:t xml:space="preserve">It is hard to find another appropriate reinsurer under a short timeframe. Lots of friction costs are expected. </w:t>
      </w:r>
    </w:p>
    <w:p w14:paraId="2B87A2A0" w14:textId="4EF97557" w:rsidR="00DF5B80" w:rsidRDefault="00DF5B80" w:rsidP="00DF5B80">
      <w:pPr>
        <w:pStyle w:val="ListParagraph"/>
        <w:numPr>
          <w:ilvl w:val="0"/>
          <w:numId w:val="28"/>
        </w:numPr>
        <w:spacing w:after="60"/>
      </w:pPr>
      <w:r>
        <w:t xml:space="preserve">But once this is achieved, </w:t>
      </w:r>
      <w:proofErr w:type="spellStart"/>
      <w:r>
        <w:t>Globex</w:t>
      </w:r>
      <w:proofErr w:type="spellEnd"/>
      <w:r>
        <w:t xml:space="preserve"> will have more options when choosing reinsurers</w:t>
      </w:r>
    </w:p>
    <w:p w14:paraId="664640F4" w14:textId="77777777" w:rsidR="00DF7A5B" w:rsidRPr="006D0155" w:rsidRDefault="00DF7A5B" w:rsidP="00DF7A5B">
      <w:pPr>
        <w:pStyle w:val="ListParagraph"/>
        <w:numPr>
          <w:ilvl w:val="0"/>
          <w:numId w:val="28"/>
        </w:numPr>
        <w:autoSpaceDE w:val="0"/>
        <w:autoSpaceDN w:val="0"/>
        <w:adjustRightInd w:val="0"/>
        <w:spacing w:after="0" w:line="240" w:lineRule="auto"/>
        <w:rPr>
          <w:rFonts w:cs="Century Gothic"/>
          <w:color w:val="FF0000"/>
          <w:sz w:val="20"/>
          <w:szCs w:val="20"/>
        </w:rPr>
      </w:pPr>
      <w:r w:rsidRPr="006D0155">
        <w:rPr>
          <w:rFonts w:cs="Century Gothic"/>
          <w:b/>
          <w:color w:val="FF0000"/>
          <w:sz w:val="20"/>
          <w:szCs w:val="20"/>
        </w:rPr>
        <w:t>Advantages</w:t>
      </w:r>
      <w:r w:rsidRPr="006D0155">
        <w:rPr>
          <w:rFonts w:cs="Century Gothic"/>
          <w:color w:val="FF0000"/>
          <w:sz w:val="20"/>
          <w:szCs w:val="20"/>
        </w:rPr>
        <w:t xml:space="preserve">: Reduce exposure to single reinsurer; Greater diversity of support with a different reinsurer </w:t>
      </w:r>
    </w:p>
    <w:p w14:paraId="399EBCD1" w14:textId="52481A44" w:rsidR="00DF7A5B" w:rsidRPr="006D0155" w:rsidRDefault="00DF7A5B" w:rsidP="00DF5B80">
      <w:pPr>
        <w:pStyle w:val="ListParagraph"/>
        <w:numPr>
          <w:ilvl w:val="0"/>
          <w:numId w:val="28"/>
        </w:numPr>
        <w:spacing w:after="60"/>
        <w:rPr>
          <w:color w:val="FF0000"/>
          <w:sz w:val="20"/>
          <w:szCs w:val="20"/>
        </w:rPr>
      </w:pPr>
      <w:r w:rsidRPr="006D0155">
        <w:rPr>
          <w:rFonts w:cs="Century Gothic"/>
          <w:b/>
          <w:color w:val="FF0000"/>
          <w:sz w:val="20"/>
          <w:szCs w:val="20"/>
        </w:rPr>
        <w:t>Disadvantages</w:t>
      </w:r>
      <w:r w:rsidRPr="006D0155">
        <w:rPr>
          <w:rFonts w:cs="Century Gothic"/>
          <w:color w:val="FF0000"/>
          <w:sz w:val="20"/>
          <w:szCs w:val="20"/>
        </w:rPr>
        <w:t>: May not be able to get as good a deal i</w:t>
      </w:r>
      <w:r w:rsidR="006D0155">
        <w:rPr>
          <w:rFonts w:cs="Century Gothic"/>
          <w:color w:val="FF0000"/>
          <w:sz w:val="20"/>
          <w:szCs w:val="20"/>
        </w:rPr>
        <w:t xml:space="preserve">n the market, on the other hand </w:t>
      </w:r>
      <w:r w:rsidRPr="006D0155">
        <w:rPr>
          <w:rFonts w:cs="Century Gothic"/>
          <w:color w:val="FF0000"/>
          <w:sz w:val="20"/>
          <w:szCs w:val="20"/>
        </w:rPr>
        <w:t>competition may result in improved terms</w:t>
      </w:r>
    </w:p>
    <w:p w14:paraId="3F4992DF" w14:textId="77AFCEF0" w:rsidR="00DF5B80" w:rsidRPr="002E555A" w:rsidRDefault="002E555A" w:rsidP="00DF5B80">
      <w:pPr>
        <w:spacing w:after="60"/>
        <w:rPr>
          <w:color w:val="00B050"/>
        </w:rPr>
      </w:pPr>
      <w:r>
        <w:rPr>
          <w:color w:val="00B050"/>
        </w:rPr>
        <w:t xml:space="preserve">Lower the reinsured amount / </w:t>
      </w:r>
      <w:proofErr w:type="gramStart"/>
      <w:r w:rsidRPr="002E555A">
        <w:rPr>
          <w:color w:val="FF0000"/>
        </w:rPr>
        <w:t>Increasing</w:t>
      </w:r>
      <w:proofErr w:type="gramEnd"/>
      <w:r w:rsidRPr="002E555A">
        <w:rPr>
          <w:color w:val="FF0000"/>
        </w:rPr>
        <w:t xml:space="preserve"> retentions of the business</w:t>
      </w:r>
      <w:r>
        <w:rPr>
          <w:color w:val="00B050"/>
        </w:rPr>
        <w:t>:</w:t>
      </w:r>
    </w:p>
    <w:p w14:paraId="5317632B" w14:textId="2591B4C1" w:rsidR="00DF5B80" w:rsidRPr="00DF5B80" w:rsidRDefault="00DF5B80" w:rsidP="00DF5B80">
      <w:pPr>
        <w:pStyle w:val="ListParagraph"/>
        <w:numPr>
          <w:ilvl w:val="0"/>
          <w:numId w:val="28"/>
        </w:numPr>
        <w:spacing w:after="60"/>
      </w:pPr>
      <w:r w:rsidRPr="00DF5B80">
        <w:t>Easy to implement.</w:t>
      </w:r>
    </w:p>
    <w:p w14:paraId="60793922" w14:textId="2CDACA7E" w:rsidR="00DF5B80" w:rsidRDefault="00DF5B80" w:rsidP="00DF5B80">
      <w:pPr>
        <w:pStyle w:val="ListParagraph"/>
        <w:numPr>
          <w:ilvl w:val="0"/>
          <w:numId w:val="28"/>
        </w:numPr>
        <w:spacing w:after="60"/>
      </w:pPr>
      <w:r w:rsidRPr="00DF5B80">
        <w:t>Not efficient regarding reducing the asset concentration risk</w:t>
      </w:r>
    </w:p>
    <w:p w14:paraId="49C6B2DB" w14:textId="77777777" w:rsidR="002E555A" w:rsidRPr="002E555A" w:rsidRDefault="002E555A" w:rsidP="002E555A">
      <w:pPr>
        <w:pStyle w:val="ListParagraph"/>
        <w:numPr>
          <w:ilvl w:val="0"/>
          <w:numId w:val="28"/>
        </w:numPr>
        <w:spacing w:after="60"/>
        <w:rPr>
          <w:color w:val="FF0000"/>
        </w:rPr>
      </w:pPr>
      <w:r w:rsidRPr="002E555A">
        <w:rPr>
          <w:color w:val="FF0000"/>
        </w:rPr>
        <w:t>Advantages: Reduce asset concentration risk charge that would apply</w:t>
      </w:r>
    </w:p>
    <w:p w14:paraId="66C8614F" w14:textId="77777777" w:rsidR="002E555A" w:rsidRPr="002E555A" w:rsidRDefault="002E555A" w:rsidP="002E555A">
      <w:pPr>
        <w:pStyle w:val="ListParagraph"/>
        <w:numPr>
          <w:ilvl w:val="0"/>
          <w:numId w:val="28"/>
        </w:numPr>
        <w:spacing w:after="60"/>
        <w:rPr>
          <w:color w:val="FF0000"/>
        </w:rPr>
      </w:pPr>
      <w:r w:rsidRPr="002E555A">
        <w:rPr>
          <w:color w:val="FF0000"/>
        </w:rPr>
        <w:t xml:space="preserve">Disadvantages: May not be within the risk tolerances / strategy of </w:t>
      </w:r>
      <w:proofErr w:type="spellStart"/>
      <w:r w:rsidRPr="002E555A">
        <w:rPr>
          <w:color w:val="FF0000"/>
        </w:rPr>
        <w:t>Globex</w:t>
      </w:r>
      <w:proofErr w:type="spellEnd"/>
      <w:r w:rsidRPr="002E555A">
        <w:rPr>
          <w:color w:val="FF0000"/>
        </w:rPr>
        <w:t xml:space="preserve"> to retain as much business; May not get as good a deal from the reinsurer if less business is ceded.</w:t>
      </w:r>
    </w:p>
    <w:p w14:paraId="6F66EA4C" w14:textId="77777777" w:rsidR="006D0155" w:rsidRPr="006D0155" w:rsidRDefault="006D0155" w:rsidP="006D0155">
      <w:pPr>
        <w:spacing w:after="60"/>
        <w:rPr>
          <w:b/>
          <w:color w:val="FF0000"/>
        </w:rPr>
      </w:pPr>
      <w:r w:rsidRPr="006D0155">
        <w:rPr>
          <w:b/>
          <w:color w:val="FF0000"/>
        </w:rPr>
        <w:t xml:space="preserve">Having the reinsurer deposit back some assets with </w:t>
      </w:r>
      <w:proofErr w:type="spellStart"/>
      <w:r w:rsidRPr="006D0155">
        <w:rPr>
          <w:b/>
          <w:color w:val="FF0000"/>
        </w:rPr>
        <w:t>Globex</w:t>
      </w:r>
      <w:proofErr w:type="spellEnd"/>
      <w:r w:rsidRPr="006D0155">
        <w:rPr>
          <w:b/>
          <w:color w:val="FF0000"/>
        </w:rPr>
        <w:t xml:space="preserve"> to cover any liabilities (e.g. DLR / IBNR)</w:t>
      </w:r>
    </w:p>
    <w:p w14:paraId="5A374BBC" w14:textId="77777777" w:rsidR="006D0155" w:rsidRPr="006D0155" w:rsidRDefault="006D0155" w:rsidP="006D0155">
      <w:pPr>
        <w:pStyle w:val="ListParagraph"/>
        <w:numPr>
          <w:ilvl w:val="0"/>
          <w:numId w:val="30"/>
        </w:numPr>
        <w:spacing w:after="60"/>
        <w:rPr>
          <w:color w:val="FF0000"/>
        </w:rPr>
      </w:pPr>
      <w:r w:rsidRPr="006D0155">
        <w:rPr>
          <w:color w:val="FF0000"/>
        </w:rPr>
        <w:t>Advantages: Would reduce the potential for an asset concentration risk to apply</w:t>
      </w:r>
    </w:p>
    <w:p w14:paraId="290C8F7B" w14:textId="16615B51" w:rsidR="00DF5B80" w:rsidRPr="006D0155" w:rsidRDefault="006D0155" w:rsidP="006D0155">
      <w:pPr>
        <w:pStyle w:val="ListParagraph"/>
        <w:numPr>
          <w:ilvl w:val="0"/>
          <w:numId w:val="30"/>
        </w:numPr>
        <w:spacing w:after="60"/>
        <w:rPr>
          <w:color w:val="FF0000"/>
        </w:rPr>
      </w:pPr>
      <w:r w:rsidRPr="006D0155">
        <w:rPr>
          <w:color w:val="FF0000"/>
        </w:rPr>
        <w:t>Disadvantages: Reinsurer may not agree or charge more as their assets are encumbered</w:t>
      </w:r>
    </w:p>
    <w:p w14:paraId="603546B0" w14:textId="77777777" w:rsidR="002E555A" w:rsidRPr="002E555A" w:rsidRDefault="002E555A" w:rsidP="002E555A">
      <w:pPr>
        <w:spacing w:after="60"/>
        <w:rPr>
          <w:b/>
          <w:color w:val="FF0000"/>
        </w:rPr>
      </w:pPr>
      <w:r w:rsidRPr="002E555A">
        <w:rPr>
          <w:b/>
          <w:color w:val="FF0000"/>
        </w:rPr>
        <w:t>Add a form of acceptable collateral against the counterparty risk as allowable under LPS117</w:t>
      </w:r>
    </w:p>
    <w:p w14:paraId="76E5C179" w14:textId="77777777" w:rsidR="002E555A" w:rsidRPr="002E555A" w:rsidRDefault="002E555A" w:rsidP="002E555A">
      <w:pPr>
        <w:pStyle w:val="ListParagraph"/>
        <w:numPr>
          <w:ilvl w:val="0"/>
          <w:numId w:val="31"/>
        </w:numPr>
        <w:spacing w:after="60"/>
        <w:rPr>
          <w:color w:val="FF0000"/>
        </w:rPr>
      </w:pPr>
      <w:r w:rsidRPr="002E555A">
        <w:rPr>
          <w:color w:val="FF0000"/>
        </w:rPr>
        <w:t>Advantages: Would reduce the potential for an asset concentration risk to apply</w:t>
      </w:r>
    </w:p>
    <w:p w14:paraId="673C429B" w14:textId="77777777" w:rsidR="002E555A" w:rsidRDefault="002E555A" w:rsidP="002E555A">
      <w:pPr>
        <w:pStyle w:val="ListParagraph"/>
        <w:numPr>
          <w:ilvl w:val="0"/>
          <w:numId w:val="31"/>
        </w:numPr>
        <w:spacing w:after="60"/>
      </w:pPr>
      <w:r w:rsidRPr="002E555A">
        <w:rPr>
          <w:color w:val="FF0000"/>
        </w:rPr>
        <w:t>Disadvantages: May result in additional costs (e.g. a guarantee) or some assets being encumbered (e.g. trust arrangement)</w:t>
      </w:r>
    </w:p>
    <w:p w14:paraId="2BC06159" w14:textId="25EA03DF" w:rsidR="002E555A" w:rsidRPr="002E555A" w:rsidRDefault="002E555A" w:rsidP="002E555A">
      <w:pPr>
        <w:spacing w:after="60"/>
        <w:rPr>
          <w:b/>
          <w:color w:val="FF0000"/>
        </w:rPr>
      </w:pPr>
      <w:r w:rsidRPr="002E555A">
        <w:rPr>
          <w:b/>
          <w:color w:val="FF0000"/>
        </w:rPr>
        <w:lastRenderedPageBreak/>
        <w:t>Increasing capital holdings to increase the value of assets of the statutory fund</w:t>
      </w:r>
    </w:p>
    <w:p w14:paraId="0E636708" w14:textId="77777777" w:rsidR="002E555A" w:rsidRPr="002E555A" w:rsidRDefault="002E555A" w:rsidP="002E555A">
      <w:pPr>
        <w:pStyle w:val="ListParagraph"/>
        <w:numPr>
          <w:ilvl w:val="0"/>
          <w:numId w:val="33"/>
        </w:numPr>
        <w:spacing w:after="60"/>
        <w:rPr>
          <w:color w:val="FF0000"/>
        </w:rPr>
      </w:pPr>
      <w:r w:rsidRPr="002E555A">
        <w:rPr>
          <w:color w:val="FF0000"/>
        </w:rPr>
        <w:t>Advantages: Assuming the capital is available, then an easy solution which does not rely on third parties</w:t>
      </w:r>
    </w:p>
    <w:p w14:paraId="2FF8FB1C" w14:textId="16744D44" w:rsidR="006D0155" w:rsidRPr="002E555A" w:rsidRDefault="002E555A" w:rsidP="002E555A">
      <w:pPr>
        <w:pStyle w:val="ListParagraph"/>
        <w:numPr>
          <w:ilvl w:val="0"/>
          <w:numId w:val="33"/>
        </w:numPr>
        <w:spacing w:after="60"/>
        <w:rPr>
          <w:color w:val="FF0000"/>
        </w:rPr>
      </w:pPr>
      <w:r w:rsidRPr="002E555A">
        <w:rPr>
          <w:color w:val="FF0000"/>
        </w:rPr>
        <w:t>Disadvantages: Does not effectively improve the asset concentration position as only the Value of Assets of the statutory fund is improved.</w:t>
      </w:r>
    </w:p>
    <w:p w14:paraId="7DC61BFD" w14:textId="77777777" w:rsidR="006D0155" w:rsidRDefault="006D0155" w:rsidP="006D0155">
      <w:pPr>
        <w:spacing w:after="60"/>
      </w:pPr>
    </w:p>
    <w:p w14:paraId="2A0187ED" w14:textId="046433C5" w:rsidR="00DF5B80" w:rsidRPr="00DF5B80" w:rsidRDefault="00DF5B80" w:rsidP="00BA1C3F">
      <w:pPr>
        <w:spacing w:after="0"/>
        <w:rPr>
          <w:i/>
        </w:rPr>
      </w:pPr>
      <w:r>
        <w:rPr>
          <w:i/>
        </w:rPr>
        <w:t>Y</w:t>
      </w:r>
      <w:r w:rsidRPr="00DF5B80">
        <w:rPr>
          <w:i/>
        </w:rPr>
        <w:t>our preferred approach and why you have made this choice</w:t>
      </w:r>
      <w:r>
        <w:rPr>
          <w:i/>
        </w:rPr>
        <w:t>:</w:t>
      </w:r>
    </w:p>
    <w:p w14:paraId="46041100" w14:textId="41EBAED6" w:rsidR="00DF5B80" w:rsidRDefault="006F3C3B" w:rsidP="00DF5B80">
      <w:pPr>
        <w:spacing w:after="60"/>
      </w:pPr>
      <w:r>
        <w:t>Changing reinsurer, the reasons are:</w:t>
      </w:r>
    </w:p>
    <w:p w14:paraId="019EBE00" w14:textId="058F607B" w:rsidR="006F3C3B" w:rsidRDefault="006F3C3B" w:rsidP="006F3C3B">
      <w:pPr>
        <w:pStyle w:val="ListParagraph"/>
        <w:numPr>
          <w:ilvl w:val="0"/>
          <w:numId w:val="29"/>
        </w:numPr>
        <w:spacing w:after="60"/>
      </w:pPr>
      <w:r>
        <w:t xml:space="preserve">If </w:t>
      </w:r>
      <w:proofErr w:type="spellStart"/>
      <w:r>
        <w:t>Globex</w:t>
      </w:r>
      <w:proofErr w:type="spellEnd"/>
      <w:r>
        <w:t xml:space="preserve"> only collaborate with one reinsurer, it may lose the ability to get an attractive term in the long run</w:t>
      </w:r>
    </w:p>
    <w:p w14:paraId="6DFD808D" w14:textId="1659CE5A" w:rsidR="006F3C3B" w:rsidRDefault="006F3C3B" w:rsidP="006F3C3B">
      <w:pPr>
        <w:pStyle w:val="ListParagraph"/>
        <w:numPr>
          <w:ilvl w:val="0"/>
          <w:numId w:val="29"/>
        </w:numPr>
        <w:spacing w:after="60"/>
      </w:pPr>
      <w:r>
        <w:t>More reinsurers tend to provide wider and different insight on the industry experience.</w:t>
      </w:r>
    </w:p>
    <w:p w14:paraId="4F90EAE0" w14:textId="7B31525D" w:rsidR="006F3C3B" w:rsidRDefault="00DF7A5B" w:rsidP="00DF5B80">
      <w:pPr>
        <w:pStyle w:val="ListParagraph"/>
        <w:numPr>
          <w:ilvl w:val="0"/>
          <w:numId w:val="29"/>
        </w:numPr>
        <w:spacing w:after="60"/>
      </w:pPr>
      <w:r>
        <w:t>The business volume is relatively large compared to the existing business. This can d</w:t>
      </w:r>
      <w:r w:rsidR="006F3C3B">
        <w:t>iversify the risks thoroughly than the other approach</w:t>
      </w:r>
      <w:r>
        <w:t>.</w:t>
      </w:r>
    </w:p>
    <w:p w14:paraId="250D0784" w14:textId="77777777" w:rsidR="00DF5B80" w:rsidRDefault="00DF5B80" w:rsidP="00DF5B80">
      <w:pPr>
        <w:spacing w:after="60"/>
      </w:pPr>
    </w:p>
    <w:p w14:paraId="0FAA17DD" w14:textId="36148458" w:rsidR="00DF5B80" w:rsidRPr="00DF5B80" w:rsidRDefault="00DF5B80" w:rsidP="00BA1C3F">
      <w:pPr>
        <w:spacing w:after="0"/>
        <w:rPr>
          <w:i/>
        </w:rPr>
      </w:pPr>
      <w:r>
        <w:rPr>
          <w:i/>
        </w:rPr>
        <w:t>H</w:t>
      </w:r>
      <w:r w:rsidRPr="00DF5B80">
        <w:rPr>
          <w:i/>
        </w:rPr>
        <w:t>ow your preferred approach would impact target capital</w:t>
      </w:r>
      <w:r>
        <w:rPr>
          <w:i/>
        </w:rPr>
        <w:t>:</w:t>
      </w:r>
    </w:p>
    <w:p w14:paraId="7FE6169C" w14:textId="2FE4D46D" w:rsidR="00DF5B80" w:rsidRDefault="002E555A" w:rsidP="002E555A">
      <w:pPr>
        <w:pStyle w:val="ListParagraph"/>
        <w:numPr>
          <w:ilvl w:val="0"/>
          <w:numId w:val="34"/>
        </w:numPr>
        <w:spacing w:after="60"/>
      </w:pPr>
      <w:r>
        <w:t xml:space="preserve">The </w:t>
      </w:r>
      <w:r w:rsidRPr="002E555A">
        <w:t>target capital</w:t>
      </w:r>
      <w:r>
        <w:t xml:space="preserve"> will be lower as the capital required will reduce as a result of the decrease of asset concentration risk.</w:t>
      </w:r>
    </w:p>
    <w:p w14:paraId="38FE5FB3" w14:textId="77777777" w:rsidR="00DF5B80" w:rsidRDefault="00DF5B80" w:rsidP="00DF5B80">
      <w:pPr>
        <w:spacing w:after="60"/>
      </w:pPr>
    </w:p>
    <w:p w14:paraId="11AA27A1" w14:textId="02184475" w:rsidR="00DF5B80" w:rsidRDefault="00BA1C3F" w:rsidP="00DF5B80">
      <w:pPr>
        <w:spacing w:after="60"/>
      </w:pPr>
      <w:r w:rsidRPr="00BA1C3F">
        <w:rPr>
          <w:b/>
        </w:rPr>
        <w:t>Q2</w:t>
      </w:r>
      <w:r>
        <w:t xml:space="preserve"> a)</w:t>
      </w:r>
      <w:r w:rsidR="00A9551A">
        <w:t xml:space="preserve"> </w:t>
      </w:r>
      <w:r w:rsidR="00FF61E1">
        <w:t>see the spreadsheet</w:t>
      </w:r>
    </w:p>
    <w:p w14:paraId="2E6F623B" w14:textId="77777777" w:rsidR="00FF61E1" w:rsidRDefault="00FF61E1" w:rsidP="00DF5B80">
      <w:pPr>
        <w:spacing w:after="60"/>
      </w:pPr>
    </w:p>
    <w:p w14:paraId="7806F9DE" w14:textId="277FCF21" w:rsidR="00FF61E1" w:rsidRDefault="00FF61E1" w:rsidP="00DF5B80">
      <w:pPr>
        <w:spacing w:after="60"/>
      </w:pPr>
      <w:r>
        <w:t>2b)</w:t>
      </w:r>
      <w:r w:rsidR="00835C35">
        <w:t xml:space="preserve"> </w:t>
      </w:r>
      <w:proofErr w:type="spellStart"/>
      <w:r w:rsidR="00835C35">
        <w:t>i</w:t>
      </w:r>
      <w:proofErr w:type="spellEnd"/>
      <w:r w:rsidR="00835C35">
        <w:t>.</w:t>
      </w:r>
      <w:r>
        <w:t xml:space="preserve"> </w:t>
      </w:r>
      <w:proofErr w:type="gramStart"/>
      <w:r w:rsidR="00835C35">
        <w:t>see</w:t>
      </w:r>
      <w:proofErr w:type="gramEnd"/>
      <w:r w:rsidR="00835C35">
        <w:t xml:space="preserve"> the spreadsheet</w:t>
      </w:r>
    </w:p>
    <w:p w14:paraId="57D348BE" w14:textId="4B6A8B20" w:rsidR="00835C35" w:rsidRDefault="00835C35" w:rsidP="00835C35">
      <w:pPr>
        <w:spacing w:after="60"/>
      </w:pPr>
      <w:r>
        <w:t xml:space="preserve">ii. </w:t>
      </w:r>
      <w:proofErr w:type="gramStart"/>
      <w:r w:rsidRPr="00835C35">
        <w:rPr>
          <w:i/>
        </w:rPr>
        <w:t>what</w:t>
      </w:r>
      <w:proofErr w:type="gramEnd"/>
      <w:r w:rsidRPr="00835C35">
        <w:rPr>
          <w:i/>
        </w:rPr>
        <w:t xml:space="preserve"> the analysis means for the business:</w:t>
      </w:r>
    </w:p>
    <w:p w14:paraId="07ECB5DC" w14:textId="4349684B" w:rsidR="00835C35" w:rsidRPr="00B348F0" w:rsidRDefault="00835C35" w:rsidP="00835C35">
      <w:pPr>
        <w:pStyle w:val="ListParagraph"/>
        <w:numPr>
          <w:ilvl w:val="0"/>
          <w:numId w:val="34"/>
        </w:numPr>
        <w:spacing w:after="60"/>
        <w:rPr>
          <w:color w:val="FF0000"/>
        </w:rPr>
      </w:pPr>
      <w:r w:rsidRPr="00B348F0">
        <w:rPr>
          <w:color w:val="FF0000"/>
        </w:rPr>
        <w:t>Sales have been under expectations and this has reduced profits below expected. The implication is that sales volumes need to increase in order for Omega life to cover their fixed costs (particularly the $1m fixed maintenance expense cost)</w:t>
      </w:r>
      <w:r w:rsidR="00B348F0">
        <w:rPr>
          <w:color w:val="FF0000"/>
        </w:rPr>
        <w:t>.</w:t>
      </w:r>
    </w:p>
    <w:p w14:paraId="1F096043" w14:textId="7232D1BF" w:rsidR="00835C35" w:rsidRPr="00B348F0" w:rsidRDefault="00835C35" w:rsidP="00835C35">
      <w:pPr>
        <w:pStyle w:val="ListParagraph"/>
        <w:numPr>
          <w:ilvl w:val="0"/>
          <w:numId w:val="34"/>
        </w:numPr>
        <w:spacing w:after="60"/>
        <w:rPr>
          <w:color w:val="FF0000"/>
        </w:rPr>
      </w:pPr>
      <w:r w:rsidRPr="00B348F0">
        <w:rPr>
          <w:color w:val="FF0000"/>
        </w:rPr>
        <w:t>Selling larger sized business, but less business may increase the variability of lapse experience as there is less diversification than expected across a number of schemes</w:t>
      </w:r>
      <w:r w:rsidR="00B348F0">
        <w:rPr>
          <w:color w:val="FF0000"/>
        </w:rPr>
        <w:t>.</w:t>
      </w:r>
    </w:p>
    <w:p w14:paraId="45BEABAD" w14:textId="7B6A97AB" w:rsidR="00835C35" w:rsidRPr="00B348F0" w:rsidRDefault="00835C35" w:rsidP="00835C35">
      <w:pPr>
        <w:pStyle w:val="ListParagraph"/>
        <w:numPr>
          <w:ilvl w:val="0"/>
          <w:numId w:val="34"/>
        </w:numPr>
        <w:spacing w:after="60"/>
        <w:rPr>
          <w:color w:val="FF0000"/>
        </w:rPr>
      </w:pPr>
      <w:r w:rsidRPr="00B348F0">
        <w:rPr>
          <w:color w:val="FF0000"/>
        </w:rPr>
        <w:t xml:space="preserve">Claims experience is far poorer than expected. If this is to continue and become part of best estimate assumptions, </w:t>
      </w:r>
      <w:r w:rsidRPr="00B348F0">
        <w:rPr>
          <w:b/>
          <w:color w:val="FF0000"/>
        </w:rPr>
        <w:t>DAC may not be recoverable</w:t>
      </w:r>
      <w:r w:rsidR="00B348F0">
        <w:rPr>
          <w:b/>
          <w:color w:val="FF0000"/>
        </w:rPr>
        <w:t>.</w:t>
      </w:r>
    </w:p>
    <w:p w14:paraId="6D39DE4E" w14:textId="1E5208A1" w:rsidR="00835C35" w:rsidRPr="00B348F0" w:rsidRDefault="00835C35" w:rsidP="00835C35">
      <w:pPr>
        <w:pStyle w:val="ListParagraph"/>
        <w:numPr>
          <w:ilvl w:val="0"/>
          <w:numId w:val="34"/>
        </w:numPr>
        <w:spacing w:after="60"/>
        <w:rPr>
          <w:color w:val="FF0000"/>
        </w:rPr>
      </w:pPr>
      <w:r w:rsidRPr="00B348F0">
        <w:rPr>
          <w:color w:val="FF0000"/>
        </w:rPr>
        <w:t xml:space="preserve">Investment income experience was better than expected. This may be due to a number of factors. </w:t>
      </w:r>
      <w:r w:rsidRPr="0094082D">
        <w:rPr>
          <w:b/>
          <w:color w:val="FF0000"/>
        </w:rPr>
        <w:t>If it is due to taking on additional risks</w:t>
      </w:r>
      <w:r w:rsidRPr="00B348F0">
        <w:rPr>
          <w:color w:val="FF0000"/>
        </w:rPr>
        <w:t xml:space="preserve">, then the investment profit is unlikely to continue. On the other hand, </w:t>
      </w:r>
      <w:r w:rsidRPr="0094082D">
        <w:rPr>
          <w:b/>
          <w:color w:val="FF0000"/>
        </w:rPr>
        <w:t>if the investment market has change</w:t>
      </w:r>
      <w:r w:rsidR="00044B71" w:rsidRPr="0094082D">
        <w:rPr>
          <w:b/>
          <w:color w:val="FF0000"/>
        </w:rPr>
        <w:t>d</w:t>
      </w:r>
      <w:r w:rsidRPr="0094082D">
        <w:rPr>
          <w:b/>
          <w:color w:val="FF0000"/>
        </w:rPr>
        <w:t xml:space="preserve"> in the year</w:t>
      </w:r>
      <w:r w:rsidRPr="00B348F0">
        <w:rPr>
          <w:color w:val="FF0000"/>
        </w:rPr>
        <w:t>, the investment income assumption may need to be reviewed</w:t>
      </w:r>
      <w:r w:rsidR="00B348F0">
        <w:rPr>
          <w:color w:val="FF0000"/>
        </w:rPr>
        <w:t>.</w:t>
      </w:r>
    </w:p>
    <w:p w14:paraId="6C939277" w14:textId="77777777" w:rsidR="00835C35" w:rsidRDefault="00835C35" w:rsidP="00DF5B80">
      <w:pPr>
        <w:spacing w:after="60"/>
      </w:pPr>
    </w:p>
    <w:p w14:paraId="08DBD846" w14:textId="77777777" w:rsidR="000D650E" w:rsidRDefault="00835C35" w:rsidP="00DF5B80">
      <w:pPr>
        <w:spacing w:after="60"/>
      </w:pPr>
      <w:r>
        <w:t xml:space="preserve">2c) </w:t>
      </w:r>
      <w:proofErr w:type="spellStart"/>
      <w:r w:rsidR="000D650E" w:rsidRPr="000D650E">
        <w:rPr>
          <w:i/>
        </w:rPr>
        <w:t>i</w:t>
      </w:r>
      <w:proofErr w:type="spellEnd"/>
      <w:r w:rsidR="000D650E" w:rsidRPr="000D650E">
        <w:rPr>
          <w:i/>
        </w:rPr>
        <w:t xml:space="preserve">. </w:t>
      </w:r>
      <w:proofErr w:type="gramStart"/>
      <w:r w:rsidR="000D650E" w:rsidRPr="000D650E">
        <w:rPr>
          <w:i/>
        </w:rPr>
        <w:t>Increasing</w:t>
      </w:r>
      <w:proofErr w:type="gramEnd"/>
      <w:r w:rsidR="000D650E" w:rsidRPr="000D650E">
        <w:rPr>
          <w:i/>
        </w:rPr>
        <w:t xml:space="preserve"> business volumes by increasing the level of upfront commission:</w:t>
      </w:r>
    </w:p>
    <w:p w14:paraId="40049C19" w14:textId="77777777" w:rsidR="00A54883" w:rsidRPr="00A54883" w:rsidRDefault="00A54883" w:rsidP="00A54883">
      <w:pPr>
        <w:spacing w:after="60"/>
        <w:rPr>
          <w:b/>
        </w:rPr>
      </w:pPr>
      <w:r w:rsidRPr="00A54883">
        <w:rPr>
          <w:b/>
        </w:rPr>
        <w:t>The expected impact on the profit and loss forecasts;</w:t>
      </w:r>
    </w:p>
    <w:p w14:paraId="0BE539E9" w14:textId="5E848A74" w:rsidR="00A54883" w:rsidRPr="00A54883" w:rsidRDefault="00A54883" w:rsidP="00A54883">
      <w:pPr>
        <w:pStyle w:val="ListParagraph"/>
        <w:numPr>
          <w:ilvl w:val="0"/>
          <w:numId w:val="34"/>
        </w:numPr>
        <w:spacing w:after="60"/>
        <w:rPr>
          <w:color w:val="FF0000"/>
        </w:rPr>
      </w:pPr>
      <w:r>
        <w:t xml:space="preserve">Initial commission will increase and hence the </w:t>
      </w:r>
      <w:r w:rsidRPr="00A54883">
        <w:rPr>
          <w:color w:val="FF0000"/>
        </w:rPr>
        <w:t>DAC will increase considerably</w:t>
      </w:r>
      <w:r w:rsidRPr="00A54883">
        <w:rPr>
          <w:color w:val="FF0000"/>
        </w:rPr>
        <w:t>.</w:t>
      </w:r>
    </w:p>
    <w:p w14:paraId="73EB566A" w14:textId="55BBAF34" w:rsidR="00A54883" w:rsidRDefault="00A54883" w:rsidP="00A54883">
      <w:pPr>
        <w:pStyle w:val="ListParagraph"/>
        <w:numPr>
          <w:ilvl w:val="0"/>
          <w:numId w:val="34"/>
        </w:numPr>
        <w:spacing w:after="60"/>
      </w:pPr>
      <w:r>
        <w:lastRenderedPageBreak/>
        <w:t xml:space="preserve">Would need to consider </w:t>
      </w:r>
      <w:r w:rsidRPr="00A54883">
        <w:rPr>
          <w:color w:val="FF0000"/>
        </w:rPr>
        <w:t>the potential impact on whether the DAC will be recoverable with an increase in upfront commissions.</w:t>
      </w:r>
      <w:r>
        <w:t xml:space="preserve"> The current profit margin (before the flat $1m expense) is 7% (1 – (75% + 30% / 5 + 12%)). Increasing the upfront commission much more may make the DAC unrecoverable which would result in a significant profit </w:t>
      </w:r>
      <w:r>
        <w:t>write-down</w:t>
      </w:r>
      <w:r>
        <w:t xml:space="preserve"> as the business goes into loss recognition.</w:t>
      </w:r>
    </w:p>
    <w:p w14:paraId="2931E668" w14:textId="77777777" w:rsidR="00A54883" w:rsidRPr="00A54883" w:rsidRDefault="00A54883" w:rsidP="00A54883">
      <w:pPr>
        <w:spacing w:after="60"/>
        <w:rPr>
          <w:b/>
        </w:rPr>
      </w:pPr>
      <w:r w:rsidRPr="00A54883">
        <w:rPr>
          <w:b/>
        </w:rPr>
        <w:t>The expected impact of the level of risk undertaken by the company;</w:t>
      </w:r>
    </w:p>
    <w:p w14:paraId="7A60DC20" w14:textId="5B988F3D" w:rsidR="00A54883" w:rsidRDefault="00A54883" w:rsidP="00A54883">
      <w:pPr>
        <w:pStyle w:val="ListParagraph"/>
        <w:numPr>
          <w:ilvl w:val="0"/>
          <w:numId w:val="34"/>
        </w:numPr>
        <w:spacing w:after="60"/>
      </w:pPr>
      <w:r w:rsidRPr="00A54883">
        <w:rPr>
          <w:color w:val="FF0000"/>
        </w:rPr>
        <w:t xml:space="preserve">Lapse risk is a main concern </w:t>
      </w:r>
      <w:r>
        <w:t>as this could have a significant impact on the P&amp;L of the company and eventually the capital position should lapses prove to be worse than expected</w:t>
      </w:r>
    </w:p>
    <w:p w14:paraId="70E9A83D" w14:textId="7FE8261D" w:rsidR="00A54883" w:rsidRDefault="00A54883" w:rsidP="00A54883">
      <w:pPr>
        <w:pStyle w:val="ListParagraph"/>
        <w:numPr>
          <w:ilvl w:val="0"/>
          <w:numId w:val="34"/>
        </w:numPr>
        <w:spacing w:after="60"/>
      </w:pPr>
      <w:r>
        <w:t xml:space="preserve">Another risk is that the volumes of new business increase well above plan such that the </w:t>
      </w:r>
      <w:r w:rsidRPr="00A54883">
        <w:rPr>
          <w:color w:val="FF0000"/>
        </w:rPr>
        <w:t>company does not have sufficient capital to support this risk</w:t>
      </w:r>
      <w:r>
        <w:rPr>
          <w:color w:val="FF0000"/>
        </w:rPr>
        <w:t>.</w:t>
      </w:r>
    </w:p>
    <w:p w14:paraId="3C063D04" w14:textId="7683D53F" w:rsidR="00A54883" w:rsidRPr="00A54883" w:rsidRDefault="00A54883" w:rsidP="00A54883">
      <w:pPr>
        <w:spacing w:after="60"/>
        <w:rPr>
          <w:b/>
        </w:rPr>
      </w:pPr>
      <w:r w:rsidRPr="00A54883">
        <w:rPr>
          <w:b/>
        </w:rPr>
        <w:t>Whether</w:t>
      </w:r>
      <w:r w:rsidRPr="00A54883">
        <w:rPr>
          <w:b/>
        </w:rPr>
        <w:t xml:space="preserve"> the company should implement this strategy</w:t>
      </w:r>
    </w:p>
    <w:p w14:paraId="19FFE565" w14:textId="6F3773A5" w:rsidR="000D650E" w:rsidRDefault="00A54883" w:rsidP="00A54883">
      <w:pPr>
        <w:pStyle w:val="ListParagraph"/>
        <w:numPr>
          <w:ilvl w:val="0"/>
          <w:numId w:val="34"/>
        </w:numPr>
        <w:spacing w:after="60"/>
      </w:pPr>
      <w:r>
        <w:t>A reasonable opinion is that the strategy is risky and too great an increase in initial commissions will likely have a negative impact for the reasons noted above.</w:t>
      </w:r>
    </w:p>
    <w:p w14:paraId="09100107" w14:textId="77777777" w:rsidR="000D650E" w:rsidRDefault="000D650E" w:rsidP="00DF5B80">
      <w:pPr>
        <w:spacing w:after="60"/>
      </w:pPr>
    </w:p>
    <w:p w14:paraId="6B506531" w14:textId="77777777" w:rsidR="000D650E" w:rsidRPr="000D650E" w:rsidRDefault="000D650E" w:rsidP="00DF5B80">
      <w:pPr>
        <w:spacing w:after="60"/>
        <w:rPr>
          <w:i/>
        </w:rPr>
      </w:pPr>
      <w:r w:rsidRPr="000D650E">
        <w:rPr>
          <w:i/>
        </w:rPr>
        <w:t>ii. Changing the investment mandate to allow the company to invest in corporate bonds with BBB and lower levels of credit rating:</w:t>
      </w:r>
    </w:p>
    <w:p w14:paraId="6197DFF0" w14:textId="77777777" w:rsidR="00A54883" w:rsidRPr="00A54883" w:rsidRDefault="00A54883" w:rsidP="00A54883">
      <w:pPr>
        <w:spacing w:after="60"/>
        <w:rPr>
          <w:b/>
        </w:rPr>
      </w:pPr>
      <w:r w:rsidRPr="00A54883">
        <w:rPr>
          <w:b/>
        </w:rPr>
        <w:t>The expected impact on the profit and loss forecasts;</w:t>
      </w:r>
    </w:p>
    <w:p w14:paraId="1A76D54E" w14:textId="2631051A" w:rsidR="00A54883" w:rsidRDefault="00A54883" w:rsidP="00A54883">
      <w:pPr>
        <w:pStyle w:val="ListParagraph"/>
        <w:numPr>
          <w:ilvl w:val="0"/>
          <w:numId w:val="34"/>
        </w:numPr>
        <w:spacing w:after="60"/>
      </w:pPr>
      <w:r>
        <w:t xml:space="preserve">Likely </w:t>
      </w:r>
      <w:r w:rsidRPr="00A54883">
        <w:rPr>
          <w:color w:val="FF0000"/>
        </w:rPr>
        <w:t>increase in yields would increase investment income</w:t>
      </w:r>
    </w:p>
    <w:p w14:paraId="6C87D03F" w14:textId="65CBA5A5" w:rsidR="000D650E" w:rsidRDefault="00A54883" w:rsidP="00A54883">
      <w:pPr>
        <w:pStyle w:val="ListParagraph"/>
        <w:numPr>
          <w:ilvl w:val="0"/>
          <w:numId w:val="34"/>
        </w:numPr>
        <w:spacing w:after="60"/>
      </w:pPr>
      <w:r>
        <w:t xml:space="preserve">However, the investment income would be </w:t>
      </w:r>
      <w:r w:rsidRPr="00A54883">
        <w:rPr>
          <w:color w:val="FF0000"/>
        </w:rPr>
        <w:t>subject to greater volatility</w:t>
      </w:r>
      <w:r>
        <w:t xml:space="preserve"> in particular </w:t>
      </w:r>
      <w:r>
        <w:t xml:space="preserve">when there are increased spreads on </w:t>
      </w:r>
      <w:r>
        <w:t>low-</w:t>
      </w:r>
      <w:r>
        <w:t>rat</w:t>
      </w:r>
      <w:r>
        <w:t>ing</w:t>
      </w:r>
      <w:r>
        <w:t xml:space="preserve"> corporates held or as the result of a default</w:t>
      </w:r>
    </w:p>
    <w:p w14:paraId="2D0785BF" w14:textId="77777777" w:rsidR="00A54883" w:rsidRPr="00A54883" w:rsidRDefault="00A54883" w:rsidP="00A54883">
      <w:pPr>
        <w:spacing w:after="60"/>
        <w:rPr>
          <w:b/>
        </w:rPr>
      </w:pPr>
      <w:r w:rsidRPr="00A54883">
        <w:rPr>
          <w:b/>
        </w:rPr>
        <w:t>The expected impact of the level of risk undertaken by the company;</w:t>
      </w:r>
    </w:p>
    <w:p w14:paraId="14A2B2ED" w14:textId="635113A4" w:rsidR="00A54883" w:rsidRDefault="00A54883" w:rsidP="00A54883">
      <w:pPr>
        <w:pStyle w:val="ListParagraph"/>
        <w:numPr>
          <w:ilvl w:val="0"/>
          <w:numId w:val="34"/>
        </w:numPr>
        <w:spacing w:after="60"/>
      </w:pPr>
      <w:r w:rsidRPr="00A54883">
        <w:rPr>
          <w:color w:val="FF0000"/>
        </w:rPr>
        <w:t>Greater risk</w:t>
      </w:r>
      <w:r>
        <w:t xml:space="preserve"> if the credit rating of the bonds is overall poorer</w:t>
      </w:r>
    </w:p>
    <w:p w14:paraId="3D9CBF39" w14:textId="3D0FBDBA" w:rsidR="00A54883" w:rsidRDefault="00A54883" w:rsidP="00A54883">
      <w:pPr>
        <w:pStyle w:val="ListParagraph"/>
        <w:numPr>
          <w:ilvl w:val="0"/>
          <w:numId w:val="34"/>
        </w:numPr>
        <w:spacing w:after="60"/>
      </w:pPr>
      <w:r>
        <w:t>Should be noted that the level of risk is dependent</w:t>
      </w:r>
      <w:r>
        <w:t xml:space="preserve"> on the scope of bonds that the </w:t>
      </w:r>
      <w:r>
        <w:t>company would hold (going down to BBB may be okay, but much lower would increase risk further)</w:t>
      </w:r>
    </w:p>
    <w:p w14:paraId="3D70F7EC" w14:textId="4160B9D6" w:rsidR="00A54883" w:rsidRPr="00A54883" w:rsidRDefault="00A54883" w:rsidP="00A54883">
      <w:pPr>
        <w:spacing w:after="60"/>
        <w:rPr>
          <w:b/>
        </w:rPr>
      </w:pPr>
      <w:r w:rsidRPr="00A54883">
        <w:rPr>
          <w:b/>
        </w:rPr>
        <w:t>Whether the company should implement this strategy</w:t>
      </w:r>
    </w:p>
    <w:p w14:paraId="314D03B6" w14:textId="60D98ABA" w:rsidR="000D650E" w:rsidRDefault="00A54883" w:rsidP="00A54883">
      <w:pPr>
        <w:pStyle w:val="ListParagraph"/>
        <w:numPr>
          <w:ilvl w:val="0"/>
          <w:numId w:val="34"/>
        </w:numPr>
        <w:spacing w:after="60"/>
      </w:pPr>
      <w:r>
        <w:t>Reasonable opinion should be open to this option,</w:t>
      </w:r>
      <w:r>
        <w:t xml:space="preserve"> but limiting the exposure to a </w:t>
      </w:r>
      <w:r>
        <w:t>reasonable level of bond (e.g. BBB) and limiting total exposures across the investment t portfolio.</w:t>
      </w:r>
    </w:p>
    <w:p w14:paraId="35F477E0" w14:textId="77777777" w:rsidR="00A54883" w:rsidRDefault="00A54883" w:rsidP="00A54883">
      <w:pPr>
        <w:spacing w:after="60"/>
      </w:pPr>
    </w:p>
    <w:p w14:paraId="7466D17E" w14:textId="671646D0" w:rsidR="00835C35" w:rsidRPr="000D650E" w:rsidRDefault="000D650E" w:rsidP="00DF5B80">
      <w:pPr>
        <w:spacing w:after="60"/>
        <w:rPr>
          <w:i/>
        </w:rPr>
      </w:pPr>
      <w:proofErr w:type="gramStart"/>
      <w:r w:rsidRPr="000D650E">
        <w:rPr>
          <w:i/>
        </w:rPr>
        <w:t>iii</w:t>
      </w:r>
      <w:proofErr w:type="gramEnd"/>
      <w:r w:rsidRPr="000D650E">
        <w:rPr>
          <w:i/>
        </w:rPr>
        <w:t>. Removing the 5 year pre-existing condition exclusion on the policies and instead to fully underwrite all lives that will be given cover</w:t>
      </w:r>
      <w:r>
        <w:rPr>
          <w:i/>
        </w:rPr>
        <w:t>:</w:t>
      </w:r>
    </w:p>
    <w:p w14:paraId="08E66D3E" w14:textId="77777777" w:rsidR="00A54883" w:rsidRPr="00A54883" w:rsidRDefault="00A54883" w:rsidP="00A54883">
      <w:pPr>
        <w:spacing w:after="60"/>
        <w:rPr>
          <w:b/>
        </w:rPr>
      </w:pPr>
      <w:r w:rsidRPr="00A54883">
        <w:rPr>
          <w:b/>
        </w:rPr>
        <w:t>The expected impact on the profit and loss forecasts</w:t>
      </w:r>
    </w:p>
    <w:p w14:paraId="0AF9992D" w14:textId="098D5991" w:rsidR="00A54883" w:rsidRDefault="00A54883" w:rsidP="00A54883">
      <w:pPr>
        <w:pStyle w:val="ListParagraph"/>
        <w:numPr>
          <w:ilvl w:val="0"/>
          <w:numId w:val="34"/>
        </w:numPr>
        <w:spacing w:after="60"/>
      </w:pPr>
      <w:r w:rsidRPr="00A54883">
        <w:rPr>
          <w:color w:val="FF0000"/>
        </w:rPr>
        <w:t xml:space="preserve">Likely increase in initial expenses </w:t>
      </w:r>
      <w:r>
        <w:t>due to the need to underwrite all persons getting cover.</w:t>
      </w:r>
    </w:p>
    <w:p w14:paraId="247608EC" w14:textId="6A531286" w:rsidR="00A54883" w:rsidRDefault="00A54883" w:rsidP="00A54883">
      <w:pPr>
        <w:pStyle w:val="ListParagraph"/>
        <w:numPr>
          <w:ilvl w:val="0"/>
          <w:numId w:val="34"/>
        </w:numPr>
        <w:spacing w:after="60"/>
      </w:pPr>
      <w:r w:rsidRPr="00A54883">
        <w:rPr>
          <w:color w:val="FF0000"/>
        </w:rPr>
        <w:lastRenderedPageBreak/>
        <w:t>Experience may be expected to improve above the pre-existing exclusion approach</w:t>
      </w:r>
      <w:r>
        <w:t xml:space="preserve"> and </w:t>
      </w:r>
      <w:r w:rsidRPr="00A54883">
        <w:rPr>
          <w:color w:val="FF0000"/>
        </w:rPr>
        <w:t>hence the loss ratio may be lower</w:t>
      </w:r>
    </w:p>
    <w:p w14:paraId="5F411AB4" w14:textId="35FC4D89" w:rsidR="00A54883" w:rsidRPr="00A54883" w:rsidRDefault="00A54883" w:rsidP="00A54883">
      <w:pPr>
        <w:pStyle w:val="ListParagraph"/>
        <w:numPr>
          <w:ilvl w:val="0"/>
          <w:numId w:val="34"/>
        </w:numPr>
        <w:spacing w:after="60"/>
        <w:rPr>
          <w:color w:val="FF0000"/>
        </w:rPr>
      </w:pPr>
      <w:r>
        <w:t xml:space="preserve">The question of whether the larger upfront commissions is recoverable is also a concern and </w:t>
      </w:r>
      <w:r w:rsidRPr="00A54883">
        <w:rPr>
          <w:color w:val="FF0000"/>
        </w:rPr>
        <w:t>any significant increase in upfront costs without an appropriate increase in premium and/ or reduction in loss ratio may result in a significant loss as the result of loss recognition</w:t>
      </w:r>
    </w:p>
    <w:p w14:paraId="2211FB67" w14:textId="77777777" w:rsidR="00A54883" w:rsidRPr="00A54883" w:rsidRDefault="00A54883" w:rsidP="00A54883">
      <w:pPr>
        <w:spacing w:after="60"/>
        <w:rPr>
          <w:b/>
        </w:rPr>
      </w:pPr>
      <w:r w:rsidRPr="00A54883">
        <w:rPr>
          <w:b/>
        </w:rPr>
        <w:t>The expected impact of the level of risk undertaken by the company;</w:t>
      </w:r>
    </w:p>
    <w:p w14:paraId="26E6544B" w14:textId="7EC1019F" w:rsidR="00A54883" w:rsidRPr="00A54883" w:rsidRDefault="00A54883" w:rsidP="00A54883">
      <w:pPr>
        <w:pStyle w:val="ListParagraph"/>
        <w:numPr>
          <w:ilvl w:val="0"/>
          <w:numId w:val="34"/>
        </w:numPr>
        <w:spacing w:after="60"/>
        <w:rPr>
          <w:color w:val="FF0000"/>
        </w:rPr>
      </w:pPr>
      <w:r w:rsidRPr="00A54883">
        <w:rPr>
          <w:color w:val="FF0000"/>
        </w:rPr>
        <w:t>The insurance risk may be reduced as the business is underwritten rather than using a pre-existing condition exclusion</w:t>
      </w:r>
    </w:p>
    <w:p w14:paraId="6D3C8BB9" w14:textId="29DD1F00" w:rsidR="00A54883" w:rsidRDefault="00A54883" w:rsidP="00A54883">
      <w:pPr>
        <w:pStyle w:val="ListParagraph"/>
        <w:numPr>
          <w:ilvl w:val="0"/>
          <w:numId w:val="34"/>
        </w:numPr>
        <w:spacing w:after="60"/>
      </w:pPr>
      <w:r>
        <w:t xml:space="preserve">However, </w:t>
      </w:r>
      <w:r w:rsidRPr="00A54883">
        <w:rPr>
          <w:color w:val="FF0000"/>
        </w:rPr>
        <w:t xml:space="preserve">there is an expense risk due to </w:t>
      </w:r>
      <w:r w:rsidRPr="00A54883">
        <w:rPr>
          <w:b/>
          <w:color w:val="FF0000"/>
        </w:rPr>
        <w:t>the need to hire / train underwriters</w:t>
      </w:r>
      <w:r w:rsidRPr="00A54883">
        <w:rPr>
          <w:color w:val="FF0000"/>
        </w:rPr>
        <w:t xml:space="preserve"> </w:t>
      </w:r>
      <w:proofErr w:type="spellStart"/>
      <w:r>
        <w:t>etc</w:t>
      </w:r>
      <w:proofErr w:type="spellEnd"/>
      <w:r>
        <w:t xml:space="preserve"> which would need to be borne out of future profits (which is dependent on future new business income)</w:t>
      </w:r>
    </w:p>
    <w:p w14:paraId="6F09751B" w14:textId="77777777" w:rsidR="00A54883" w:rsidRPr="00A54883" w:rsidRDefault="00A54883" w:rsidP="00A54883">
      <w:pPr>
        <w:spacing w:after="60"/>
        <w:rPr>
          <w:b/>
        </w:rPr>
      </w:pPr>
      <w:r w:rsidRPr="00A54883">
        <w:rPr>
          <w:b/>
        </w:rPr>
        <w:t>Whether the company should implement this strategy</w:t>
      </w:r>
    </w:p>
    <w:p w14:paraId="7D738DEF" w14:textId="0B2599CE" w:rsidR="00971BE9" w:rsidRDefault="00A54883" w:rsidP="00A54883">
      <w:pPr>
        <w:pStyle w:val="ListParagraph"/>
        <w:numPr>
          <w:ilvl w:val="0"/>
          <w:numId w:val="34"/>
        </w:numPr>
        <w:spacing w:after="60"/>
      </w:pPr>
      <w:r>
        <w:t xml:space="preserve">The approach seems reasonable, but the additional costs of the underwriting approach </w:t>
      </w:r>
      <w:r w:rsidRPr="00A54883">
        <w:rPr>
          <w:color w:val="FF0000"/>
        </w:rPr>
        <w:t xml:space="preserve">must be weighed up against what premiums can be charged and the expected loss ratios for this business </w:t>
      </w:r>
      <w:r>
        <w:t>would be</w:t>
      </w:r>
      <w:r>
        <w:t>.</w:t>
      </w:r>
    </w:p>
    <w:p w14:paraId="261BE483" w14:textId="77777777" w:rsidR="003E7257" w:rsidRDefault="003E7257" w:rsidP="003E7257">
      <w:pPr>
        <w:spacing w:after="60"/>
      </w:pPr>
      <w:bookmarkStart w:id="0" w:name="_GoBack"/>
      <w:bookmarkEnd w:id="0"/>
    </w:p>
    <w:sectPr w:rsidR="003E725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F88C5" w14:textId="77777777" w:rsidR="00131CD1" w:rsidRDefault="00131CD1" w:rsidP="00565DE9">
      <w:pPr>
        <w:spacing w:after="0" w:line="240" w:lineRule="auto"/>
      </w:pPr>
      <w:r>
        <w:separator/>
      </w:r>
    </w:p>
  </w:endnote>
  <w:endnote w:type="continuationSeparator" w:id="0">
    <w:p w14:paraId="44BF0344" w14:textId="77777777" w:rsidR="00131CD1" w:rsidRDefault="00131CD1"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7AAAB" w14:textId="77777777" w:rsidR="00131CD1" w:rsidRDefault="00131CD1" w:rsidP="00565DE9">
      <w:pPr>
        <w:spacing w:after="0" w:line="240" w:lineRule="auto"/>
      </w:pPr>
      <w:r>
        <w:separator/>
      </w:r>
    </w:p>
  </w:footnote>
  <w:footnote w:type="continuationSeparator" w:id="0">
    <w:p w14:paraId="2712FBC9" w14:textId="77777777" w:rsidR="00131CD1" w:rsidRDefault="00131CD1"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483A"/>
    <w:multiLevelType w:val="hybridMultilevel"/>
    <w:tmpl w:val="38CE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A3DE3"/>
    <w:multiLevelType w:val="hybridMultilevel"/>
    <w:tmpl w:val="DC54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B51BD"/>
    <w:multiLevelType w:val="hybridMultilevel"/>
    <w:tmpl w:val="67F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D15AB"/>
    <w:multiLevelType w:val="hybridMultilevel"/>
    <w:tmpl w:val="70525DD4"/>
    <w:lvl w:ilvl="0" w:tplc="D256BC90">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94242"/>
    <w:multiLevelType w:val="hybridMultilevel"/>
    <w:tmpl w:val="2CE2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D502F6"/>
    <w:multiLevelType w:val="hybridMultilevel"/>
    <w:tmpl w:val="9A6A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F4D08"/>
    <w:multiLevelType w:val="hybridMultilevel"/>
    <w:tmpl w:val="E388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502AC"/>
    <w:multiLevelType w:val="hybridMultilevel"/>
    <w:tmpl w:val="55C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3D77C1"/>
    <w:multiLevelType w:val="hybridMultilevel"/>
    <w:tmpl w:val="14DA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8F1"/>
    <w:multiLevelType w:val="hybridMultilevel"/>
    <w:tmpl w:val="0164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51020B"/>
    <w:multiLevelType w:val="hybridMultilevel"/>
    <w:tmpl w:val="0750D0B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34BE3"/>
    <w:multiLevelType w:val="hybridMultilevel"/>
    <w:tmpl w:val="33BA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8184A"/>
    <w:multiLevelType w:val="hybridMultilevel"/>
    <w:tmpl w:val="0F3E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639EB"/>
    <w:multiLevelType w:val="hybridMultilevel"/>
    <w:tmpl w:val="13364986"/>
    <w:lvl w:ilvl="0" w:tplc="ADAC183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0201F"/>
    <w:multiLevelType w:val="hybridMultilevel"/>
    <w:tmpl w:val="3404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D60327"/>
    <w:multiLevelType w:val="hybridMultilevel"/>
    <w:tmpl w:val="5B90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DC4A88"/>
    <w:multiLevelType w:val="hybridMultilevel"/>
    <w:tmpl w:val="20EA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442897"/>
    <w:multiLevelType w:val="hybridMultilevel"/>
    <w:tmpl w:val="2956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981011"/>
    <w:multiLevelType w:val="hybridMultilevel"/>
    <w:tmpl w:val="25C0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C4FE8"/>
    <w:multiLevelType w:val="hybridMultilevel"/>
    <w:tmpl w:val="7868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E72DB5"/>
    <w:multiLevelType w:val="hybridMultilevel"/>
    <w:tmpl w:val="507C0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0EB4942"/>
    <w:multiLevelType w:val="hybridMultilevel"/>
    <w:tmpl w:val="3E64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731770"/>
    <w:multiLevelType w:val="hybridMultilevel"/>
    <w:tmpl w:val="9468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F63D4"/>
    <w:multiLevelType w:val="hybridMultilevel"/>
    <w:tmpl w:val="763A09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09E7114"/>
    <w:multiLevelType w:val="hybridMultilevel"/>
    <w:tmpl w:val="D738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0273C"/>
    <w:multiLevelType w:val="hybridMultilevel"/>
    <w:tmpl w:val="BEF2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CE415C"/>
    <w:multiLevelType w:val="hybridMultilevel"/>
    <w:tmpl w:val="7DA838EA"/>
    <w:lvl w:ilvl="0" w:tplc="04090001">
      <w:start w:val="1"/>
      <w:numFmt w:val="bullet"/>
      <w:lvlText w:val=""/>
      <w:lvlJc w:val="left"/>
      <w:pPr>
        <w:ind w:left="1080" w:hanging="360"/>
      </w:pPr>
      <w:rPr>
        <w:rFonts w:ascii="Symbol" w:hAnsi="Symbol" w:hint="default"/>
      </w:rPr>
    </w:lvl>
    <w:lvl w:ilvl="1" w:tplc="9EF477D6">
      <w:numFmt w:val="bullet"/>
      <w:lvlText w:val="-"/>
      <w:lvlJc w:val="left"/>
      <w:pPr>
        <w:ind w:left="1800" w:hanging="360"/>
      </w:pPr>
      <w:rPr>
        <w:rFonts w:ascii="Calibri" w:eastAsiaTheme="minorEastAsia"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5363775"/>
    <w:multiLevelType w:val="hybridMultilevel"/>
    <w:tmpl w:val="87DE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506194"/>
    <w:multiLevelType w:val="hybridMultilevel"/>
    <w:tmpl w:val="66FE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79668C"/>
    <w:multiLevelType w:val="hybridMultilevel"/>
    <w:tmpl w:val="5BD4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B56D5E"/>
    <w:multiLevelType w:val="hybridMultilevel"/>
    <w:tmpl w:val="D9203E2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60961D04"/>
    <w:multiLevelType w:val="hybridMultilevel"/>
    <w:tmpl w:val="CA1E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B45BBE"/>
    <w:multiLevelType w:val="hybridMultilevel"/>
    <w:tmpl w:val="972C1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746B58"/>
    <w:multiLevelType w:val="hybridMultilevel"/>
    <w:tmpl w:val="CDE8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813E79"/>
    <w:multiLevelType w:val="hybridMultilevel"/>
    <w:tmpl w:val="CF06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2F5903"/>
    <w:multiLevelType w:val="hybridMultilevel"/>
    <w:tmpl w:val="1704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6E0529"/>
    <w:multiLevelType w:val="hybridMultilevel"/>
    <w:tmpl w:val="27D0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2655FC"/>
    <w:multiLevelType w:val="hybridMultilevel"/>
    <w:tmpl w:val="B824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BD040C"/>
    <w:multiLevelType w:val="hybridMultilevel"/>
    <w:tmpl w:val="C4382770"/>
    <w:lvl w:ilvl="0" w:tplc="ADAC183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2"/>
  </w:num>
  <w:num w:numId="3">
    <w:abstractNumId w:val="29"/>
  </w:num>
  <w:num w:numId="4">
    <w:abstractNumId w:val="10"/>
  </w:num>
  <w:num w:numId="5">
    <w:abstractNumId w:val="1"/>
  </w:num>
  <w:num w:numId="6">
    <w:abstractNumId w:val="25"/>
  </w:num>
  <w:num w:numId="7">
    <w:abstractNumId w:val="14"/>
  </w:num>
  <w:num w:numId="8">
    <w:abstractNumId w:val="12"/>
  </w:num>
  <w:num w:numId="9">
    <w:abstractNumId w:val="21"/>
  </w:num>
  <w:num w:numId="10">
    <w:abstractNumId w:val="35"/>
  </w:num>
  <w:num w:numId="11">
    <w:abstractNumId w:val="5"/>
  </w:num>
  <w:num w:numId="12">
    <w:abstractNumId w:val="11"/>
  </w:num>
  <w:num w:numId="13">
    <w:abstractNumId w:val="27"/>
  </w:num>
  <w:num w:numId="14">
    <w:abstractNumId w:val="23"/>
  </w:num>
  <w:num w:numId="15">
    <w:abstractNumId w:val="32"/>
  </w:num>
  <w:num w:numId="16">
    <w:abstractNumId w:val="4"/>
  </w:num>
  <w:num w:numId="17">
    <w:abstractNumId w:val="20"/>
  </w:num>
  <w:num w:numId="18">
    <w:abstractNumId w:val="30"/>
  </w:num>
  <w:num w:numId="19">
    <w:abstractNumId w:val="2"/>
  </w:num>
  <w:num w:numId="20">
    <w:abstractNumId w:val="3"/>
  </w:num>
  <w:num w:numId="21">
    <w:abstractNumId w:val="6"/>
  </w:num>
  <w:num w:numId="22">
    <w:abstractNumId w:val="13"/>
  </w:num>
  <w:num w:numId="23">
    <w:abstractNumId w:val="38"/>
  </w:num>
  <w:num w:numId="24">
    <w:abstractNumId w:val="26"/>
  </w:num>
  <w:num w:numId="25">
    <w:abstractNumId w:val="19"/>
  </w:num>
  <w:num w:numId="26">
    <w:abstractNumId w:val="34"/>
  </w:num>
  <w:num w:numId="27">
    <w:abstractNumId w:val="37"/>
  </w:num>
  <w:num w:numId="28">
    <w:abstractNumId w:val="31"/>
  </w:num>
  <w:num w:numId="29">
    <w:abstractNumId w:val="33"/>
  </w:num>
  <w:num w:numId="30">
    <w:abstractNumId w:val="7"/>
  </w:num>
  <w:num w:numId="31">
    <w:abstractNumId w:val="0"/>
  </w:num>
  <w:num w:numId="32">
    <w:abstractNumId w:val="15"/>
  </w:num>
  <w:num w:numId="33">
    <w:abstractNumId w:val="36"/>
  </w:num>
  <w:num w:numId="34">
    <w:abstractNumId w:val="17"/>
  </w:num>
  <w:num w:numId="35">
    <w:abstractNumId w:val="28"/>
  </w:num>
  <w:num w:numId="36">
    <w:abstractNumId w:val="8"/>
  </w:num>
  <w:num w:numId="37">
    <w:abstractNumId w:val="18"/>
  </w:num>
  <w:num w:numId="38">
    <w:abstractNumId w:val="24"/>
  </w:num>
  <w:num w:numId="3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4A11"/>
    <w:rsid w:val="000167FC"/>
    <w:rsid w:val="00021598"/>
    <w:rsid w:val="000224A3"/>
    <w:rsid w:val="00025BF7"/>
    <w:rsid w:val="00026F9E"/>
    <w:rsid w:val="000270E7"/>
    <w:rsid w:val="0003016D"/>
    <w:rsid w:val="00030932"/>
    <w:rsid w:val="000310A4"/>
    <w:rsid w:val="00031F6C"/>
    <w:rsid w:val="00034C5F"/>
    <w:rsid w:val="00035492"/>
    <w:rsid w:val="00035A51"/>
    <w:rsid w:val="00035E50"/>
    <w:rsid w:val="00042A3B"/>
    <w:rsid w:val="00042CAA"/>
    <w:rsid w:val="00044B71"/>
    <w:rsid w:val="00045CCD"/>
    <w:rsid w:val="0005178A"/>
    <w:rsid w:val="00051EDA"/>
    <w:rsid w:val="00052A09"/>
    <w:rsid w:val="00053328"/>
    <w:rsid w:val="00053DAB"/>
    <w:rsid w:val="00054186"/>
    <w:rsid w:val="000553A4"/>
    <w:rsid w:val="00055D2F"/>
    <w:rsid w:val="000579D9"/>
    <w:rsid w:val="00061E9E"/>
    <w:rsid w:val="000620A3"/>
    <w:rsid w:val="00062C98"/>
    <w:rsid w:val="00062ECC"/>
    <w:rsid w:val="00065C37"/>
    <w:rsid w:val="000710F8"/>
    <w:rsid w:val="0007159A"/>
    <w:rsid w:val="00074012"/>
    <w:rsid w:val="000740CC"/>
    <w:rsid w:val="000760DF"/>
    <w:rsid w:val="000764FF"/>
    <w:rsid w:val="000807BE"/>
    <w:rsid w:val="00080DFA"/>
    <w:rsid w:val="000811EB"/>
    <w:rsid w:val="00083E3D"/>
    <w:rsid w:val="000874FD"/>
    <w:rsid w:val="00092372"/>
    <w:rsid w:val="00093A90"/>
    <w:rsid w:val="00093F69"/>
    <w:rsid w:val="00094261"/>
    <w:rsid w:val="000971FB"/>
    <w:rsid w:val="000A10CF"/>
    <w:rsid w:val="000A1F46"/>
    <w:rsid w:val="000A3AD5"/>
    <w:rsid w:val="000A6E4E"/>
    <w:rsid w:val="000A6EFF"/>
    <w:rsid w:val="000A7AC2"/>
    <w:rsid w:val="000B22C7"/>
    <w:rsid w:val="000B252A"/>
    <w:rsid w:val="000B6580"/>
    <w:rsid w:val="000B7850"/>
    <w:rsid w:val="000C0255"/>
    <w:rsid w:val="000C0D3D"/>
    <w:rsid w:val="000C377D"/>
    <w:rsid w:val="000C764C"/>
    <w:rsid w:val="000D0132"/>
    <w:rsid w:val="000D1349"/>
    <w:rsid w:val="000D23C3"/>
    <w:rsid w:val="000D2B62"/>
    <w:rsid w:val="000D33CA"/>
    <w:rsid w:val="000D4C8D"/>
    <w:rsid w:val="000D4DE0"/>
    <w:rsid w:val="000D5C83"/>
    <w:rsid w:val="000D650E"/>
    <w:rsid w:val="000D66EA"/>
    <w:rsid w:val="000D6D93"/>
    <w:rsid w:val="000E470E"/>
    <w:rsid w:val="000E57DE"/>
    <w:rsid w:val="000E59D7"/>
    <w:rsid w:val="000F04CC"/>
    <w:rsid w:val="000F1189"/>
    <w:rsid w:val="000F359F"/>
    <w:rsid w:val="000F521F"/>
    <w:rsid w:val="000F6A44"/>
    <w:rsid w:val="00100D63"/>
    <w:rsid w:val="00102728"/>
    <w:rsid w:val="00103C6A"/>
    <w:rsid w:val="00104EF8"/>
    <w:rsid w:val="001055FA"/>
    <w:rsid w:val="00107E2A"/>
    <w:rsid w:val="00113F8B"/>
    <w:rsid w:val="00114361"/>
    <w:rsid w:val="001143DD"/>
    <w:rsid w:val="001151FD"/>
    <w:rsid w:val="00115583"/>
    <w:rsid w:val="00117411"/>
    <w:rsid w:val="001176D2"/>
    <w:rsid w:val="0012171E"/>
    <w:rsid w:val="00121D93"/>
    <w:rsid w:val="0012358B"/>
    <w:rsid w:val="00124601"/>
    <w:rsid w:val="00125320"/>
    <w:rsid w:val="00125440"/>
    <w:rsid w:val="00125723"/>
    <w:rsid w:val="00125E00"/>
    <w:rsid w:val="00126652"/>
    <w:rsid w:val="00126A01"/>
    <w:rsid w:val="00130283"/>
    <w:rsid w:val="001302A7"/>
    <w:rsid w:val="00131CD1"/>
    <w:rsid w:val="00132A6F"/>
    <w:rsid w:val="001366F3"/>
    <w:rsid w:val="00137C86"/>
    <w:rsid w:val="00137E1E"/>
    <w:rsid w:val="001424FA"/>
    <w:rsid w:val="00142945"/>
    <w:rsid w:val="001430CE"/>
    <w:rsid w:val="00143429"/>
    <w:rsid w:val="00144C98"/>
    <w:rsid w:val="00146811"/>
    <w:rsid w:val="00151E84"/>
    <w:rsid w:val="00152031"/>
    <w:rsid w:val="00155049"/>
    <w:rsid w:val="001555AB"/>
    <w:rsid w:val="001555D0"/>
    <w:rsid w:val="00156131"/>
    <w:rsid w:val="00161061"/>
    <w:rsid w:val="001623E2"/>
    <w:rsid w:val="001645F1"/>
    <w:rsid w:val="001646F0"/>
    <w:rsid w:val="00164A64"/>
    <w:rsid w:val="0016576F"/>
    <w:rsid w:val="00165977"/>
    <w:rsid w:val="00165AC8"/>
    <w:rsid w:val="00166577"/>
    <w:rsid w:val="00167390"/>
    <w:rsid w:val="0016779A"/>
    <w:rsid w:val="00167844"/>
    <w:rsid w:val="00174DF7"/>
    <w:rsid w:val="00182934"/>
    <w:rsid w:val="00183218"/>
    <w:rsid w:val="0018339E"/>
    <w:rsid w:val="00184833"/>
    <w:rsid w:val="001853A5"/>
    <w:rsid w:val="001860DE"/>
    <w:rsid w:val="001868AA"/>
    <w:rsid w:val="0018718B"/>
    <w:rsid w:val="00192E4A"/>
    <w:rsid w:val="00193607"/>
    <w:rsid w:val="001954ED"/>
    <w:rsid w:val="001969E8"/>
    <w:rsid w:val="00197244"/>
    <w:rsid w:val="001A04B2"/>
    <w:rsid w:val="001A23D6"/>
    <w:rsid w:val="001A353B"/>
    <w:rsid w:val="001A3953"/>
    <w:rsid w:val="001A4F0F"/>
    <w:rsid w:val="001A50D4"/>
    <w:rsid w:val="001A61C7"/>
    <w:rsid w:val="001A7B2B"/>
    <w:rsid w:val="001B0F52"/>
    <w:rsid w:val="001B2676"/>
    <w:rsid w:val="001B2ECF"/>
    <w:rsid w:val="001B3E3F"/>
    <w:rsid w:val="001B577B"/>
    <w:rsid w:val="001B728F"/>
    <w:rsid w:val="001C1DCE"/>
    <w:rsid w:val="001C3817"/>
    <w:rsid w:val="001C3970"/>
    <w:rsid w:val="001C3BB4"/>
    <w:rsid w:val="001C431D"/>
    <w:rsid w:val="001C5785"/>
    <w:rsid w:val="001D03A8"/>
    <w:rsid w:val="001D07F5"/>
    <w:rsid w:val="001D2026"/>
    <w:rsid w:val="001D202D"/>
    <w:rsid w:val="001D3ED2"/>
    <w:rsid w:val="001D6BB4"/>
    <w:rsid w:val="001E1952"/>
    <w:rsid w:val="001E1C07"/>
    <w:rsid w:val="001E2478"/>
    <w:rsid w:val="001E35BE"/>
    <w:rsid w:val="001E68A5"/>
    <w:rsid w:val="001E7415"/>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721"/>
    <w:rsid w:val="002116E8"/>
    <w:rsid w:val="00211E15"/>
    <w:rsid w:val="00216AA6"/>
    <w:rsid w:val="0022000A"/>
    <w:rsid w:val="002250E8"/>
    <w:rsid w:val="002273AB"/>
    <w:rsid w:val="002308C2"/>
    <w:rsid w:val="00230B1C"/>
    <w:rsid w:val="002320A5"/>
    <w:rsid w:val="00232610"/>
    <w:rsid w:val="00232D90"/>
    <w:rsid w:val="00233651"/>
    <w:rsid w:val="0023416A"/>
    <w:rsid w:val="002345F8"/>
    <w:rsid w:val="0023603E"/>
    <w:rsid w:val="0023744B"/>
    <w:rsid w:val="00237E46"/>
    <w:rsid w:val="00240A14"/>
    <w:rsid w:val="00241064"/>
    <w:rsid w:val="00241276"/>
    <w:rsid w:val="00241D14"/>
    <w:rsid w:val="00245381"/>
    <w:rsid w:val="00245E38"/>
    <w:rsid w:val="0025036C"/>
    <w:rsid w:val="0025122F"/>
    <w:rsid w:val="0025148E"/>
    <w:rsid w:val="00252194"/>
    <w:rsid w:val="00252396"/>
    <w:rsid w:val="0025443A"/>
    <w:rsid w:val="00255B1D"/>
    <w:rsid w:val="00256F14"/>
    <w:rsid w:val="00260426"/>
    <w:rsid w:val="002604DB"/>
    <w:rsid w:val="00263501"/>
    <w:rsid w:val="0026474F"/>
    <w:rsid w:val="00267843"/>
    <w:rsid w:val="0026793B"/>
    <w:rsid w:val="00270102"/>
    <w:rsid w:val="00270E93"/>
    <w:rsid w:val="0027219A"/>
    <w:rsid w:val="0027336D"/>
    <w:rsid w:val="002752B2"/>
    <w:rsid w:val="00277354"/>
    <w:rsid w:val="002776D0"/>
    <w:rsid w:val="002803D9"/>
    <w:rsid w:val="002811C1"/>
    <w:rsid w:val="00283B72"/>
    <w:rsid w:val="00285541"/>
    <w:rsid w:val="00285AEE"/>
    <w:rsid w:val="00285E46"/>
    <w:rsid w:val="00286771"/>
    <w:rsid w:val="002976E9"/>
    <w:rsid w:val="00297D92"/>
    <w:rsid w:val="002A284E"/>
    <w:rsid w:val="002A29D6"/>
    <w:rsid w:val="002A3312"/>
    <w:rsid w:val="002A3E82"/>
    <w:rsid w:val="002A5657"/>
    <w:rsid w:val="002A7EDB"/>
    <w:rsid w:val="002B12E0"/>
    <w:rsid w:val="002B30A2"/>
    <w:rsid w:val="002B4130"/>
    <w:rsid w:val="002B4A75"/>
    <w:rsid w:val="002B6957"/>
    <w:rsid w:val="002B708D"/>
    <w:rsid w:val="002B7865"/>
    <w:rsid w:val="002B793E"/>
    <w:rsid w:val="002B7C04"/>
    <w:rsid w:val="002C003E"/>
    <w:rsid w:val="002C3A6E"/>
    <w:rsid w:val="002C75B8"/>
    <w:rsid w:val="002C7758"/>
    <w:rsid w:val="002C7C0A"/>
    <w:rsid w:val="002D0518"/>
    <w:rsid w:val="002D4053"/>
    <w:rsid w:val="002D4973"/>
    <w:rsid w:val="002D5C09"/>
    <w:rsid w:val="002D7A68"/>
    <w:rsid w:val="002E2A09"/>
    <w:rsid w:val="002E3E47"/>
    <w:rsid w:val="002E555A"/>
    <w:rsid w:val="002E5653"/>
    <w:rsid w:val="002E5DCA"/>
    <w:rsid w:val="002F0574"/>
    <w:rsid w:val="002F0765"/>
    <w:rsid w:val="002F0F2B"/>
    <w:rsid w:val="002F1A67"/>
    <w:rsid w:val="002F2224"/>
    <w:rsid w:val="002F2ACB"/>
    <w:rsid w:val="002F3824"/>
    <w:rsid w:val="002F39CE"/>
    <w:rsid w:val="002F6336"/>
    <w:rsid w:val="002F64F3"/>
    <w:rsid w:val="002F6FA6"/>
    <w:rsid w:val="00300BCE"/>
    <w:rsid w:val="00300E35"/>
    <w:rsid w:val="00301199"/>
    <w:rsid w:val="0030363D"/>
    <w:rsid w:val="003054FB"/>
    <w:rsid w:val="00305C75"/>
    <w:rsid w:val="00306809"/>
    <w:rsid w:val="00311251"/>
    <w:rsid w:val="003138A6"/>
    <w:rsid w:val="00313DC2"/>
    <w:rsid w:val="00314844"/>
    <w:rsid w:val="003154D6"/>
    <w:rsid w:val="0032131E"/>
    <w:rsid w:val="00322412"/>
    <w:rsid w:val="0032344D"/>
    <w:rsid w:val="00330FF9"/>
    <w:rsid w:val="00333F8C"/>
    <w:rsid w:val="00336530"/>
    <w:rsid w:val="00340AD8"/>
    <w:rsid w:val="00341485"/>
    <w:rsid w:val="003417A1"/>
    <w:rsid w:val="00342BA5"/>
    <w:rsid w:val="00343825"/>
    <w:rsid w:val="003442C9"/>
    <w:rsid w:val="0034584F"/>
    <w:rsid w:val="0034639C"/>
    <w:rsid w:val="00347E62"/>
    <w:rsid w:val="00350563"/>
    <w:rsid w:val="0035640B"/>
    <w:rsid w:val="0035712B"/>
    <w:rsid w:val="003616C4"/>
    <w:rsid w:val="00361D14"/>
    <w:rsid w:val="00363497"/>
    <w:rsid w:val="00365CD8"/>
    <w:rsid w:val="00365DEB"/>
    <w:rsid w:val="00372E6A"/>
    <w:rsid w:val="003737C6"/>
    <w:rsid w:val="00373B2F"/>
    <w:rsid w:val="00375170"/>
    <w:rsid w:val="00377C13"/>
    <w:rsid w:val="003850E0"/>
    <w:rsid w:val="00386976"/>
    <w:rsid w:val="00387E54"/>
    <w:rsid w:val="00387E57"/>
    <w:rsid w:val="00391137"/>
    <w:rsid w:val="00391FDB"/>
    <w:rsid w:val="003948D9"/>
    <w:rsid w:val="0039544F"/>
    <w:rsid w:val="003A0573"/>
    <w:rsid w:val="003A0EA0"/>
    <w:rsid w:val="003A2B67"/>
    <w:rsid w:val="003A4E46"/>
    <w:rsid w:val="003A7392"/>
    <w:rsid w:val="003B2AB2"/>
    <w:rsid w:val="003B2B65"/>
    <w:rsid w:val="003B2C88"/>
    <w:rsid w:val="003B3917"/>
    <w:rsid w:val="003B46C9"/>
    <w:rsid w:val="003B5271"/>
    <w:rsid w:val="003B75AA"/>
    <w:rsid w:val="003C29B3"/>
    <w:rsid w:val="003C4709"/>
    <w:rsid w:val="003C658D"/>
    <w:rsid w:val="003C716E"/>
    <w:rsid w:val="003D0897"/>
    <w:rsid w:val="003D2C33"/>
    <w:rsid w:val="003D56FB"/>
    <w:rsid w:val="003D77D3"/>
    <w:rsid w:val="003E2B38"/>
    <w:rsid w:val="003E3017"/>
    <w:rsid w:val="003E3A7F"/>
    <w:rsid w:val="003E7257"/>
    <w:rsid w:val="003F1A08"/>
    <w:rsid w:val="003F1FBB"/>
    <w:rsid w:val="003F2271"/>
    <w:rsid w:val="003F262D"/>
    <w:rsid w:val="003F4019"/>
    <w:rsid w:val="003F40BE"/>
    <w:rsid w:val="003F51CF"/>
    <w:rsid w:val="003F6CD6"/>
    <w:rsid w:val="003F77D7"/>
    <w:rsid w:val="004022B3"/>
    <w:rsid w:val="00402D30"/>
    <w:rsid w:val="0040568B"/>
    <w:rsid w:val="0040610B"/>
    <w:rsid w:val="004068EA"/>
    <w:rsid w:val="0041091A"/>
    <w:rsid w:val="00412A4D"/>
    <w:rsid w:val="004130AA"/>
    <w:rsid w:val="0041375F"/>
    <w:rsid w:val="00415934"/>
    <w:rsid w:val="00415B45"/>
    <w:rsid w:val="0041643C"/>
    <w:rsid w:val="00421560"/>
    <w:rsid w:val="00423588"/>
    <w:rsid w:val="00424FFC"/>
    <w:rsid w:val="004259C4"/>
    <w:rsid w:val="00426532"/>
    <w:rsid w:val="0042777A"/>
    <w:rsid w:val="004306F5"/>
    <w:rsid w:val="0043078B"/>
    <w:rsid w:val="00434A9C"/>
    <w:rsid w:val="00434FB9"/>
    <w:rsid w:val="00442E59"/>
    <w:rsid w:val="00443018"/>
    <w:rsid w:val="0044321F"/>
    <w:rsid w:val="00443D7E"/>
    <w:rsid w:val="004445EC"/>
    <w:rsid w:val="00446CCC"/>
    <w:rsid w:val="004549FD"/>
    <w:rsid w:val="00454EA8"/>
    <w:rsid w:val="00456DD1"/>
    <w:rsid w:val="00461001"/>
    <w:rsid w:val="004619A3"/>
    <w:rsid w:val="00462BEA"/>
    <w:rsid w:val="004675CE"/>
    <w:rsid w:val="0046797E"/>
    <w:rsid w:val="004679CF"/>
    <w:rsid w:val="004706ED"/>
    <w:rsid w:val="00471404"/>
    <w:rsid w:val="00473DE7"/>
    <w:rsid w:val="00474A33"/>
    <w:rsid w:val="0047681A"/>
    <w:rsid w:val="00476A42"/>
    <w:rsid w:val="00476E75"/>
    <w:rsid w:val="0047718D"/>
    <w:rsid w:val="00480634"/>
    <w:rsid w:val="00480DA5"/>
    <w:rsid w:val="00491180"/>
    <w:rsid w:val="00492A51"/>
    <w:rsid w:val="004931D6"/>
    <w:rsid w:val="00493759"/>
    <w:rsid w:val="00495762"/>
    <w:rsid w:val="0049636C"/>
    <w:rsid w:val="00496836"/>
    <w:rsid w:val="0049782C"/>
    <w:rsid w:val="004A02F2"/>
    <w:rsid w:val="004A0BD0"/>
    <w:rsid w:val="004A27A0"/>
    <w:rsid w:val="004A2C8C"/>
    <w:rsid w:val="004A672D"/>
    <w:rsid w:val="004A6941"/>
    <w:rsid w:val="004A6D40"/>
    <w:rsid w:val="004A767E"/>
    <w:rsid w:val="004B0696"/>
    <w:rsid w:val="004B13DE"/>
    <w:rsid w:val="004B4883"/>
    <w:rsid w:val="004B4BAA"/>
    <w:rsid w:val="004B6D6D"/>
    <w:rsid w:val="004B77EC"/>
    <w:rsid w:val="004C29FA"/>
    <w:rsid w:val="004C351A"/>
    <w:rsid w:val="004C37B7"/>
    <w:rsid w:val="004C3982"/>
    <w:rsid w:val="004C4515"/>
    <w:rsid w:val="004C4ED3"/>
    <w:rsid w:val="004C57C2"/>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0B5F"/>
    <w:rsid w:val="00501811"/>
    <w:rsid w:val="00502D9E"/>
    <w:rsid w:val="005061C5"/>
    <w:rsid w:val="005062FC"/>
    <w:rsid w:val="00506DEC"/>
    <w:rsid w:val="00507441"/>
    <w:rsid w:val="005104D2"/>
    <w:rsid w:val="00511815"/>
    <w:rsid w:val="00511E9C"/>
    <w:rsid w:val="005165B5"/>
    <w:rsid w:val="005176BF"/>
    <w:rsid w:val="005238BA"/>
    <w:rsid w:val="0052455E"/>
    <w:rsid w:val="00524BA8"/>
    <w:rsid w:val="00525A78"/>
    <w:rsid w:val="00525F5F"/>
    <w:rsid w:val="005260BD"/>
    <w:rsid w:val="005273F5"/>
    <w:rsid w:val="00530C84"/>
    <w:rsid w:val="0053204D"/>
    <w:rsid w:val="0053352F"/>
    <w:rsid w:val="00533D84"/>
    <w:rsid w:val="00534976"/>
    <w:rsid w:val="00536EA6"/>
    <w:rsid w:val="005374AB"/>
    <w:rsid w:val="00540595"/>
    <w:rsid w:val="00540FBE"/>
    <w:rsid w:val="00541025"/>
    <w:rsid w:val="0054315C"/>
    <w:rsid w:val="00543699"/>
    <w:rsid w:val="005444CD"/>
    <w:rsid w:val="00547AFE"/>
    <w:rsid w:val="005504BA"/>
    <w:rsid w:val="0055577B"/>
    <w:rsid w:val="0055671E"/>
    <w:rsid w:val="0056004D"/>
    <w:rsid w:val="005604A4"/>
    <w:rsid w:val="00565DE9"/>
    <w:rsid w:val="0056677B"/>
    <w:rsid w:val="00567C54"/>
    <w:rsid w:val="00570352"/>
    <w:rsid w:val="00570F36"/>
    <w:rsid w:val="00570F7C"/>
    <w:rsid w:val="00571EEF"/>
    <w:rsid w:val="00572F8D"/>
    <w:rsid w:val="005762E8"/>
    <w:rsid w:val="005764C2"/>
    <w:rsid w:val="00577CA5"/>
    <w:rsid w:val="005868A3"/>
    <w:rsid w:val="00587221"/>
    <w:rsid w:val="00590067"/>
    <w:rsid w:val="00592F5D"/>
    <w:rsid w:val="00594E06"/>
    <w:rsid w:val="00595BD4"/>
    <w:rsid w:val="00595FF1"/>
    <w:rsid w:val="005A3375"/>
    <w:rsid w:val="005A4052"/>
    <w:rsid w:val="005A4B73"/>
    <w:rsid w:val="005A58CB"/>
    <w:rsid w:val="005A70D6"/>
    <w:rsid w:val="005B0D75"/>
    <w:rsid w:val="005B5295"/>
    <w:rsid w:val="005B5C7E"/>
    <w:rsid w:val="005B6316"/>
    <w:rsid w:val="005C0907"/>
    <w:rsid w:val="005C0EC7"/>
    <w:rsid w:val="005C1F22"/>
    <w:rsid w:val="005C2950"/>
    <w:rsid w:val="005C30B3"/>
    <w:rsid w:val="005D1550"/>
    <w:rsid w:val="005D1960"/>
    <w:rsid w:val="005D23DD"/>
    <w:rsid w:val="005D4309"/>
    <w:rsid w:val="005D4739"/>
    <w:rsid w:val="005D5786"/>
    <w:rsid w:val="005E1127"/>
    <w:rsid w:val="005E5313"/>
    <w:rsid w:val="005E7230"/>
    <w:rsid w:val="005F0705"/>
    <w:rsid w:val="005F3791"/>
    <w:rsid w:val="005F38E5"/>
    <w:rsid w:val="005F3C15"/>
    <w:rsid w:val="005F4C6D"/>
    <w:rsid w:val="005F50B7"/>
    <w:rsid w:val="005F55E1"/>
    <w:rsid w:val="005F72EE"/>
    <w:rsid w:val="005F7DB0"/>
    <w:rsid w:val="006009F0"/>
    <w:rsid w:val="00601B61"/>
    <w:rsid w:val="006022FB"/>
    <w:rsid w:val="006030D4"/>
    <w:rsid w:val="0060331E"/>
    <w:rsid w:val="00603640"/>
    <w:rsid w:val="00610450"/>
    <w:rsid w:val="00612B33"/>
    <w:rsid w:val="00614762"/>
    <w:rsid w:val="00615664"/>
    <w:rsid w:val="00620693"/>
    <w:rsid w:val="00620991"/>
    <w:rsid w:val="00626895"/>
    <w:rsid w:val="00626FF5"/>
    <w:rsid w:val="0062716E"/>
    <w:rsid w:val="00627E99"/>
    <w:rsid w:val="00630028"/>
    <w:rsid w:val="006304A3"/>
    <w:rsid w:val="00631414"/>
    <w:rsid w:val="00631FF7"/>
    <w:rsid w:val="00632FCC"/>
    <w:rsid w:val="0063511E"/>
    <w:rsid w:val="006357D3"/>
    <w:rsid w:val="00637B13"/>
    <w:rsid w:val="00640732"/>
    <w:rsid w:val="00640C5F"/>
    <w:rsid w:val="006438A9"/>
    <w:rsid w:val="0064448E"/>
    <w:rsid w:val="006452DF"/>
    <w:rsid w:val="006474AF"/>
    <w:rsid w:val="006516F1"/>
    <w:rsid w:val="00653B23"/>
    <w:rsid w:val="006545FA"/>
    <w:rsid w:val="00655AFB"/>
    <w:rsid w:val="00655C00"/>
    <w:rsid w:val="00655C36"/>
    <w:rsid w:val="00656467"/>
    <w:rsid w:val="006577EA"/>
    <w:rsid w:val="00657F42"/>
    <w:rsid w:val="00661FCA"/>
    <w:rsid w:val="00662D8E"/>
    <w:rsid w:val="006631C0"/>
    <w:rsid w:val="00665194"/>
    <w:rsid w:val="0066689D"/>
    <w:rsid w:val="0066692E"/>
    <w:rsid w:val="00671E0F"/>
    <w:rsid w:val="00677F24"/>
    <w:rsid w:val="00680C3D"/>
    <w:rsid w:val="00681546"/>
    <w:rsid w:val="006822CE"/>
    <w:rsid w:val="00683597"/>
    <w:rsid w:val="00686877"/>
    <w:rsid w:val="006873E7"/>
    <w:rsid w:val="00687C4F"/>
    <w:rsid w:val="00693E5E"/>
    <w:rsid w:val="00693FED"/>
    <w:rsid w:val="00697CAD"/>
    <w:rsid w:val="006A0640"/>
    <w:rsid w:val="006A30B5"/>
    <w:rsid w:val="006A3271"/>
    <w:rsid w:val="006A4985"/>
    <w:rsid w:val="006A4CFC"/>
    <w:rsid w:val="006A508C"/>
    <w:rsid w:val="006A6B76"/>
    <w:rsid w:val="006A7538"/>
    <w:rsid w:val="006A79D7"/>
    <w:rsid w:val="006B0890"/>
    <w:rsid w:val="006B0C6A"/>
    <w:rsid w:val="006B199E"/>
    <w:rsid w:val="006B298B"/>
    <w:rsid w:val="006B2C17"/>
    <w:rsid w:val="006C12F0"/>
    <w:rsid w:val="006C1F85"/>
    <w:rsid w:val="006C352B"/>
    <w:rsid w:val="006C3A70"/>
    <w:rsid w:val="006C471E"/>
    <w:rsid w:val="006C5D26"/>
    <w:rsid w:val="006C6B74"/>
    <w:rsid w:val="006C6C3B"/>
    <w:rsid w:val="006C7526"/>
    <w:rsid w:val="006C7645"/>
    <w:rsid w:val="006D0155"/>
    <w:rsid w:val="006D04C8"/>
    <w:rsid w:val="006D3676"/>
    <w:rsid w:val="006D3BA8"/>
    <w:rsid w:val="006E078D"/>
    <w:rsid w:val="006E4A05"/>
    <w:rsid w:val="006F10ED"/>
    <w:rsid w:val="006F1389"/>
    <w:rsid w:val="006F1DB2"/>
    <w:rsid w:val="006F3C3B"/>
    <w:rsid w:val="006F7702"/>
    <w:rsid w:val="00701056"/>
    <w:rsid w:val="007014EE"/>
    <w:rsid w:val="00701D02"/>
    <w:rsid w:val="00701FE7"/>
    <w:rsid w:val="0070282D"/>
    <w:rsid w:val="00703650"/>
    <w:rsid w:val="007036BD"/>
    <w:rsid w:val="00704FA1"/>
    <w:rsid w:val="0070667A"/>
    <w:rsid w:val="00711C2E"/>
    <w:rsid w:val="0071441F"/>
    <w:rsid w:val="0071486F"/>
    <w:rsid w:val="00715CE6"/>
    <w:rsid w:val="0071749C"/>
    <w:rsid w:val="00717E65"/>
    <w:rsid w:val="007213E4"/>
    <w:rsid w:val="0072183E"/>
    <w:rsid w:val="0072294D"/>
    <w:rsid w:val="00723112"/>
    <w:rsid w:val="00725AF0"/>
    <w:rsid w:val="00725E64"/>
    <w:rsid w:val="00737066"/>
    <w:rsid w:val="0074034F"/>
    <w:rsid w:val="00740DE3"/>
    <w:rsid w:val="00741920"/>
    <w:rsid w:val="007423DA"/>
    <w:rsid w:val="00742D28"/>
    <w:rsid w:val="0074376A"/>
    <w:rsid w:val="00744098"/>
    <w:rsid w:val="00744AEB"/>
    <w:rsid w:val="00747F5C"/>
    <w:rsid w:val="00750666"/>
    <w:rsid w:val="00751460"/>
    <w:rsid w:val="007534CC"/>
    <w:rsid w:val="007539BA"/>
    <w:rsid w:val="007548ED"/>
    <w:rsid w:val="00755639"/>
    <w:rsid w:val="007557AF"/>
    <w:rsid w:val="00755D5A"/>
    <w:rsid w:val="00756C8C"/>
    <w:rsid w:val="0075791A"/>
    <w:rsid w:val="00760225"/>
    <w:rsid w:val="00763976"/>
    <w:rsid w:val="007639DE"/>
    <w:rsid w:val="0076586F"/>
    <w:rsid w:val="007666B9"/>
    <w:rsid w:val="00772E62"/>
    <w:rsid w:val="00774776"/>
    <w:rsid w:val="007748C9"/>
    <w:rsid w:val="00775428"/>
    <w:rsid w:val="00775607"/>
    <w:rsid w:val="00777037"/>
    <w:rsid w:val="007824D3"/>
    <w:rsid w:val="007829AD"/>
    <w:rsid w:val="0078308D"/>
    <w:rsid w:val="00787586"/>
    <w:rsid w:val="007879A4"/>
    <w:rsid w:val="007907EC"/>
    <w:rsid w:val="007941C1"/>
    <w:rsid w:val="007970AD"/>
    <w:rsid w:val="007A1330"/>
    <w:rsid w:val="007A27D4"/>
    <w:rsid w:val="007A7954"/>
    <w:rsid w:val="007B05B1"/>
    <w:rsid w:val="007B0819"/>
    <w:rsid w:val="007B2032"/>
    <w:rsid w:val="007B2412"/>
    <w:rsid w:val="007B2577"/>
    <w:rsid w:val="007B308F"/>
    <w:rsid w:val="007B3B79"/>
    <w:rsid w:val="007B51ED"/>
    <w:rsid w:val="007B588F"/>
    <w:rsid w:val="007B78F7"/>
    <w:rsid w:val="007C13A2"/>
    <w:rsid w:val="007C20AF"/>
    <w:rsid w:val="007C3D6E"/>
    <w:rsid w:val="007C554B"/>
    <w:rsid w:val="007C76B7"/>
    <w:rsid w:val="007D75E1"/>
    <w:rsid w:val="007E1F9D"/>
    <w:rsid w:val="007E4252"/>
    <w:rsid w:val="007E5B63"/>
    <w:rsid w:val="007E5F54"/>
    <w:rsid w:val="007E64DF"/>
    <w:rsid w:val="007F4643"/>
    <w:rsid w:val="007F52C4"/>
    <w:rsid w:val="00801A95"/>
    <w:rsid w:val="00802E22"/>
    <w:rsid w:val="00803054"/>
    <w:rsid w:val="0080613C"/>
    <w:rsid w:val="0080742F"/>
    <w:rsid w:val="00812F84"/>
    <w:rsid w:val="0081302B"/>
    <w:rsid w:val="00813432"/>
    <w:rsid w:val="0081667B"/>
    <w:rsid w:val="00820C1D"/>
    <w:rsid w:val="008241FC"/>
    <w:rsid w:val="008266C2"/>
    <w:rsid w:val="008279B4"/>
    <w:rsid w:val="00831359"/>
    <w:rsid w:val="0083242C"/>
    <w:rsid w:val="00832942"/>
    <w:rsid w:val="00833FEB"/>
    <w:rsid w:val="0083408B"/>
    <w:rsid w:val="00834F6E"/>
    <w:rsid w:val="00835AB3"/>
    <w:rsid w:val="00835C35"/>
    <w:rsid w:val="0083630B"/>
    <w:rsid w:val="00836486"/>
    <w:rsid w:val="00840F97"/>
    <w:rsid w:val="008439F6"/>
    <w:rsid w:val="0084553F"/>
    <w:rsid w:val="0084702D"/>
    <w:rsid w:val="00847FF6"/>
    <w:rsid w:val="00850F19"/>
    <w:rsid w:val="0085416C"/>
    <w:rsid w:val="008556F4"/>
    <w:rsid w:val="00855F98"/>
    <w:rsid w:val="0085686B"/>
    <w:rsid w:val="008572CF"/>
    <w:rsid w:val="00861944"/>
    <w:rsid w:val="008622AE"/>
    <w:rsid w:val="00862C6B"/>
    <w:rsid w:val="00863F13"/>
    <w:rsid w:val="008652E5"/>
    <w:rsid w:val="00870CC9"/>
    <w:rsid w:val="00870DCB"/>
    <w:rsid w:val="008745BD"/>
    <w:rsid w:val="00875054"/>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926"/>
    <w:rsid w:val="00895CB4"/>
    <w:rsid w:val="008A3A06"/>
    <w:rsid w:val="008A562A"/>
    <w:rsid w:val="008B2EFF"/>
    <w:rsid w:val="008B2F99"/>
    <w:rsid w:val="008B31C1"/>
    <w:rsid w:val="008B529D"/>
    <w:rsid w:val="008B65FD"/>
    <w:rsid w:val="008C173A"/>
    <w:rsid w:val="008C1A63"/>
    <w:rsid w:val="008C1ED4"/>
    <w:rsid w:val="008C3448"/>
    <w:rsid w:val="008C406D"/>
    <w:rsid w:val="008C4E87"/>
    <w:rsid w:val="008C5852"/>
    <w:rsid w:val="008C611F"/>
    <w:rsid w:val="008C688A"/>
    <w:rsid w:val="008C6AC0"/>
    <w:rsid w:val="008C7BCA"/>
    <w:rsid w:val="008C7E01"/>
    <w:rsid w:val="008D21DB"/>
    <w:rsid w:val="008D27B8"/>
    <w:rsid w:val="008D3B52"/>
    <w:rsid w:val="008D4784"/>
    <w:rsid w:val="008D51A1"/>
    <w:rsid w:val="008E29B3"/>
    <w:rsid w:val="008E43FE"/>
    <w:rsid w:val="008E5C1B"/>
    <w:rsid w:val="008E63C0"/>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7431"/>
    <w:rsid w:val="009207E9"/>
    <w:rsid w:val="009222C8"/>
    <w:rsid w:val="00923D5D"/>
    <w:rsid w:val="009244DA"/>
    <w:rsid w:val="00931645"/>
    <w:rsid w:val="00933E6C"/>
    <w:rsid w:val="0093447C"/>
    <w:rsid w:val="0093620A"/>
    <w:rsid w:val="00937E4A"/>
    <w:rsid w:val="0094082D"/>
    <w:rsid w:val="00940C8E"/>
    <w:rsid w:val="00942022"/>
    <w:rsid w:val="00944DCA"/>
    <w:rsid w:val="009453DB"/>
    <w:rsid w:val="00946B25"/>
    <w:rsid w:val="00946FEB"/>
    <w:rsid w:val="00947562"/>
    <w:rsid w:val="00947BB3"/>
    <w:rsid w:val="00951C56"/>
    <w:rsid w:val="009529EE"/>
    <w:rsid w:val="00952A6D"/>
    <w:rsid w:val="00953825"/>
    <w:rsid w:val="00953EBF"/>
    <w:rsid w:val="00954793"/>
    <w:rsid w:val="00954C61"/>
    <w:rsid w:val="00954DFA"/>
    <w:rsid w:val="00962247"/>
    <w:rsid w:val="00962578"/>
    <w:rsid w:val="00962F82"/>
    <w:rsid w:val="009634A1"/>
    <w:rsid w:val="00964DFC"/>
    <w:rsid w:val="00966C67"/>
    <w:rsid w:val="0096763D"/>
    <w:rsid w:val="00967E30"/>
    <w:rsid w:val="00971465"/>
    <w:rsid w:val="00971BE9"/>
    <w:rsid w:val="00971D0E"/>
    <w:rsid w:val="00972AA0"/>
    <w:rsid w:val="009736C1"/>
    <w:rsid w:val="00973FBF"/>
    <w:rsid w:val="00975F84"/>
    <w:rsid w:val="00976CE4"/>
    <w:rsid w:val="009816BF"/>
    <w:rsid w:val="0098322C"/>
    <w:rsid w:val="00984035"/>
    <w:rsid w:val="00984A62"/>
    <w:rsid w:val="00984FF5"/>
    <w:rsid w:val="00985E80"/>
    <w:rsid w:val="0098766D"/>
    <w:rsid w:val="00993C3B"/>
    <w:rsid w:val="00996FDA"/>
    <w:rsid w:val="009A14B5"/>
    <w:rsid w:val="009A1800"/>
    <w:rsid w:val="009A3E6B"/>
    <w:rsid w:val="009A4123"/>
    <w:rsid w:val="009A4BFD"/>
    <w:rsid w:val="009B0EEF"/>
    <w:rsid w:val="009B1884"/>
    <w:rsid w:val="009B2BF2"/>
    <w:rsid w:val="009B35C3"/>
    <w:rsid w:val="009B3A0E"/>
    <w:rsid w:val="009B4BB2"/>
    <w:rsid w:val="009C278B"/>
    <w:rsid w:val="009C6951"/>
    <w:rsid w:val="009D13BE"/>
    <w:rsid w:val="009D17BC"/>
    <w:rsid w:val="009D17CE"/>
    <w:rsid w:val="009D1834"/>
    <w:rsid w:val="009D45CF"/>
    <w:rsid w:val="009D4AF8"/>
    <w:rsid w:val="009D4B60"/>
    <w:rsid w:val="009D4E13"/>
    <w:rsid w:val="009D68FF"/>
    <w:rsid w:val="009E0BA4"/>
    <w:rsid w:val="009E1273"/>
    <w:rsid w:val="009E1F7F"/>
    <w:rsid w:val="009E3851"/>
    <w:rsid w:val="009E470D"/>
    <w:rsid w:val="009E48F4"/>
    <w:rsid w:val="009E4CAA"/>
    <w:rsid w:val="009E51AB"/>
    <w:rsid w:val="009E54DB"/>
    <w:rsid w:val="009E7D6E"/>
    <w:rsid w:val="009F0D17"/>
    <w:rsid w:val="009F3689"/>
    <w:rsid w:val="009F60FC"/>
    <w:rsid w:val="00A003F2"/>
    <w:rsid w:val="00A0181B"/>
    <w:rsid w:val="00A033B1"/>
    <w:rsid w:val="00A043FC"/>
    <w:rsid w:val="00A04B66"/>
    <w:rsid w:val="00A05611"/>
    <w:rsid w:val="00A05BD3"/>
    <w:rsid w:val="00A05F1F"/>
    <w:rsid w:val="00A07FD9"/>
    <w:rsid w:val="00A1259C"/>
    <w:rsid w:val="00A12F4D"/>
    <w:rsid w:val="00A13CEC"/>
    <w:rsid w:val="00A13E13"/>
    <w:rsid w:val="00A2299D"/>
    <w:rsid w:val="00A23514"/>
    <w:rsid w:val="00A23CB1"/>
    <w:rsid w:val="00A24004"/>
    <w:rsid w:val="00A25DB2"/>
    <w:rsid w:val="00A26D8C"/>
    <w:rsid w:val="00A3134B"/>
    <w:rsid w:val="00A31D5B"/>
    <w:rsid w:val="00A33823"/>
    <w:rsid w:val="00A342D1"/>
    <w:rsid w:val="00A34510"/>
    <w:rsid w:val="00A35D5C"/>
    <w:rsid w:val="00A36C6E"/>
    <w:rsid w:val="00A37817"/>
    <w:rsid w:val="00A4146F"/>
    <w:rsid w:val="00A417A5"/>
    <w:rsid w:val="00A50328"/>
    <w:rsid w:val="00A514DC"/>
    <w:rsid w:val="00A51610"/>
    <w:rsid w:val="00A51EC8"/>
    <w:rsid w:val="00A54883"/>
    <w:rsid w:val="00A6251F"/>
    <w:rsid w:val="00A633F9"/>
    <w:rsid w:val="00A66320"/>
    <w:rsid w:val="00A70AFD"/>
    <w:rsid w:val="00A70EB4"/>
    <w:rsid w:val="00A7336B"/>
    <w:rsid w:val="00A76528"/>
    <w:rsid w:val="00A76644"/>
    <w:rsid w:val="00A803DC"/>
    <w:rsid w:val="00A81060"/>
    <w:rsid w:val="00A82196"/>
    <w:rsid w:val="00A85258"/>
    <w:rsid w:val="00A90E0F"/>
    <w:rsid w:val="00A92C4F"/>
    <w:rsid w:val="00A93A81"/>
    <w:rsid w:val="00A94885"/>
    <w:rsid w:val="00A9551A"/>
    <w:rsid w:val="00A9588E"/>
    <w:rsid w:val="00A96539"/>
    <w:rsid w:val="00AA0FFE"/>
    <w:rsid w:val="00AA19B8"/>
    <w:rsid w:val="00AA2927"/>
    <w:rsid w:val="00AA49DC"/>
    <w:rsid w:val="00AA54E1"/>
    <w:rsid w:val="00AB0635"/>
    <w:rsid w:val="00AB116C"/>
    <w:rsid w:val="00AB1B61"/>
    <w:rsid w:val="00AB1E7A"/>
    <w:rsid w:val="00AB2B70"/>
    <w:rsid w:val="00AB3385"/>
    <w:rsid w:val="00AB35CE"/>
    <w:rsid w:val="00AB3BB2"/>
    <w:rsid w:val="00AB48A8"/>
    <w:rsid w:val="00AC08A6"/>
    <w:rsid w:val="00AC499A"/>
    <w:rsid w:val="00AC4DBF"/>
    <w:rsid w:val="00AC730F"/>
    <w:rsid w:val="00AD0321"/>
    <w:rsid w:val="00AD0E36"/>
    <w:rsid w:val="00AD1BB3"/>
    <w:rsid w:val="00AD2024"/>
    <w:rsid w:val="00AD2B09"/>
    <w:rsid w:val="00AD2C48"/>
    <w:rsid w:val="00AD394D"/>
    <w:rsid w:val="00AD3D43"/>
    <w:rsid w:val="00AD5DD2"/>
    <w:rsid w:val="00AD7565"/>
    <w:rsid w:val="00AE0F5E"/>
    <w:rsid w:val="00AE100C"/>
    <w:rsid w:val="00AE4B72"/>
    <w:rsid w:val="00AE6434"/>
    <w:rsid w:val="00AF19A0"/>
    <w:rsid w:val="00AF405C"/>
    <w:rsid w:val="00AF6A6B"/>
    <w:rsid w:val="00AF7645"/>
    <w:rsid w:val="00AF79C9"/>
    <w:rsid w:val="00B03C75"/>
    <w:rsid w:val="00B04D90"/>
    <w:rsid w:val="00B04DD9"/>
    <w:rsid w:val="00B073AC"/>
    <w:rsid w:val="00B0762C"/>
    <w:rsid w:val="00B12BB7"/>
    <w:rsid w:val="00B14C5D"/>
    <w:rsid w:val="00B15EA5"/>
    <w:rsid w:val="00B22DDC"/>
    <w:rsid w:val="00B241B3"/>
    <w:rsid w:val="00B256F6"/>
    <w:rsid w:val="00B259DD"/>
    <w:rsid w:val="00B26C68"/>
    <w:rsid w:val="00B273D0"/>
    <w:rsid w:val="00B30763"/>
    <w:rsid w:val="00B30A5E"/>
    <w:rsid w:val="00B335EB"/>
    <w:rsid w:val="00B34500"/>
    <w:rsid w:val="00B348F0"/>
    <w:rsid w:val="00B35378"/>
    <w:rsid w:val="00B365F9"/>
    <w:rsid w:val="00B3788B"/>
    <w:rsid w:val="00B40D8D"/>
    <w:rsid w:val="00B42BD4"/>
    <w:rsid w:val="00B431B1"/>
    <w:rsid w:val="00B4350C"/>
    <w:rsid w:val="00B466B1"/>
    <w:rsid w:val="00B5279D"/>
    <w:rsid w:val="00B535EF"/>
    <w:rsid w:val="00B53648"/>
    <w:rsid w:val="00B54909"/>
    <w:rsid w:val="00B57918"/>
    <w:rsid w:val="00B6044B"/>
    <w:rsid w:val="00B614E1"/>
    <w:rsid w:val="00B61ECA"/>
    <w:rsid w:val="00B62CED"/>
    <w:rsid w:val="00B63DD6"/>
    <w:rsid w:val="00B63F8A"/>
    <w:rsid w:val="00B643F8"/>
    <w:rsid w:val="00B65CC9"/>
    <w:rsid w:val="00B65E6B"/>
    <w:rsid w:val="00B67B8E"/>
    <w:rsid w:val="00B70721"/>
    <w:rsid w:val="00B70790"/>
    <w:rsid w:val="00B70C60"/>
    <w:rsid w:val="00B70C62"/>
    <w:rsid w:val="00B73475"/>
    <w:rsid w:val="00B73736"/>
    <w:rsid w:val="00B737F1"/>
    <w:rsid w:val="00B74C02"/>
    <w:rsid w:val="00B757EA"/>
    <w:rsid w:val="00B80A10"/>
    <w:rsid w:val="00B831EB"/>
    <w:rsid w:val="00B8774F"/>
    <w:rsid w:val="00B87FF1"/>
    <w:rsid w:val="00B9199F"/>
    <w:rsid w:val="00B92FE2"/>
    <w:rsid w:val="00B94DAF"/>
    <w:rsid w:val="00B96754"/>
    <w:rsid w:val="00BA03A9"/>
    <w:rsid w:val="00BA1C3F"/>
    <w:rsid w:val="00BA27B2"/>
    <w:rsid w:val="00BA379D"/>
    <w:rsid w:val="00BA38B5"/>
    <w:rsid w:val="00BA53B8"/>
    <w:rsid w:val="00BA690F"/>
    <w:rsid w:val="00BA7D22"/>
    <w:rsid w:val="00BB1CBF"/>
    <w:rsid w:val="00BB1FDE"/>
    <w:rsid w:val="00BB2313"/>
    <w:rsid w:val="00BB2C65"/>
    <w:rsid w:val="00BB774F"/>
    <w:rsid w:val="00BB7CCA"/>
    <w:rsid w:val="00BC0C0D"/>
    <w:rsid w:val="00BC1328"/>
    <w:rsid w:val="00BC20FE"/>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7F2"/>
    <w:rsid w:val="00BE5E13"/>
    <w:rsid w:val="00BE5F5D"/>
    <w:rsid w:val="00BF3B84"/>
    <w:rsid w:val="00BF3EF9"/>
    <w:rsid w:val="00BF5744"/>
    <w:rsid w:val="00BF5C2F"/>
    <w:rsid w:val="00BF79FD"/>
    <w:rsid w:val="00C02821"/>
    <w:rsid w:val="00C02E15"/>
    <w:rsid w:val="00C03C4B"/>
    <w:rsid w:val="00C12043"/>
    <w:rsid w:val="00C13779"/>
    <w:rsid w:val="00C13BC5"/>
    <w:rsid w:val="00C1440B"/>
    <w:rsid w:val="00C1711C"/>
    <w:rsid w:val="00C176E8"/>
    <w:rsid w:val="00C23051"/>
    <w:rsid w:val="00C23721"/>
    <w:rsid w:val="00C259B2"/>
    <w:rsid w:val="00C26554"/>
    <w:rsid w:val="00C26FFB"/>
    <w:rsid w:val="00C326CC"/>
    <w:rsid w:val="00C32DA1"/>
    <w:rsid w:val="00C33076"/>
    <w:rsid w:val="00C34467"/>
    <w:rsid w:val="00C35322"/>
    <w:rsid w:val="00C370EF"/>
    <w:rsid w:val="00C37A9A"/>
    <w:rsid w:val="00C40E20"/>
    <w:rsid w:val="00C4211A"/>
    <w:rsid w:val="00C424F9"/>
    <w:rsid w:val="00C46FCC"/>
    <w:rsid w:val="00C510B6"/>
    <w:rsid w:val="00C51297"/>
    <w:rsid w:val="00C5172C"/>
    <w:rsid w:val="00C517D0"/>
    <w:rsid w:val="00C5333A"/>
    <w:rsid w:val="00C54CBB"/>
    <w:rsid w:val="00C56B9F"/>
    <w:rsid w:val="00C57162"/>
    <w:rsid w:val="00C60CB0"/>
    <w:rsid w:val="00C60F5A"/>
    <w:rsid w:val="00C63587"/>
    <w:rsid w:val="00C640A1"/>
    <w:rsid w:val="00C669D6"/>
    <w:rsid w:val="00C67918"/>
    <w:rsid w:val="00C70BF1"/>
    <w:rsid w:val="00C713C8"/>
    <w:rsid w:val="00C716F0"/>
    <w:rsid w:val="00C721C9"/>
    <w:rsid w:val="00C74B84"/>
    <w:rsid w:val="00C81791"/>
    <w:rsid w:val="00C81AFD"/>
    <w:rsid w:val="00C81D61"/>
    <w:rsid w:val="00C82882"/>
    <w:rsid w:val="00C830BF"/>
    <w:rsid w:val="00C8681E"/>
    <w:rsid w:val="00C8784F"/>
    <w:rsid w:val="00C90250"/>
    <w:rsid w:val="00C90594"/>
    <w:rsid w:val="00C90F01"/>
    <w:rsid w:val="00C93ADF"/>
    <w:rsid w:val="00C945CF"/>
    <w:rsid w:val="00C95AB0"/>
    <w:rsid w:val="00C97EF9"/>
    <w:rsid w:val="00CA0ECD"/>
    <w:rsid w:val="00CA0ED1"/>
    <w:rsid w:val="00CA1E3D"/>
    <w:rsid w:val="00CA449D"/>
    <w:rsid w:val="00CA48A5"/>
    <w:rsid w:val="00CA685B"/>
    <w:rsid w:val="00CA6917"/>
    <w:rsid w:val="00CA7B54"/>
    <w:rsid w:val="00CB025C"/>
    <w:rsid w:val="00CB176A"/>
    <w:rsid w:val="00CB2BB1"/>
    <w:rsid w:val="00CB2D67"/>
    <w:rsid w:val="00CB33DE"/>
    <w:rsid w:val="00CB343F"/>
    <w:rsid w:val="00CB6C8F"/>
    <w:rsid w:val="00CC18C8"/>
    <w:rsid w:val="00CC2D97"/>
    <w:rsid w:val="00CC38F5"/>
    <w:rsid w:val="00CC3F4F"/>
    <w:rsid w:val="00CC4329"/>
    <w:rsid w:val="00CC4333"/>
    <w:rsid w:val="00CC5A00"/>
    <w:rsid w:val="00CC5D3F"/>
    <w:rsid w:val="00CD03DC"/>
    <w:rsid w:val="00CD0537"/>
    <w:rsid w:val="00CD06F9"/>
    <w:rsid w:val="00CD1092"/>
    <w:rsid w:val="00CD4CE4"/>
    <w:rsid w:val="00CD61FB"/>
    <w:rsid w:val="00CD733B"/>
    <w:rsid w:val="00CD7704"/>
    <w:rsid w:val="00CD7899"/>
    <w:rsid w:val="00CE432F"/>
    <w:rsid w:val="00CE50AF"/>
    <w:rsid w:val="00CE66D0"/>
    <w:rsid w:val="00CE7683"/>
    <w:rsid w:val="00CF496E"/>
    <w:rsid w:val="00CF7E2D"/>
    <w:rsid w:val="00D00950"/>
    <w:rsid w:val="00D01C00"/>
    <w:rsid w:val="00D0298C"/>
    <w:rsid w:val="00D043E6"/>
    <w:rsid w:val="00D05112"/>
    <w:rsid w:val="00D05B8E"/>
    <w:rsid w:val="00D10E83"/>
    <w:rsid w:val="00D11690"/>
    <w:rsid w:val="00D12CBB"/>
    <w:rsid w:val="00D135E4"/>
    <w:rsid w:val="00D13DD2"/>
    <w:rsid w:val="00D14AF2"/>
    <w:rsid w:val="00D1627A"/>
    <w:rsid w:val="00D16418"/>
    <w:rsid w:val="00D16C0A"/>
    <w:rsid w:val="00D16C6E"/>
    <w:rsid w:val="00D17972"/>
    <w:rsid w:val="00D21E79"/>
    <w:rsid w:val="00D2428C"/>
    <w:rsid w:val="00D2603D"/>
    <w:rsid w:val="00D306E4"/>
    <w:rsid w:val="00D31CDE"/>
    <w:rsid w:val="00D31EF7"/>
    <w:rsid w:val="00D33FCD"/>
    <w:rsid w:val="00D34F26"/>
    <w:rsid w:val="00D35295"/>
    <w:rsid w:val="00D35E54"/>
    <w:rsid w:val="00D373C6"/>
    <w:rsid w:val="00D41931"/>
    <w:rsid w:val="00D4471C"/>
    <w:rsid w:val="00D4521A"/>
    <w:rsid w:val="00D4527E"/>
    <w:rsid w:val="00D45AC7"/>
    <w:rsid w:val="00D4689E"/>
    <w:rsid w:val="00D5313D"/>
    <w:rsid w:val="00D543F0"/>
    <w:rsid w:val="00D55688"/>
    <w:rsid w:val="00D56CE6"/>
    <w:rsid w:val="00D60715"/>
    <w:rsid w:val="00D6138D"/>
    <w:rsid w:val="00D61965"/>
    <w:rsid w:val="00D65B71"/>
    <w:rsid w:val="00D66375"/>
    <w:rsid w:val="00D664B3"/>
    <w:rsid w:val="00D6740A"/>
    <w:rsid w:val="00D67429"/>
    <w:rsid w:val="00D70580"/>
    <w:rsid w:val="00D72D20"/>
    <w:rsid w:val="00D76C75"/>
    <w:rsid w:val="00D77AAC"/>
    <w:rsid w:val="00D80A93"/>
    <w:rsid w:val="00D8292C"/>
    <w:rsid w:val="00D82B99"/>
    <w:rsid w:val="00D842B7"/>
    <w:rsid w:val="00D84765"/>
    <w:rsid w:val="00D8592C"/>
    <w:rsid w:val="00D87361"/>
    <w:rsid w:val="00D90444"/>
    <w:rsid w:val="00D91448"/>
    <w:rsid w:val="00D92108"/>
    <w:rsid w:val="00D934EA"/>
    <w:rsid w:val="00D95BFC"/>
    <w:rsid w:val="00D96F1B"/>
    <w:rsid w:val="00D973C5"/>
    <w:rsid w:val="00DA0AB8"/>
    <w:rsid w:val="00DA15BC"/>
    <w:rsid w:val="00DA19F5"/>
    <w:rsid w:val="00DA1EAD"/>
    <w:rsid w:val="00DA4C03"/>
    <w:rsid w:val="00DA5225"/>
    <w:rsid w:val="00DA6467"/>
    <w:rsid w:val="00DA75BB"/>
    <w:rsid w:val="00DA76AE"/>
    <w:rsid w:val="00DB0512"/>
    <w:rsid w:val="00DB16DE"/>
    <w:rsid w:val="00DB1C4D"/>
    <w:rsid w:val="00DB2EDB"/>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AF6"/>
    <w:rsid w:val="00DF48B8"/>
    <w:rsid w:val="00DF4B62"/>
    <w:rsid w:val="00DF5B80"/>
    <w:rsid w:val="00DF6CAD"/>
    <w:rsid w:val="00DF6CB8"/>
    <w:rsid w:val="00DF75B1"/>
    <w:rsid w:val="00DF7A5B"/>
    <w:rsid w:val="00E0051D"/>
    <w:rsid w:val="00E02692"/>
    <w:rsid w:val="00E10C9E"/>
    <w:rsid w:val="00E10DE4"/>
    <w:rsid w:val="00E11507"/>
    <w:rsid w:val="00E12DAC"/>
    <w:rsid w:val="00E165AC"/>
    <w:rsid w:val="00E20635"/>
    <w:rsid w:val="00E20B18"/>
    <w:rsid w:val="00E21C49"/>
    <w:rsid w:val="00E2203B"/>
    <w:rsid w:val="00E227BE"/>
    <w:rsid w:val="00E22BD6"/>
    <w:rsid w:val="00E2315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5698"/>
    <w:rsid w:val="00E5627D"/>
    <w:rsid w:val="00E56CBC"/>
    <w:rsid w:val="00E57F89"/>
    <w:rsid w:val="00E62C9C"/>
    <w:rsid w:val="00E638AE"/>
    <w:rsid w:val="00E65062"/>
    <w:rsid w:val="00E67A64"/>
    <w:rsid w:val="00E70055"/>
    <w:rsid w:val="00E7157A"/>
    <w:rsid w:val="00E73FD1"/>
    <w:rsid w:val="00E75A1A"/>
    <w:rsid w:val="00E75D5C"/>
    <w:rsid w:val="00E75F40"/>
    <w:rsid w:val="00E774D6"/>
    <w:rsid w:val="00E806BF"/>
    <w:rsid w:val="00E80736"/>
    <w:rsid w:val="00E82A47"/>
    <w:rsid w:val="00E87FD0"/>
    <w:rsid w:val="00E925A3"/>
    <w:rsid w:val="00E96D78"/>
    <w:rsid w:val="00E97450"/>
    <w:rsid w:val="00E9779E"/>
    <w:rsid w:val="00EA003E"/>
    <w:rsid w:val="00EA4BA7"/>
    <w:rsid w:val="00EA4E90"/>
    <w:rsid w:val="00EA4FCF"/>
    <w:rsid w:val="00EA549C"/>
    <w:rsid w:val="00EA60D7"/>
    <w:rsid w:val="00EA7318"/>
    <w:rsid w:val="00EB29E2"/>
    <w:rsid w:val="00EB31A3"/>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16FA"/>
    <w:rsid w:val="00EF184E"/>
    <w:rsid w:val="00EF24CB"/>
    <w:rsid w:val="00EF3077"/>
    <w:rsid w:val="00EF359E"/>
    <w:rsid w:val="00EF362C"/>
    <w:rsid w:val="00EF5988"/>
    <w:rsid w:val="00EF5DF0"/>
    <w:rsid w:val="00F01313"/>
    <w:rsid w:val="00F016CA"/>
    <w:rsid w:val="00F02E4F"/>
    <w:rsid w:val="00F038B0"/>
    <w:rsid w:val="00F03B05"/>
    <w:rsid w:val="00F067AF"/>
    <w:rsid w:val="00F07B1B"/>
    <w:rsid w:val="00F07CE4"/>
    <w:rsid w:val="00F10FD5"/>
    <w:rsid w:val="00F11376"/>
    <w:rsid w:val="00F124F5"/>
    <w:rsid w:val="00F14696"/>
    <w:rsid w:val="00F14A81"/>
    <w:rsid w:val="00F16020"/>
    <w:rsid w:val="00F1629D"/>
    <w:rsid w:val="00F21879"/>
    <w:rsid w:val="00F23B5D"/>
    <w:rsid w:val="00F24CD9"/>
    <w:rsid w:val="00F2562E"/>
    <w:rsid w:val="00F30F82"/>
    <w:rsid w:val="00F32D5F"/>
    <w:rsid w:val="00F3309B"/>
    <w:rsid w:val="00F33355"/>
    <w:rsid w:val="00F33FA5"/>
    <w:rsid w:val="00F343CE"/>
    <w:rsid w:val="00F362E0"/>
    <w:rsid w:val="00F41B3A"/>
    <w:rsid w:val="00F42338"/>
    <w:rsid w:val="00F42899"/>
    <w:rsid w:val="00F43FB6"/>
    <w:rsid w:val="00F45ABE"/>
    <w:rsid w:val="00F4650D"/>
    <w:rsid w:val="00F51C2D"/>
    <w:rsid w:val="00F51C7B"/>
    <w:rsid w:val="00F55834"/>
    <w:rsid w:val="00F56BAE"/>
    <w:rsid w:val="00F57438"/>
    <w:rsid w:val="00F60276"/>
    <w:rsid w:val="00F61DF1"/>
    <w:rsid w:val="00F63774"/>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825C1"/>
    <w:rsid w:val="00F82837"/>
    <w:rsid w:val="00F8327D"/>
    <w:rsid w:val="00F84689"/>
    <w:rsid w:val="00F86A5F"/>
    <w:rsid w:val="00F87E50"/>
    <w:rsid w:val="00F87F35"/>
    <w:rsid w:val="00F9158A"/>
    <w:rsid w:val="00F92026"/>
    <w:rsid w:val="00F9288B"/>
    <w:rsid w:val="00F95641"/>
    <w:rsid w:val="00F97582"/>
    <w:rsid w:val="00F97A98"/>
    <w:rsid w:val="00FA29A3"/>
    <w:rsid w:val="00FA2DB5"/>
    <w:rsid w:val="00FA4922"/>
    <w:rsid w:val="00FA496A"/>
    <w:rsid w:val="00FA548D"/>
    <w:rsid w:val="00FA575B"/>
    <w:rsid w:val="00FA7A82"/>
    <w:rsid w:val="00FB21E3"/>
    <w:rsid w:val="00FB280B"/>
    <w:rsid w:val="00FB37E4"/>
    <w:rsid w:val="00FB3B60"/>
    <w:rsid w:val="00FB62C6"/>
    <w:rsid w:val="00FC15FE"/>
    <w:rsid w:val="00FC360E"/>
    <w:rsid w:val="00FC439F"/>
    <w:rsid w:val="00FC53DA"/>
    <w:rsid w:val="00FD4EDC"/>
    <w:rsid w:val="00FD4FD8"/>
    <w:rsid w:val="00FD5C08"/>
    <w:rsid w:val="00FD78A8"/>
    <w:rsid w:val="00FE02E1"/>
    <w:rsid w:val="00FE1EDC"/>
    <w:rsid w:val="00FE36E8"/>
    <w:rsid w:val="00FE548F"/>
    <w:rsid w:val="00FE67B4"/>
    <w:rsid w:val="00FE79E4"/>
    <w:rsid w:val="00FE7DDA"/>
    <w:rsid w:val="00FF0ABF"/>
    <w:rsid w:val="00FF1F30"/>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89EE2-74E9-413E-A74B-C4A4A907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5048</TotalTime>
  <Pages>6</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1283</cp:revision>
  <dcterms:created xsi:type="dcterms:W3CDTF">2018-07-05T06:44:00Z</dcterms:created>
  <dcterms:modified xsi:type="dcterms:W3CDTF">2019-09-13T08:11:00Z</dcterms:modified>
</cp:coreProperties>
</file>