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5265C1F5" w:rsidR="00365DEB" w:rsidRPr="00565DE9" w:rsidRDefault="00E0051D" w:rsidP="00D61965">
      <w:pPr>
        <w:spacing w:after="60"/>
        <w:jc w:val="center"/>
        <w:rPr>
          <w:b/>
        </w:rPr>
      </w:pPr>
      <w:r>
        <w:rPr>
          <w:b/>
        </w:rPr>
        <w:t>201</w:t>
      </w:r>
      <w:r w:rsidR="002F67AD">
        <w:rPr>
          <w:b/>
        </w:rPr>
        <w:t>4</w:t>
      </w:r>
      <w:r w:rsidR="00715CE6">
        <w:rPr>
          <w:b/>
        </w:rPr>
        <w:t xml:space="preserve"> S2</w:t>
      </w:r>
    </w:p>
    <w:p w14:paraId="24B2DDB4" w14:textId="17FE605D" w:rsidR="008E6AB9" w:rsidRPr="001A64EE" w:rsidRDefault="00BC7AE6" w:rsidP="008E6AB9">
      <w:pPr>
        <w:spacing w:after="0"/>
        <w:rPr>
          <w:i/>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1A64EE">
        <w:rPr>
          <w:color w:val="000000" w:themeColor="text1"/>
        </w:rPr>
        <w:t xml:space="preserve"> </w:t>
      </w:r>
      <w:r w:rsidR="008E6AB9" w:rsidRPr="001A64EE">
        <w:rPr>
          <w:i/>
          <w:color w:val="000000" w:themeColor="text1"/>
        </w:rPr>
        <w:t>TO: Cobra Life – Board of Directors</w:t>
      </w:r>
    </w:p>
    <w:p w14:paraId="7CF01B41" w14:textId="77777777" w:rsidR="008E6AB9" w:rsidRPr="001A64EE" w:rsidRDefault="008E6AB9" w:rsidP="008E6AB9">
      <w:pPr>
        <w:spacing w:after="0"/>
        <w:rPr>
          <w:i/>
          <w:color w:val="000000" w:themeColor="text1"/>
        </w:rPr>
      </w:pPr>
      <w:r w:rsidRPr="001A64EE">
        <w:rPr>
          <w:i/>
          <w:color w:val="000000" w:themeColor="text1"/>
        </w:rPr>
        <w:t>FROM: Appointed Actuary</w:t>
      </w:r>
    </w:p>
    <w:p w14:paraId="225276CA" w14:textId="77777777" w:rsidR="008E6AB9" w:rsidRPr="001A64EE" w:rsidRDefault="008E6AB9" w:rsidP="008E6AB9">
      <w:pPr>
        <w:spacing w:after="0"/>
        <w:rPr>
          <w:i/>
          <w:color w:val="000000" w:themeColor="text1"/>
        </w:rPr>
      </w:pPr>
      <w:r w:rsidRPr="001A64EE">
        <w:rPr>
          <w:i/>
          <w:color w:val="000000" w:themeColor="text1"/>
        </w:rPr>
        <w:t>RE: Recommendation for Future Risk Margins – Random and Future Risk</w:t>
      </w:r>
    </w:p>
    <w:p w14:paraId="50A3E5B2" w14:textId="77777777" w:rsidR="008E6AB9" w:rsidRPr="007063A1" w:rsidRDefault="008E6AB9" w:rsidP="008E6AB9">
      <w:pPr>
        <w:spacing w:after="0"/>
        <w:rPr>
          <w:color w:val="FF0000"/>
        </w:rPr>
      </w:pPr>
      <w:r w:rsidRPr="008E6AB9">
        <w:rPr>
          <w:color w:val="000000" w:themeColor="text1"/>
        </w:rPr>
        <w:t xml:space="preserve">The purpose of this note is to provide recommendations for future and random risk margins for Cobra Life’s Statutory Fund that contains individual lump sum and disability income business. </w:t>
      </w:r>
      <w:r w:rsidRPr="007063A1">
        <w:rPr>
          <w:b/>
          <w:color w:val="FF0000"/>
        </w:rPr>
        <w:t>Under LPS115, both of these margins need to cover scenarios at a 99.5% level (i.e. a 1 in 200 year scenario).</w:t>
      </w:r>
    </w:p>
    <w:p w14:paraId="3AAFADFD" w14:textId="77777777" w:rsidR="008E6AB9" w:rsidRPr="00EB42FB" w:rsidRDefault="008E6AB9" w:rsidP="008E6AB9">
      <w:pPr>
        <w:spacing w:after="0"/>
        <w:rPr>
          <w:b/>
          <w:color w:val="000000" w:themeColor="text1"/>
          <w:u w:val="single"/>
        </w:rPr>
      </w:pPr>
      <w:r w:rsidRPr="00EB42FB">
        <w:rPr>
          <w:b/>
          <w:color w:val="000000" w:themeColor="text1"/>
          <w:u w:val="single"/>
        </w:rPr>
        <w:t>Random Risk Margins</w:t>
      </w:r>
    </w:p>
    <w:p w14:paraId="4B12BB73" w14:textId="77777777" w:rsidR="00EB42FB" w:rsidRPr="00B235C2" w:rsidRDefault="008E6AB9" w:rsidP="001D254D">
      <w:pPr>
        <w:pStyle w:val="ListParagraph"/>
        <w:numPr>
          <w:ilvl w:val="0"/>
          <w:numId w:val="4"/>
        </w:numPr>
        <w:spacing w:after="0"/>
        <w:rPr>
          <w:color w:val="000000" w:themeColor="text1"/>
        </w:rPr>
      </w:pPr>
      <w:r w:rsidRPr="00B235C2">
        <w:rPr>
          <w:color w:val="FF0000"/>
        </w:rPr>
        <w:t>Random risk margins are determined at the 99.5th percentile level</w:t>
      </w:r>
      <w:r w:rsidRPr="00B235C2">
        <w:rPr>
          <w:color w:val="000000" w:themeColor="text1"/>
        </w:rPr>
        <w:t xml:space="preserve">. </w:t>
      </w:r>
    </w:p>
    <w:p w14:paraId="092A5B90" w14:textId="77777777" w:rsidR="00B235C2" w:rsidRPr="00B235C2" w:rsidRDefault="008E6AB9" w:rsidP="001D254D">
      <w:pPr>
        <w:pStyle w:val="ListParagraph"/>
        <w:numPr>
          <w:ilvl w:val="0"/>
          <w:numId w:val="4"/>
        </w:numPr>
        <w:spacing w:after="0"/>
        <w:rPr>
          <w:color w:val="000000" w:themeColor="text1"/>
        </w:rPr>
      </w:pPr>
      <w:r w:rsidRPr="00B235C2">
        <w:rPr>
          <w:color w:val="000000" w:themeColor="text1"/>
        </w:rPr>
        <w:t xml:space="preserve">Based on 2014 exposure, </w:t>
      </w:r>
      <w:r w:rsidRPr="00B235C2">
        <w:rPr>
          <w:color w:val="FF0000"/>
        </w:rPr>
        <w:t>the Cobra Life 99.5th percentile for lump sum business is 5% above the experience for that year and 6% for disability income</w:t>
      </w:r>
      <w:r w:rsidRPr="00B235C2">
        <w:rPr>
          <w:color w:val="000000" w:themeColor="text1"/>
        </w:rPr>
        <w:t xml:space="preserve">. </w:t>
      </w:r>
    </w:p>
    <w:p w14:paraId="00B291F7" w14:textId="314092A3" w:rsidR="008E6AB9" w:rsidRPr="00B235C2" w:rsidRDefault="008E6AB9" w:rsidP="001D254D">
      <w:pPr>
        <w:pStyle w:val="ListParagraph"/>
        <w:numPr>
          <w:ilvl w:val="0"/>
          <w:numId w:val="4"/>
        </w:numPr>
        <w:spacing w:after="0"/>
        <w:rPr>
          <w:color w:val="000000" w:themeColor="text1"/>
        </w:rPr>
      </w:pPr>
      <w:r w:rsidRPr="00B235C2">
        <w:rPr>
          <w:color w:val="000000" w:themeColor="text1"/>
        </w:rPr>
        <w:t xml:space="preserve">Whilst these numbers appear low, the variability of Cobra Life’s experience </w:t>
      </w:r>
      <w:r w:rsidR="00B235C2" w:rsidRPr="00B235C2">
        <w:rPr>
          <w:b/>
          <w:color w:val="FF0000"/>
        </w:rPr>
        <w:t>(stress margin)</w:t>
      </w:r>
      <w:r w:rsidR="00B235C2" w:rsidRPr="00B235C2">
        <w:rPr>
          <w:b/>
          <w:color w:val="000000" w:themeColor="text1"/>
        </w:rPr>
        <w:t xml:space="preserve"> </w:t>
      </w:r>
      <w:r w:rsidRPr="00B235C2">
        <w:rPr>
          <w:b/>
          <w:color w:val="FF0000"/>
        </w:rPr>
        <w:t>may be reduced somewhat by the surplus reinsurance</w:t>
      </w:r>
      <w:r w:rsidRPr="00B235C2">
        <w:rPr>
          <w:color w:val="FF0000"/>
        </w:rPr>
        <w:t xml:space="preserve"> </w:t>
      </w:r>
      <w:r w:rsidRPr="00B235C2">
        <w:rPr>
          <w:color w:val="000000" w:themeColor="text1"/>
        </w:rPr>
        <w:t>cover that the company has in place.</w:t>
      </w:r>
    </w:p>
    <w:p w14:paraId="5D96560B" w14:textId="77777777" w:rsidR="008E6AB9" w:rsidRPr="00B235C2" w:rsidRDefault="008E6AB9" w:rsidP="001D254D">
      <w:pPr>
        <w:pStyle w:val="ListParagraph"/>
        <w:numPr>
          <w:ilvl w:val="0"/>
          <w:numId w:val="4"/>
        </w:numPr>
        <w:spacing w:after="0"/>
        <w:rPr>
          <w:color w:val="FF0000"/>
        </w:rPr>
      </w:pPr>
      <w:r w:rsidRPr="00B235C2">
        <w:rPr>
          <w:color w:val="FF0000"/>
        </w:rPr>
        <w:t>Hence, a 5% margin is recommended for individual lump sum business and 6% for individual disability income business.</w:t>
      </w:r>
    </w:p>
    <w:p w14:paraId="6B6FCF5E" w14:textId="77777777" w:rsidR="008E6AB9" w:rsidRPr="00EB42FB" w:rsidRDefault="008E6AB9" w:rsidP="008E6AB9">
      <w:pPr>
        <w:spacing w:after="0"/>
        <w:rPr>
          <w:b/>
          <w:color w:val="000000" w:themeColor="text1"/>
          <w:u w:val="single"/>
        </w:rPr>
      </w:pPr>
      <w:r w:rsidRPr="00EB42FB">
        <w:rPr>
          <w:b/>
          <w:color w:val="000000" w:themeColor="text1"/>
          <w:u w:val="single"/>
        </w:rPr>
        <w:t>Future Risk Margins</w:t>
      </w:r>
    </w:p>
    <w:p w14:paraId="3B73399E" w14:textId="77777777" w:rsidR="008E6AB9" w:rsidRPr="005E69DE" w:rsidRDefault="008E6AB9" w:rsidP="008E6AB9">
      <w:pPr>
        <w:spacing w:after="0"/>
        <w:rPr>
          <w:i/>
          <w:color w:val="000000" w:themeColor="text1"/>
        </w:rPr>
      </w:pPr>
      <w:r w:rsidRPr="005E69DE">
        <w:rPr>
          <w:i/>
          <w:color w:val="000000" w:themeColor="text1"/>
        </w:rPr>
        <w:t>Individual Lump Sum</w:t>
      </w:r>
    </w:p>
    <w:p w14:paraId="4E762E9A" w14:textId="77777777" w:rsidR="008E6AB9" w:rsidRPr="005E69DE" w:rsidRDefault="008E6AB9" w:rsidP="001D254D">
      <w:pPr>
        <w:pStyle w:val="ListParagraph"/>
        <w:numPr>
          <w:ilvl w:val="0"/>
          <w:numId w:val="1"/>
        </w:numPr>
        <w:spacing w:after="0"/>
        <w:rPr>
          <w:color w:val="000000" w:themeColor="text1"/>
        </w:rPr>
      </w:pPr>
      <w:r w:rsidRPr="005E69DE">
        <w:rPr>
          <w:color w:val="000000" w:themeColor="text1"/>
        </w:rPr>
        <w:t xml:space="preserve">Individual lump sum experience for the market as a whole has been generally flat in the 2008 – 2014 </w:t>
      </w:r>
      <w:proofErr w:type="gramStart"/>
      <w:r w:rsidRPr="005E69DE">
        <w:rPr>
          <w:color w:val="000000" w:themeColor="text1"/>
        </w:rPr>
        <w:t>period</w:t>
      </w:r>
      <w:proofErr w:type="gramEnd"/>
      <w:r w:rsidRPr="005E69DE">
        <w:rPr>
          <w:color w:val="000000" w:themeColor="text1"/>
        </w:rPr>
        <w:t xml:space="preserve"> and as such there is no obvious sign of a trend in experience over that period. Over that same period since 2008, Cobra Life </w:t>
      </w:r>
      <w:r w:rsidRPr="005E69DE">
        <w:rPr>
          <w:color w:val="FF0000"/>
        </w:rPr>
        <w:t xml:space="preserve">has grown at a significant rate </w:t>
      </w:r>
      <w:r w:rsidRPr="005E69DE">
        <w:rPr>
          <w:color w:val="000000" w:themeColor="text1"/>
        </w:rPr>
        <w:t xml:space="preserve">(far higher than the market growth). This growth coupled with the actual to </w:t>
      </w:r>
      <w:proofErr w:type="gramStart"/>
      <w:r w:rsidRPr="005E69DE">
        <w:rPr>
          <w:color w:val="000000" w:themeColor="text1"/>
        </w:rPr>
        <w:t>expected</w:t>
      </w:r>
      <w:proofErr w:type="gramEnd"/>
      <w:r w:rsidRPr="005E69DE">
        <w:rPr>
          <w:color w:val="000000" w:themeColor="text1"/>
        </w:rPr>
        <w:t xml:space="preserve"> experience on Cobra Life’s portfolio leads me to believe there </w:t>
      </w:r>
      <w:r w:rsidRPr="005E69DE">
        <w:rPr>
          <w:color w:val="FF0000"/>
        </w:rPr>
        <w:t xml:space="preserve">is a heightened level of risk </w:t>
      </w:r>
      <w:r w:rsidRPr="005E69DE">
        <w:rPr>
          <w:color w:val="000000" w:themeColor="text1"/>
        </w:rPr>
        <w:t xml:space="preserve">on Cobra Life’s portfolio than may exist in the industry statistics. </w:t>
      </w:r>
      <w:r w:rsidRPr="005E69DE">
        <w:rPr>
          <w:color w:val="FF0000"/>
        </w:rPr>
        <w:t>This may be due to Cobra Life looking to increase market share at the expense of underwriting rigor</w:t>
      </w:r>
      <w:r w:rsidRPr="005E69DE">
        <w:rPr>
          <w:color w:val="000000" w:themeColor="text1"/>
        </w:rPr>
        <w:t>.</w:t>
      </w:r>
    </w:p>
    <w:p w14:paraId="26E6995F" w14:textId="77777777" w:rsidR="008E6AB9" w:rsidRPr="005E69DE" w:rsidRDefault="008E6AB9" w:rsidP="001D254D">
      <w:pPr>
        <w:pStyle w:val="ListParagraph"/>
        <w:numPr>
          <w:ilvl w:val="0"/>
          <w:numId w:val="1"/>
        </w:numPr>
        <w:spacing w:after="0"/>
        <w:rPr>
          <w:color w:val="000000" w:themeColor="text1"/>
        </w:rPr>
      </w:pPr>
      <w:r w:rsidRPr="005E69DE">
        <w:rPr>
          <w:color w:val="000000" w:themeColor="text1"/>
        </w:rPr>
        <w:t>The table below shows the average actual to expected experience for the periods 2009 – 2011 and 2012 – 2014.</w:t>
      </w:r>
    </w:p>
    <w:tbl>
      <w:tblPr>
        <w:tblStyle w:val="TableGrid"/>
        <w:tblW w:w="0" w:type="auto"/>
        <w:tblInd w:w="1098" w:type="dxa"/>
        <w:tblLook w:val="04A0" w:firstRow="1" w:lastRow="0" w:firstColumn="1" w:lastColumn="0" w:noHBand="0" w:noVBand="1"/>
      </w:tblPr>
      <w:tblGrid>
        <w:gridCol w:w="1854"/>
        <w:gridCol w:w="1746"/>
        <w:gridCol w:w="1440"/>
      </w:tblGrid>
      <w:tr w:rsidR="008E6AB9" w:rsidRPr="008E6AB9" w14:paraId="102FB6F7" w14:textId="77777777" w:rsidTr="00EB42FB">
        <w:tc>
          <w:tcPr>
            <w:tcW w:w="1854" w:type="dxa"/>
            <w:vAlign w:val="center"/>
          </w:tcPr>
          <w:p w14:paraId="76DF280B" w14:textId="77777777" w:rsidR="008E6AB9" w:rsidRPr="008E6AB9" w:rsidRDefault="008E6AB9" w:rsidP="00EB42FB">
            <w:pPr>
              <w:jc w:val="center"/>
              <w:rPr>
                <w:color w:val="000000" w:themeColor="text1"/>
              </w:rPr>
            </w:pPr>
          </w:p>
        </w:tc>
        <w:tc>
          <w:tcPr>
            <w:tcW w:w="1746" w:type="dxa"/>
            <w:vAlign w:val="center"/>
          </w:tcPr>
          <w:p w14:paraId="6A1014B8" w14:textId="77777777" w:rsidR="008E6AB9" w:rsidRPr="00EB42FB" w:rsidRDefault="008E6AB9" w:rsidP="00EB42FB">
            <w:pPr>
              <w:jc w:val="center"/>
              <w:rPr>
                <w:b/>
                <w:color w:val="000000" w:themeColor="text1"/>
              </w:rPr>
            </w:pPr>
            <w:r w:rsidRPr="00EB42FB">
              <w:rPr>
                <w:b/>
                <w:color w:val="000000" w:themeColor="text1"/>
              </w:rPr>
              <w:t>Cobra Life</w:t>
            </w:r>
          </w:p>
        </w:tc>
        <w:tc>
          <w:tcPr>
            <w:tcW w:w="1440" w:type="dxa"/>
            <w:vAlign w:val="center"/>
          </w:tcPr>
          <w:p w14:paraId="05F7D840" w14:textId="77777777" w:rsidR="008E6AB9" w:rsidRPr="00EB42FB" w:rsidRDefault="008E6AB9" w:rsidP="00EB42FB">
            <w:pPr>
              <w:jc w:val="center"/>
              <w:rPr>
                <w:b/>
                <w:color w:val="000000" w:themeColor="text1"/>
              </w:rPr>
            </w:pPr>
            <w:r w:rsidRPr="00EB42FB">
              <w:rPr>
                <w:b/>
                <w:color w:val="000000" w:themeColor="text1"/>
              </w:rPr>
              <w:t>Industry</w:t>
            </w:r>
          </w:p>
        </w:tc>
      </w:tr>
      <w:tr w:rsidR="008E6AB9" w:rsidRPr="008E6AB9" w14:paraId="2247099F" w14:textId="77777777" w:rsidTr="00EB42FB">
        <w:tc>
          <w:tcPr>
            <w:tcW w:w="1854" w:type="dxa"/>
            <w:vAlign w:val="center"/>
          </w:tcPr>
          <w:p w14:paraId="118ADF8D" w14:textId="77777777" w:rsidR="008E6AB9" w:rsidRPr="00EB42FB" w:rsidRDefault="008E6AB9" w:rsidP="00EB42FB">
            <w:pPr>
              <w:jc w:val="center"/>
              <w:rPr>
                <w:b/>
                <w:color w:val="000000" w:themeColor="text1"/>
              </w:rPr>
            </w:pPr>
            <w:r w:rsidRPr="00EB42FB">
              <w:rPr>
                <w:b/>
                <w:color w:val="000000" w:themeColor="text1"/>
              </w:rPr>
              <w:t>2009 - 2011</w:t>
            </w:r>
          </w:p>
        </w:tc>
        <w:tc>
          <w:tcPr>
            <w:tcW w:w="1746" w:type="dxa"/>
            <w:vAlign w:val="center"/>
          </w:tcPr>
          <w:p w14:paraId="17AED215" w14:textId="77777777" w:rsidR="008E6AB9" w:rsidRPr="008E6AB9" w:rsidRDefault="008E6AB9" w:rsidP="00EB42FB">
            <w:pPr>
              <w:jc w:val="center"/>
              <w:rPr>
                <w:color w:val="000000" w:themeColor="text1"/>
              </w:rPr>
            </w:pPr>
            <w:r w:rsidRPr="008E6AB9">
              <w:rPr>
                <w:color w:val="000000" w:themeColor="text1"/>
              </w:rPr>
              <w:t>96%</w:t>
            </w:r>
          </w:p>
        </w:tc>
        <w:tc>
          <w:tcPr>
            <w:tcW w:w="1440" w:type="dxa"/>
            <w:vAlign w:val="center"/>
          </w:tcPr>
          <w:p w14:paraId="28BE2966" w14:textId="77777777" w:rsidR="008E6AB9" w:rsidRPr="008E6AB9" w:rsidRDefault="008E6AB9" w:rsidP="00EB42FB">
            <w:pPr>
              <w:jc w:val="center"/>
              <w:rPr>
                <w:color w:val="000000" w:themeColor="text1"/>
              </w:rPr>
            </w:pPr>
            <w:r w:rsidRPr="008E6AB9">
              <w:rPr>
                <w:color w:val="000000" w:themeColor="text1"/>
              </w:rPr>
              <w:t>100%</w:t>
            </w:r>
          </w:p>
        </w:tc>
      </w:tr>
      <w:tr w:rsidR="008E6AB9" w:rsidRPr="008E6AB9" w14:paraId="30123D38" w14:textId="77777777" w:rsidTr="00EB42FB">
        <w:tc>
          <w:tcPr>
            <w:tcW w:w="1854" w:type="dxa"/>
            <w:vAlign w:val="center"/>
          </w:tcPr>
          <w:p w14:paraId="1A48CAE4" w14:textId="77777777" w:rsidR="008E6AB9" w:rsidRPr="00EB42FB" w:rsidRDefault="008E6AB9" w:rsidP="00EB42FB">
            <w:pPr>
              <w:jc w:val="center"/>
              <w:rPr>
                <w:b/>
                <w:color w:val="000000" w:themeColor="text1"/>
              </w:rPr>
            </w:pPr>
            <w:r w:rsidRPr="00EB42FB">
              <w:rPr>
                <w:b/>
                <w:color w:val="000000" w:themeColor="text1"/>
              </w:rPr>
              <w:t>2012 - 2014</w:t>
            </w:r>
          </w:p>
        </w:tc>
        <w:tc>
          <w:tcPr>
            <w:tcW w:w="1746" w:type="dxa"/>
            <w:vAlign w:val="center"/>
          </w:tcPr>
          <w:p w14:paraId="759C5428" w14:textId="77777777" w:rsidR="008E6AB9" w:rsidRPr="008E6AB9" w:rsidRDefault="008E6AB9" w:rsidP="00EB42FB">
            <w:pPr>
              <w:jc w:val="center"/>
              <w:rPr>
                <w:color w:val="000000" w:themeColor="text1"/>
              </w:rPr>
            </w:pPr>
            <w:r w:rsidRPr="008E6AB9">
              <w:rPr>
                <w:color w:val="000000" w:themeColor="text1"/>
              </w:rPr>
              <w:t>104%</w:t>
            </w:r>
          </w:p>
        </w:tc>
        <w:tc>
          <w:tcPr>
            <w:tcW w:w="1440" w:type="dxa"/>
            <w:vAlign w:val="center"/>
          </w:tcPr>
          <w:p w14:paraId="09557FBD" w14:textId="77777777" w:rsidR="008E6AB9" w:rsidRPr="008E6AB9" w:rsidRDefault="008E6AB9" w:rsidP="00EB42FB">
            <w:pPr>
              <w:jc w:val="center"/>
              <w:rPr>
                <w:color w:val="000000" w:themeColor="text1"/>
              </w:rPr>
            </w:pPr>
            <w:r w:rsidRPr="008E6AB9">
              <w:rPr>
                <w:color w:val="000000" w:themeColor="text1"/>
              </w:rPr>
              <w:t>100%</w:t>
            </w:r>
          </w:p>
        </w:tc>
      </w:tr>
      <w:tr w:rsidR="008E6AB9" w:rsidRPr="008E6AB9" w14:paraId="1BF6702A" w14:textId="77777777" w:rsidTr="00EB42FB">
        <w:tc>
          <w:tcPr>
            <w:tcW w:w="1854" w:type="dxa"/>
            <w:vAlign w:val="center"/>
          </w:tcPr>
          <w:p w14:paraId="46C352BA" w14:textId="77777777" w:rsidR="008E6AB9" w:rsidRPr="00EB42FB" w:rsidRDefault="008E6AB9" w:rsidP="00EB42FB">
            <w:pPr>
              <w:jc w:val="center"/>
              <w:rPr>
                <w:b/>
                <w:color w:val="000000" w:themeColor="text1"/>
              </w:rPr>
            </w:pPr>
            <w:r w:rsidRPr="00EB42FB">
              <w:rPr>
                <w:b/>
                <w:color w:val="000000" w:themeColor="text1"/>
              </w:rPr>
              <w:t>% Change</w:t>
            </w:r>
          </w:p>
        </w:tc>
        <w:tc>
          <w:tcPr>
            <w:tcW w:w="1746" w:type="dxa"/>
            <w:vAlign w:val="center"/>
          </w:tcPr>
          <w:p w14:paraId="4E498B0D" w14:textId="77777777" w:rsidR="008E6AB9" w:rsidRPr="008E6AB9" w:rsidRDefault="008E6AB9" w:rsidP="00EB42FB">
            <w:pPr>
              <w:jc w:val="center"/>
              <w:rPr>
                <w:color w:val="000000" w:themeColor="text1"/>
              </w:rPr>
            </w:pPr>
            <w:r w:rsidRPr="008E6AB9">
              <w:rPr>
                <w:color w:val="000000" w:themeColor="text1"/>
              </w:rPr>
              <w:t>8%</w:t>
            </w:r>
          </w:p>
        </w:tc>
        <w:tc>
          <w:tcPr>
            <w:tcW w:w="1440" w:type="dxa"/>
            <w:vAlign w:val="center"/>
          </w:tcPr>
          <w:p w14:paraId="7668579F" w14:textId="77777777" w:rsidR="008E6AB9" w:rsidRPr="008E6AB9" w:rsidRDefault="008E6AB9" w:rsidP="00EB42FB">
            <w:pPr>
              <w:jc w:val="center"/>
              <w:rPr>
                <w:color w:val="000000" w:themeColor="text1"/>
              </w:rPr>
            </w:pPr>
            <w:r w:rsidRPr="008E6AB9">
              <w:rPr>
                <w:color w:val="000000" w:themeColor="text1"/>
              </w:rPr>
              <w:t>0%</w:t>
            </w:r>
          </w:p>
        </w:tc>
      </w:tr>
    </w:tbl>
    <w:p w14:paraId="7095AE7B" w14:textId="77777777" w:rsidR="008E6AB9" w:rsidRPr="005E69DE" w:rsidRDefault="008E6AB9" w:rsidP="001D254D">
      <w:pPr>
        <w:pStyle w:val="ListParagraph"/>
        <w:numPr>
          <w:ilvl w:val="0"/>
          <w:numId w:val="2"/>
        </w:numPr>
        <w:spacing w:after="0"/>
        <w:rPr>
          <w:color w:val="000000" w:themeColor="text1"/>
        </w:rPr>
      </w:pPr>
      <w:r w:rsidRPr="005E69DE">
        <w:rPr>
          <w:color w:val="000000" w:themeColor="text1"/>
        </w:rPr>
        <w:t>Based on this data, there appears to be a trend in the Cobra Life experience (which is not clearly evident in the industry experience).</w:t>
      </w:r>
    </w:p>
    <w:p w14:paraId="6D77601A" w14:textId="77777777" w:rsidR="008E6AB9" w:rsidRPr="005E69DE" w:rsidRDefault="008E6AB9" w:rsidP="001D254D">
      <w:pPr>
        <w:pStyle w:val="ListParagraph"/>
        <w:numPr>
          <w:ilvl w:val="0"/>
          <w:numId w:val="2"/>
        </w:numPr>
        <w:spacing w:after="0"/>
        <w:rPr>
          <w:color w:val="000000" w:themeColor="text1"/>
        </w:rPr>
      </w:pPr>
      <w:r w:rsidRPr="005E69DE">
        <w:rPr>
          <w:color w:val="FF0000"/>
        </w:rPr>
        <w:t>Other considerations for the future risk charge include trends in mortality experience (e.g. obesity), TPD experience (e.g. due to economic factors) and TPD (e.g. changes in definitions or increased involvement of lawyers). It is difficult to fully justify a 99.5th percentile estimate for these changes</w:t>
      </w:r>
      <w:r w:rsidRPr="005E69DE">
        <w:rPr>
          <w:color w:val="000000" w:themeColor="text1"/>
        </w:rPr>
        <w:t>, and hence a high degree of judgement needs to be incorporated to overlay the impact of these elements of the future trends.</w:t>
      </w:r>
    </w:p>
    <w:p w14:paraId="17AEBBFC" w14:textId="77777777" w:rsidR="008E6AB9" w:rsidRPr="005E69DE" w:rsidRDefault="008E6AB9" w:rsidP="001D254D">
      <w:pPr>
        <w:pStyle w:val="ListParagraph"/>
        <w:numPr>
          <w:ilvl w:val="0"/>
          <w:numId w:val="2"/>
        </w:numPr>
        <w:spacing w:after="0"/>
        <w:rPr>
          <w:color w:val="000000" w:themeColor="text1"/>
        </w:rPr>
      </w:pPr>
      <w:r w:rsidRPr="005E69DE">
        <w:rPr>
          <w:color w:val="FF0000"/>
        </w:rPr>
        <w:t xml:space="preserve">Given the 8% deterioration in experience in recent years for Cobra Life, for a 1 in 200 year scenario, a margin above 8% would be appropriate. Given this, and considering the </w:t>
      </w:r>
      <w:r w:rsidRPr="005E69DE">
        <w:rPr>
          <w:color w:val="FF0000"/>
        </w:rPr>
        <w:lastRenderedPageBreak/>
        <w:t xml:space="preserve">other trend considerations listed above, a future margin in the range of 20% - 40% would be appropriate. </w:t>
      </w:r>
      <w:r w:rsidRPr="005E69DE">
        <w:rPr>
          <w:color w:val="000000" w:themeColor="text1"/>
        </w:rPr>
        <w:t>I recommend a margin of 30%.</w:t>
      </w:r>
    </w:p>
    <w:p w14:paraId="256E73A9" w14:textId="77777777" w:rsidR="008E6AB9" w:rsidRPr="005E69DE" w:rsidRDefault="008E6AB9" w:rsidP="008E6AB9">
      <w:pPr>
        <w:spacing w:after="0"/>
        <w:rPr>
          <w:i/>
          <w:color w:val="000000" w:themeColor="text1"/>
        </w:rPr>
      </w:pPr>
      <w:r w:rsidRPr="005E69DE">
        <w:rPr>
          <w:i/>
          <w:color w:val="000000" w:themeColor="text1"/>
        </w:rPr>
        <w:t>Individual Disability Income</w:t>
      </w:r>
    </w:p>
    <w:p w14:paraId="1957EE51" w14:textId="77777777" w:rsidR="008E6AB9" w:rsidRPr="005E69DE" w:rsidRDefault="008E6AB9" w:rsidP="001D254D">
      <w:pPr>
        <w:pStyle w:val="ListParagraph"/>
        <w:numPr>
          <w:ilvl w:val="0"/>
          <w:numId w:val="3"/>
        </w:numPr>
        <w:spacing w:after="0"/>
        <w:rPr>
          <w:color w:val="000000" w:themeColor="text1"/>
        </w:rPr>
      </w:pPr>
      <w:r w:rsidRPr="005E69DE">
        <w:rPr>
          <w:color w:val="000000" w:themeColor="text1"/>
        </w:rPr>
        <w:t>Cobra Life’s current systems cannot easily determine the experience between the book of disabled lives that were purchased in 2012 and those that have been written since 2008. The table below shows the Cobra Life experience and industry experience (note that the Cobra Life experience uses years up to 2011 to exclude the experience of the purchased disability claims portfolio).</w:t>
      </w:r>
    </w:p>
    <w:tbl>
      <w:tblPr>
        <w:tblStyle w:val="TableGrid"/>
        <w:tblW w:w="0" w:type="auto"/>
        <w:tblInd w:w="1458" w:type="dxa"/>
        <w:tblLook w:val="04A0" w:firstRow="1" w:lastRow="0" w:firstColumn="1" w:lastColumn="0" w:noHBand="0" w:noVBand="1"/>
      </w:tblPr>
      <w:tblGrid>
        <w:gridCol w:w="1710"/>
        <w:gridCol w:w="1260"/>
        <w:gridCol w:w="1350"/>
        <w:gridCol w:w="1260"/>
      </w:tblGrid>
      <w:tr w:rsidR="008E6AB9" w:rsidRPr="008E6AB9" w14:paraId="1B8D9A5D" w14:textId="77777777" w:rsidTr="005E69DE">
        <w:tc>
          <w:tcPr>
            <w:tcW w:w="2970" w:type="dxa"/>
            <w:gridSpan w:val="2"/>
            <w:vAlign w:val="center"/>
          </w:tcPr>
          <w:p w14:paraId="66859280" w14:textId="65D695D7" w:rsidR="008E6AB9" w:rsidRPr="005E69DE" w:rsidRDefault="008E6AB9" w:rsidP="005E69DE">
            <w:pPr>
              <w:jc w:val="center"/>
              <w:rPr>
                <w:b/>
                <w:color w:val="000000" w:themeColor="text1"/>
              </w:rPr>
            </w:pPr>
            <w:r w:rsidRPr="005E69DE">
              <w:rPr>
                <w:b/>
                <w:color w:val="000000" w:themeColor="text1"/>
              </w:rPr>
              <w:t>Cobra Life</w:t>
            </w:r>
          </w:p>
        </w:tc>
        <w:tc>
          <w:tcPr>
            <w:tcW w:w="2610" w:type="dxa"/>
            <w:gridSpan w:val="2"/>
            <w:vAlign w:val="center"/>
          </w:tcPr>
          <w:p w14:paraId="426AF033" w14:textId="66310A8E" w:rsidR="008E6AB9" w:rsidRPr="005E69DE" w:rsidRDefault="008E6AB9" w:rsidP="005E69DE">
            <w:pPr>
              <w:jc w:val="center"/>
              <w:rPr>
                <w:b/>
                <w:color w:val="000000" w:themeColor="text1"/>
              </w:rPr>
            </w:pPr>
            <w:r w:rsidRPr="005E69DE">
              <w:rPr>
                <w:b/>
                <w:color w:val="000000" w:themeColor="text1"/>
              </w:rPr>
              <w:t>Industry</w:t>
            </w:r>
          </w:p>
        </w:tc>
      </w:tr>
      <w:tr w:rsidR="008E6AB9" w:rsidRPr="008E6AB9" w14:paraId="7ECF0A62" w14:textId="77777777" w:rsidTr="005E69DE">
        <w:tc>
          <w:tcPr>
            <w:tcW w:w="1710" w:type="dxa"/>
            <w:vAlign w:val="center"/>
          </w:tcPr>
          <w:p w14:paraId="1CD749C3" w14:textId="77777777" w:rsidR="008E6AB9" w:rsidRPr="005E69DE" w:rsidRDefault="008E6AB9" w:rsidP="005E69DE">
            <w:pPr>
              <w:jc w:val="center"/>
              <w:rPr>
                <w:b/>
                <w:color w:val="000000" w:themeColor="text1"/>
              </w:rPr>
            </w:pPr>
            <w:r w:rsidRPr="005E69DE">
              <w:rPr>
                <w:b/>
                <w:color w:val="000000" w:themeColor="text1"/>
              </w:rPr>
              <w:t>2008 - 2009</w:t>
            </w:r>
          </w:p>
        </w:tc>
        <w:tc>
          <w:tcPr>
            <w:tcW w:w="1260" w:type="dxa"/>
            <w:vAlign w:val="center"/>
          </w:tcPr>
          <w:p w14:paraId="0A357165" w14:textId="77777777" w:rsidR="008E6AB9" w:rsidRPr="008E6AB9" w:rsidRDefault="008E6AB9" w:rsidP="005E69DE">
            <w:pPr>
              <w:jc w:val="center"/>
              <w:rPr>
                <w:color w:val="000000" w:themeColor="text1"/>
              </w:rPr>
            </w:pPr>
            <w:r w:rsidRPr="008E6AB9">
              <w:rPr>
                <w:color w:val="000000" w:themeColor="text1"/>
              </w:rPr>
              <w:t>90%</w:t>
            </w:r>
          </w:p>
        </w:tc>
        <w:tc>
          <w:tcPr>
            <w:tcW w:w="1350" w:type="dxa"/>
            <w:vAlign w:val="center"/>
          </w:tcPr>
          <w:p w14:paraId="3F4BE1F8" w14:textId="77777777" w:rsidR="008E6AB9" w:rsidRPr="005E69DE" w:rsidRDefault="008E6AB9" w:rsidP="005E69DE">
            <w:pPr>
              <w:jc w:val="center"/>
              <w:rPr>
                <w:b/>
                <w:color w:val="000000" w:themeColor="text1"/>
              </w:rPr>
            </w:pPr>
            <w:r w:rsidRPr="005E69DE">
              <w:rPr>
                <w:b/>
                <w:color w:val="000000" w:themeColor="text1"/>
              </w:rPr>
              <w:t>2009 - 2011</w:t>
            </w:r>
          </w:p>
        </w:tc>
        <w:tc>
          <w:tcPr>
            <w:tcW w:w="1260" w:type="dxa"/>
            <w:vAlign w:val="center"/>
          </w:tcPr>
          <w:p w14:paraId="5D28BC5C" w14:textId="77777777" w:rsidR="008E6AB9" w:rsidRPr="008E6AB9" w:rsidRDefault="008E6AB9" w:rsidP="005E69DE">
            <w:pPr>
              <w:jc w:val="center"/>
              <w:rPr>
                <w:color w:val="000000" w:themeColor="text1"/>
              </w:rPr>
            </w:pPr>
            <w:r w:rsidRPr="008E6AB9">
              <w:rPr>
                <w:color w:val="000000" w:themeColor="text1"/>
              </w:rPr>
              <w:t>103%</w:t>
            </w:r>
          </w:p>
        </w:tc>
      </w:tr>
      <w:tr w:rsidR="008E6AB9" w:rsidRPr="008E6AB9" w14:paraId="3DC9463D" w14:textId="77777777" w:rsidTr="005E69DE">
        <w:tc>
          <w:tcPr>
            <w:tcW w:w="1710" w:type="dxa"/>
            <w:vAlign w:val="center"/>
          </w:tcPr>
          <w:p w14:paraId="67CE4032" w14:textId="77777777" w:rsidR="008E6AB9" w:rsidRPr="005E69DE" w:rsidRDefault="008E6AB9" w:rsidP="005E69DE">
            <w:pPr>
              <w:jc w:val="center"/>
              <w:rPr>
                <w:b/>
                <w:color w:val="000000" w:themeColor="text1"/>
              </w:rPr>
            </w:pPr>
            <w:r w:rsidRPr="005E69DE">
              <w:rPr>
                <w:b/>
                <w:color w:val="000000" w:themeColor="text1"/>
              </w:rPr>
              <w:t>2010 - 2011</w:t>
            </w:r>
          </w:p>
        </w:tc>
        <w:tc>
          <w:tcPr>
            <w:tcW w:w="1260" w:type="dxa"/>
            <w:vAlign w:val="center"/>
          </w:tcPr>
          <w:p w14:paraId="6E819BE6" w14:textId="77777777" w:rsidR="008E6AB9" w:rsidRPr="008E6AB9" w:rsidRDefault="008E6AB9" w:rsidP="005E69DE">
            <w:pPr>
              <w:jc w:val="center"/>
              <w:rPr>
                <w:color w:val="000000" w:themeColor="text1"/>
              </w:rPr>
            </w:pPr>
            <w:r w:rsidRPr="008E6AB9">
              <w:rPr>
                <w:color w:val="000000" w:themeColor="text1"/>
              </w:rPr>
              <w:t>103%</w:t>
            </w:r>
          </w:p>
        </w:tc>
        <w:tc>
          <w:tcPr>
            <w:tcW w:w="1350" w:type="dxa"/>
            <w:vAlign w:val="center"/>
          </w:tcPr>
          <w:p w14:paraId="7D46A94F" w14:textId="77777777" w:rsidR="008E6AB9" w:rsidRPr="005E69DE" w:rsidRDefault="008E6AB9" w:rsidP="005E69DE">
            <w:pPr>
              <w:jc w:val="center"/>
              <w:rPr>
                <w:b/>
                <w:color w:val="000000" w:themeColor="text1"/>
              </w:rPr>
            </w:pPr>
            <w:r w:rsidRPr="005E69DE">
              <w:rPr>
                <w:b/>
                <w:color w:val="000000" w:themeColor="text1"/>
              </w:rPr>
              <w:t>2012 - 2014</w:t>
            </w:r>
          </w:p>
        </w:tc>
        <w:tc>
          <w:tcPr>
            <w:tcW w:w="1260" w:type="dxa"/>
            <w:vAlign w:val="center"/>
          </w:tcPr>
          <w:p w14:paraId="1ADA24FA" w14:textId="77777777" w:rsidR="008E6AB9" w:rsidRPr="008E6AB9" w:rsidRDefault="008E6AB9" w:rsidP="005E69DE">
            <w:pPr>
              <w:jc w:val="center"/>
              <w:rPr>
                <w:color w:val="000000" w:themeColor="text1"/>
              </w:rPr>
            </w:pPr>
            <w:r w:rsidRPr="008E6AB9">
              <w:rPr>
                <w:color w:val="000000" w:themeColor="text1"/>
              </w:rPr>
              <w:t>112%</w:t>
            </w:r>
          </w:p>
        </w:tc>
      </w:tr>
      <w:tr w:rsidR="008E6AB9" w:rsidRPr="008E6AB9" w14:paraId="66B08F56" w14:textId="77777777" w:rsidTr="005E69DE">
        <w:tc>
          <w:tcPr>
            <w:tcW w:w="1710" w:type="dxa"/>
            <w:vAlign w:val="center"/>
          </w:tcPr>
          <w:p w14:paraId="6D986D92" w14:textId="77777777" w:rsidR="008E6AB9" w:rsidRPr="005E69DE" w:rsidRDefault="008E6AB9" w:rsidP="005E69DE">
            <w:pPr>
              <w:jc w:val="center"/>
              <w:rPr>
                <w:b/>
                <w:i/>
                <w:color w:val="000000" w:themeColor="text1"/>
              </w:rPr>
            </w:pPr>
            <w:r w:rsidRPr="005E69DE">
              <w:rPr>
                <w:b/>
                <w:i/>
                <w:color w:val="000000" w:themeColor="text1"/>
              </w:rPr>
              <w:t>% Change</w:t>
            </w:r>
          </w:p>
        </w:tc>
        <w:tc>
          <w:tcPr>
            <w:tcW w:w="1260" w:type="dxa"/>
            <w:vAlign w:val="center"/>
          </w:tcPr>
          <w:p w14:paraId="0BB06AF6" w14:textId="77777777" w:rsidR="008E6AB9" w:rsidRPr="005E69DE" w:rsidRDefault="008E6AB9" w:rsidP="005E69DE">
            <w:pPr>
              <w:jc w:val="center"/>
              <w:rPr>
                <w:i/>
                <w:color w:val="000000" w:themeColor="text1"/>
              </w:rPr>
            </w:pPr>
            <w:r w:rsidRPr="005E69DE">
              <w:rPr>
                <w:i/>
                <w:color w:val="000000" w:themeColor="text1"/>
              </w:rPr>
              <w:t>14%</w:t>
            </w:r>
          </w:p>
        </w:tc>
        <w:tc>
          <w:tcPr>
            <w:tcW w:w="1350" w:type="dxa"/>
            <w:vAlign w:val="center"/>
          </w:tcPr>
          <w:p w14:paraId="0A0408A8" w14:textId="77777777" w:rsidR="008E6AB9" w:rsidRPr="005E69DE" w:rsidRDefault="008E6AB9" w:rsidP="005E69DE">
            <w:pPr>
              <w:jc w:val="center"/>
              <w:rPr>
                <w:b/>
                <w:i/>
                <w:color w:val="000000" w:themeColor="text1"/>
              </w:rPr>
            </w:pPr>
            <w:r w:rsidRPr="005E69DE">
              <w:rPr>
                <w:b/>
                <w:i/>
                <w:color w:val="000000" w:themeColor="text1"/>
              </w:rPr>
              <w:t>% Change</w:t>
            </w:r>
          </w:p>
        </w:tc>
        <w:tc>
          <w:tcPr>
            <w:tcW w:w="1260" w:type="dxa"/>
            <w:vAlign w:val="center"/>
          </w:tcPr>
          <w:p w14:paraId="57CCCBBA" w14:textId="77777777" w:rsidR="008E6AB9" w:rsidRPr="005E69DE" w:rsidRDefault="008E6AB9" w:rsidP="005E69DE">
            <w:pPr>
              <w:jc w:val="center"/>
              <w:rPr>
                <w:i/>
                <w:color w:val="000000" w:themeColor="text1"/>
              </w:rPr>
            </w:pPr>
            <w:r w:rsidRPr="005E69DE">
              <w:rPr>
                <w:i/>
                <w:color w:val="000000" w:themeColor="text1"/>
              </w:rPr>
              <w:t>9%</w:t>
            </w:r>
          </w:p>
        </w:tc>
      </w:tr>
      <w:tr w:rsidR="008E6AB9" w:rsidRPr="008E6AB9" w14:paraId="11C28396" w14:textId="77777777" w:rsidTr="005E69DE">
        <w:tc>
          <w:tcPr>
            <w:tcW w:w="1710" w:type="dxa"/>
            <w:vAlign w:val="center"/>
          </w:tcPr>
          <w:p w14:paraId="1E77BE3F" w14:textId="77777777" w:rsidR="008E6AB9" w:rsidRPr="005E69DE" w:rsidRDefault="008E6AB9" w:rsidP="005E69DE">
            <w:pPr>
              <w:jc w:val="center"/>
              <w:rPr>
                <w:b/>
                <w:color w:val="000000" w:themeColor="text1"/>
              </w:rPr>
            </w:pPr>
            <w:r w:rsidRPr="005E69DE">
              <w:rPr>
                <w:b/>
                <w:color w:val="000000" w:themeColor="text1"/>
              </w:rPr>
              <w:t>2012 - 2014</w:t>
            </w:r>
          </w:p>
        </w:tc>
        <w:tc>
          <w:tcPr>
            <w:tcW w:w="1260" w:type="dxa"/>
            <w:vAlign w:val="center"/>
          </w:tcPr>
          <w:p w14:paraId="72CA2EDB" w14:textId="77777777" w:rsidR="008E6AB9" w:rsidRPr="008E6AB9" w:rsidRDefault="008E6AB9" w:rsidP="005E69DE">
            <w:pPr>
              <w:jc w:val="center"/>
              <w:rPr>
                <w:color w:val="000000" w:themeColor="text1"/>
              </w:rPr>
            </w:pPr>
            <w:r w:rsidRPr="008E6AB9">
              <w:rPr>
                <w:color w:val="000000" w:themeColor="text1"/>
              </w:rPr>
              <w:t>94%</w:t>
            </w:r>
          </w:p>
        </w:tc>
        <w:tc>
          <w:tcPr>
            <w:tcW w:w="1350" w:type="dxa"/>
            <w:vAlign w:val="center"/>
          </w:tcPr>
          <w:p w14:paraId="51747BB2" w14:textId="77777777" w:rsidR="008E6AB9" w:rsidRPr="008E6AB9" w:rsidRDefault="008E6AB9" w:rsidP="005E69DE">
            <w:pPr>
              <w:jc w:val="center"/>
              <w:rPr>
                <w:color w:val="000000" w:themeColor="text1"/>
              </w:rPr>
            </w:pPr>
          </w:p>
        </w:tc>
        <w:tc>
          <w:tcPr>
            <w:tcW w:w="1260" w:type="dxa"/>
            <w:vAlign w:val="center"/>
          </w:tcPr>
          <w:p w14:paraId="7CBA4A54" w14:textId="77777777" w:rsidR="008E6AB9" w:rsidRPr="008E6AB9" w:rsidRDefault="008E6AB9" w:rsidP="005E69DE">
            <w:pPr>
              <w:jc w:val="center"/>
              <w:rPr>
                <w:color w:val="000000" w:themeColor="text1"/>
              </w:rPr>
            </w:pPr>
          </w:p>
        </w:tc>
      </w:tr>
    </w:tbl>
    <w:p w14:paraId="444BF81B" w14:textId="77777777" w:rsidR="008E6AB9" w:rsidRPr="005E69DE" w:rsidRDefault="008E6AB9" w:rsidP="001D254D">
      <w:pPr>
        <w:pStyle w:val="ListParagraph"/>
        <w:numPr>
          <w:ilvl w:val="0"/>
          <w:numId w:val="3"/>
        </w:numPr>
        <w:spacing w:after="0"/>
        <w:rPr>
          <w:color w:val="FF0000"/>
        </w:rPr>
      </w:pPr>
      <w:r w:rsidRPr="005E69DE">
        <w:rPr>
          <w:color w:val="000000" w:themeColor="text1"/>
        </w:rPr>
        <w:t xml:space="preserve">As for the lump sum experience, there seems to be a greater trend in the experience of the Cobra Life book than that in the industry experience. Cobra Life’s </w:t>
      </w:r>
      <w:r w:rsidRPr="005E69DE">
        <w:rPr>
          <w:color w:val="FF0000"/>
        </w:rPr>
        <w:t xml:space="preserve">exposure to individual disability income also increased significantly </w:t>
      </w:r>
      <w:r w:rsidRPr="005E69DE">
        <w:rPr>
          <w:color w:val="000000" w:themeColor="text1"/>
        </w:rPr>
        <w:t xml:space="preserve">over the period to 2011. Given the high levels of new business, this may imply that the business being written is showing more trend than that being seen in the industry as a whole. However, it is worth noting that the amount of business on which </w:t>
      </w:r>
      <w:r w:rsidRPr="005E69DE">
        <w:rPr>
          <w:color w:val="FF0000"/>
        </w:rPr>
        <w:t>this assessment is based is much less than for individual lump sum so the data may not be credible.</w:t>
      </w:r>
    </w:p>
    <w:p w14:paraId="3179F7F4" w14:textId="77777777" w:rsidR="008E6AB9" w:rsidRPr="005E69DE" w:rsidRDefault="008E6AB9" w:rsidP="001D254D">
      <w:pPr>
        <w:pStyle w:val="ListParagraph"/>
        <w:numPr>
          <w:ilvl w:val="0"/>
          <w:numId w:val="3"/>
        </w:numPr>
        <w:spacing w:after="0"/>
        <w:rPr>
          <w:color w:val="000000" w:themeColor="text1"/>
        </w:rPr>
      </w:pPr>
      <w:r w:rsidRPr="005E69DE">
        <w:rPr>
          <w:color w:val="000000" w:themeColor="text1"/>
        </w:rPr>
        <w:t xml:space="preserve">The majority of the Cobra Life’s exposure on the disability income business since 2012 comes from the book of claims that was purchased in 2012. </w:t>
      </w:r>
      <w:r w:rsidRPr="005E69DE">
        <w:rPr>
          <w:color w:val="00B050"/>
        </w:rPr>
        <w:t>For the 3 years since 2012, the actual to expected experience of the entire disability income portfolio has been 94%. This would tend to suggest that the trend risk of the purchased portfolio of claims is less than that of the remainder of the disability income business</w:t>
      </w:r>
      <w:r w:rsidRPr="005E69DE">
        <w:rPr>
          <w:color w:val="000000" w:themeColor="text1"/>
        </w:rPr>
        <w:t>.</w:t>
      </w:r>
    </w:p>
    <w:p w14:paraId="2F2A24CF" w14:textId="279FA266" w:rsidR="008E6AB9" w:rsidRPr="005E69DE" w:rsidRDefault="008E6AB9" w:rsidP="001D254D">
      <w:pPr>
        <w:pStyle w:val="ListParagraph"/>
        <w:numPr>
          <w:ilvl w:val="0"/>
          <w:numId w:val="3"/>
        </w:numPr>
        <w:spacing w:after="0"/>
        <w:rPr>
          <w:color w:val="000000" w:themeColor="text1"/>
        </w:rPr>
      </w:pPr>
      <w:r w:rsidRPr="005E69DE">
        <w:rPr>
          <w:color w:val="000000" w:themeColor="text1"/>
        </w:rPr>
        <w:t xml:space="preserve">As for lump sum business, </w:t>
      </w:r>
      <w:r w:rsidRPr="005E69DE">
        <w:rPr>
          <w:color w:val="FF0000"/>
        </w:rPr>
        <w:t xml:space="preserve">there are additional factors that can lead to future trends in the data. This can include economic factors, changes in the prevalence of mental illness etc. It is worth noting that the purchased book of claims only has termination risk as compared to the remainder of the business that </w:t>
      </w:r>
      <w:r w:rsidR="005E69DE">
        <w:rPr>
          <w:color w:val="FF0000"/>
        </w:rPr>
        <w:t xml:space="preserve">also </w:t>
      </w:r>
      <w:r w:rsidRPr="005E69DE">
        <w:rPr>
          <w:color w:val="FF0000"/>
        </w:rPr>
        <w:t>has incidence risk</w:t>
      </w:r>
      <w:r w:rsidRPr="005E69DE">
        <w:rPr>
          <w:color w:val="000000" w:themeColor="text1"/>
        </w:rPr>
        <w:t>. It is also worth noting that the volume of the data for this business is far less than individual lump sum (and hence, there is greater uncertainty relating to the underlying best estimate assumptions for this business compared to individual lump sum).</w:t>
      </w:r>
    </w:p>
    <w:p w14:paraId="31D11572" w14:textId="7ED2D284" w:rsidR="002F67AD" w:rsidRPr="005E69DE" w:rsidRDefault="008E6AB9" w:rsidP="001D254D">
      <w:pPr>
        <w:pStyle w:val="ListParagraph"/>
        <w:numPr>
          <w:ilvl w:val="0"/>
          <w:numId w:val="3"/>
        </w:numPr>
        <w:spacing w:after="0"/>
        <w:rPr>
          <w:color w:val="000000" w:themeColor="text1"/>
        </w:rPr>
      </w:pPr>
      <w:r w:rsidRPr="005E69DE">
        <w:rPr>
          <w:color w:val="000000" w:themeColor="text1"/>
        </w:rPr>
        <w:t>Given, this I recommend that a future risk margin in the range of 25% - 50% for the individual disability income business sold by Cobra would be appropriate. I recommend 40%. For the book that was purchased from ASP Life, a range of 15% - 35% would be appropriate. I recommend 20%.</w:t>
      </w:r>
    </w:p>
    <w:p w14:paraId="3D30913A" w14:textId="77777777" w:rsidR="002F67AD" w:rsidRDefault="002F67AD" w:rsidP="002F67AD">
      <w:pPr>
        <w:spacing w:after="0"/>
        <w:rPr>
          <w:color w:val="000000" w:themeColor="text1"/>
        </w:rPr>
      </w:pPr>
    </w:p>
    <w:p w14:paraId="694CE0DD" w14:textId="77777777" w:rsidR="00BE3434" w:rsidRPr="00DB023B" w:rsidRDefault="000E3D0C" w:rsidP="00BE3434">
      <w:pPr>
        <w:spacing w:after="0"/>
        <w:rPr>
          <w:b/>
          <w:color w:val="000000" w:themeColor="text1"/>
        </w:rPr>
      </w:pPr>
      <w:r>
        <w:rPr>
          <w:color w:val="000000" w:themeColor="text1"/>
        </w:rPr>
        <w:t xml:space="preserve">1b) </w:t>
      </w:r>
      <w:r w:rsidR="00BE3434" w:rsidRPr="00DB023B">
        <w:rPr>
          <w:b/>
          <w:color w:val="000000" w:themeColor="text1"/>
        </w:rPr>
        <w:t>Insurance Risk Charge</w:t>
      </w:r>
    </w:p>
    <w:p w14:paraId="455B6935" w14:textId="77777777" w:rsidR="00BE3434" w:rsidRPr="00BE3434" w:rsidRDefault="00BE3434" w:rsidP="00BE3434">
      <w:pPr>
        <w:spacing w:after="0"/>
        <w:rPr>
          <w:b/>
          <w:color w:val="FF0000"/>
        </w:rPr>
      </w:pPr>
      <w:r w:rsidRPr="00BE3434">
        <w:rPr>
          <w:b/>
          <w:color w:val="FF0000"/>
        </w:rPr>
        <w:t>Insurance Risk Charge (pre-tax) = Stressed Policy Liabilities – Adjusted Policy Liabilities</w:t>
      </w:r>
    </w:p>
    <w:p w14:paraId="337E4680" w14:textId="25A2B5DF" w:rsidR="00BE3434" w:rsidRPr="00BE3434" w:rsidRDefault="00BE3434" w:rsidP="00BE3434">
      <w:pPr>
        <w:spacing w:after="0"/>
        <w:rPr>
          <w:i/>
          <w:color w:val="000000" w:themeColor="text1"/>
        </w:rPr>
      </w:pPr>
      <w:proofErr w:type="gramStart"/>
      <w:r w:rsidRPr="00BE3434">
        <w:rPr>
          <w:i/>
          <w:color w:val="000000" w:themeColor="text1"/>
        </w:rPr>
        <w:t>where</w:t>
      </w:r>
      <w:proofErr w:type="gramEnd"/>
    </w:p>
    <w:p w14:paraId="5EDFF7CF" w14:textId="0E636363" w:rsidR="00BE3434" w:rsidRPr="00BE3434" w:rsidRDefault="00BE3434" w:rsidP="00BE3434">
      <w:pPr>
        <w:spacing w:after="0"/>
        <w:rPr>
          <w:color w:val="FF0000"/>
        </w:rPr>
      </w:pPr>
      <w:r w:rsidRPr="00BE3434">
        <w:rPr>
          <w:color w:val="FF0000"/>
        </w:rPr>
        <w:t>Stressed Policy Liabilities = Stressed Active Lives Policy Liability</w:t>
      </w:r>
    </w:p>
    <w:p w14:paraId="5132AD12" w14:textId="336A4838" w:rsidR="00BE3434" w:rsidRPr="00BE3434" w:rsidRDefault="00BE3434" w:rsidP="00BE3434">
      <w:pPr>
        <w:spacing w:after="0"/>
        <w:rPr>
          <w:color w:val="FF0000"/>
        </w:rPr>
      </w:pPr>
      <w:r w:rsidRPr="00BE3434">
        <w:rPr>
          <w:color w:val="FF0000"/>
        </w:rPr>
        <w:tab/>
      </w:r>
      <w:r w:rsidRPr="00BE3434">
        <w:rPr>
          <w:color w:val="FF0000"/>
        </w:rPr>
        <w:tab/>
      </w:r>
      <w:r w:rsidRPr="00BE3434">
        <w:rPr>
          <w:color w:val="FF0000"/>
        </w:rPr>
        <w:tab/>
        <w:t xml:space="preserve">  + Stressed IBNR</w:t>
      </w:r>
    </w:p>
    <w:p w14:paraId="464C8764" w14:textId="0F615FBE" w:rsidR="000E3D0C" w:rsidRPr="00BE3434" w:rsidRDefault="00BE3434" w:rsidP="00BE3434">
      <w:pPr>
        <w:spacing w:after="0"/>
        <w:rPr>
          <w:color w:val="FF0000"/>
        </w:rPr>
      </w:pPr>
      <w:r w:rsidRPr="00BE3434">
        <w:rPr>
          <w:color w:val="FF0000"/>
        </w:rPr>
        <w:lastRenderedPageBreak/>
        <w:tab/>
      </w:r>
      <w:r w:rsidRPr="00BE3434">
        <w:rPr>
          <w:color w:val="FF0000"/>
        </w:rPr>
        <w:tab/>
      </w:r>
      <w:r w:rsidRPr="00BE3434">
        <w:rPr>
          <w:color w:val="FF0000"/>
        </w:rPr>
        <w:tab/>
        <w:t xml:space="preserve">  + Stressed DLR</w:t>
      </w:r>
    </w:p>
    <w:p w14:paraId="391CA0F2" w14:textId="77777777" w:rsidR="00564289" w:rsidRPr="00BE3434" w:rsidRDefault="00564289" w:rsidP="002F67AD">
      <w:pPr>
        <w:spacing w:after="0"/>
        <w:rPr>
          <w:color w:val="FF0000"/>
        </w:rPr>
      </w:pPr>
    </w:p>
    <w:p w14:paraId="22B1071B" w14:textId="77777777" w:rsidR="00BE3434" w:rsidRPr="00BE3434" w:rsidRDefault="00BE3434" w:rsidP="00BE3434">
      <w:pPr>
        <w:spacing w:after="0"/>
        <w:rPr>
          <w:color w:val="FF0000"/>
        </w:rPr>
      </w:pPr>
      <w:r w:rsidRPr="002E74B3">
        <w:rPr>
          <w:b/>
          <w:color w:val="FF0000"/>
        </w:rPr>
        <w:t>Adjusted Policy Liabilities</w:t>
      </w:r>
      <w:r w:rsidRPr="00BE3434">
        <w:rPr>
          <w:color w:val="FF0000"/>
        </w:rPr>
        <w:t xml:space="preserve"> = max (RFBEL for all policies, </w:t>
      </w:r>
      <w:r w:rsidRPr="00BE3434">
        <w:rPr>
          <w:color w:val="FF0000"/>
          <w:u w:val="single"/>
        </w:rPr>
        <w:t>minimum termination value</w:t>
      </w:r>
      <w:r w:rsidRPr="00BE3434">
        <w:rPr>
          <w:color w:val="FF0000"/>
        </w:rPr>
        <w:t>)</w:t>
      </w:r>
    </w:p>
    <w:p w14:paraId="1A573EA8" w14:textId="32672B5C" w:rsidR="00564289" w:rsidRPr="00BE3434" w:rsidRDefault="00BE3434" w:rsidP="00BE3434">
      <w:pPr>
        <w:spacing w:after="0"/>
        <w:rPr>
          <w:color w:val="FF0000"/>
        </w:rPr>
      </w:pPr>
      <w:r w:rsidRPr="00BE3434">
        <w:rPr>
          <w:color w:val="FF0000"/>
        </w:rPr>
        <w:tab/>
      </w:r>
      <w:r w:rsidRPr="00BE3434">
        <w:rPr>
          <w:color w:val="FF0000"/>
        </w:rPr>
        <w:tab/>
      </w:r>
      <w:r w:rsidRPr="00BE3434">
        <w:rPr>
          <w:color w:val="FF0000"/>
        </w:rPr>
        <w:tab/>
        <w:t xml:space="preserve">   = max (Active Lives RFBEL + IBNR + DLR, </w:t>
      </w:r>
      <w:r w:rsidRPr="00BE3434">
        <w:rPr>
          <w:color w:val="FF0000"/>
          <w:u w:val="single"/>
        </w:rPr>
        <w:t>IBNR + DLR</w:t>
      </w:r>
      <w:r w:rsidRPr="00BE3434">
        <w:rPr>
          <w:color w:val="FF0000"/>
        </w:rPr>
        <w:t>)</w:t>
      </w:r>
    </w:p>
    <w:p w14:paraId="22967C9B" w14:textId="77777777" w:rsidR="003C1E30" w:rsidRDefault="003C1E30" w:rsidP="002F67AD">
      <w:pPr>
        <w:spacing w:after="0"/>
        <w:rPr>
          <w:color w:val="000000" w:themeColor="text1"/>
        </w:rPr>
      </w:pPr>
    </w:p>
    <w:p w14:paraId="6A56B771" w14:textId="77777777" w:rsidR="00DB023B" w:rsidRPr="00DB023B" w:rsidRDefault="00DB023B" w:rsidP="00DB023B">
      <w:pPr>
        <w:spacing w:after="0"/>
        <w:rPr>
          <w:b/>
          <w:color w:val="000000" w:themeColor="text1"/>
        </w:rPr>
      </w:pPr>
      <w:r w:rsidRPr="00DB023B">
        <w:rPr>
          <w:b/>
          <w:color w:val="000000" w:themeColor="text1"/>
        </w:rPr>
        <w:t>Aggregation Benefit</w:t>
      </w:r>
    </w:p>
    <w:p w14:paraId="1BC867C8" w14:textId="77777777" w:rsidR="00DB023B" w:rsidRPr="00DB023B" w:rsidRDefault="00DB023B" w:rsidP="00DB023B">
      <w:pPr>
        <w:spacing w:after="0"/>
        <w:rPr>
          <w:color w:val="000000" w:themeColor="text1"/>
        </w:rPr>
      </w:pPr>
      <w:r w:rsidRPr="00DB023B">
        <w:rPr>
          <w:color w:val="000000" w:themeColor="text1"/>
        </w:rPr>
        <w:t>Paragraph 37 of LPS110 defines the aggregation benefit as:</w:t>
      </w:r>
    </w:p>
    <w:p w14:paraId="4918DD63" w14:textId="644E8C0C" w:rsidR="00DB023B" w:rsidRPr="001B499D" w:rsidRDefault="00DB023B" w:rsidP="00DB023B">
      <w:pPr>
        <w:spacing w:after="0"/>
        <w:rPr>
          <w:i/>
          <w:color w:val="FF0000"/>
        </w:rPr>
      </w:pPr>
      <w:r w:rsidRPr="001B499D">
        <w:rPr>
          <w:i/>
          <w:color w:val="FF0000"/>
        </w:rPr>
        <w:tab/>
        <w:t>Aggregation Benefit = (A+I) – (A</w:t>
      </w:r>
      <w:r w:rsidRPr="001B499D">
        <w:rPr>
          <w:i/>
          <w:color w:val="FF0000"/>
          <w:vertAlign w:val="superscript"/>
        </w:rPr>
        <w:t>2</w:t>
      </w:r>
      <w:r w:rsidRPr="001B499D">
        <w:rPr>
          <w:i/>
          <w:color w:val="FF0000"/>
        </w:rPr>
        <w:t>+I</w:t>
      </w:r>
      <w:r w:rsidRPr="001B499D">
        <w:rPr>
          <w:i/>
          <w:color w:val="FF0000"/>
          <w:vertAlign w:val="superscript"/>
        </w:rPr>
        <w:t>2</w:t>
      </w:r>
      <w:r w:rsidRPr="001B499D">
        <w:rPr>
          <w:i/>
          <w:color w:val="FF0000"/>
        </w:rPr>
        <w:t>+2*correlation*A*I</w:t>
      </w:r>
      <w:proofErr w:type="gramStart"/>
      <w:r w:rsidRPr="001B499D">
        <w:rPr>
          <w:i/>
          <w:color w:val="FF0000"/>
        </w:rPr>
        <w:t>)</w:t>
      </w:r>
      <w:r w:rsidRPr="001B499D">
        <w:rPr>
          <w:i/>
          <w:color w:val="FF0000"/>
          <w:vertAlign w:val="superscript"/>
        </w:rPr>
        <w:t>0.5</w:t>
      </w:r>
      <w:proofErr w:type="gramEnd"/>
    </w:p>
    <w:p w14:paraId="3545A1A9" w14:textId="7242358D" w:rsidR="00DB023B" w:rsidRPr="001B499D" w:rsidRDefault="00DB023B" w:rsidP="00DB023B">
      <w:pPr>
        <w:spacing w:after="0"/>
        <w:rPr>
          <w:i/>
          <w:color w:val="000000" w:themeColor="text1"/>
        </w:rPr>
      </w:pPr>
      <w:proofErr w:type="gramStart"/>
      <w:r w:rsidRPr="001B499D">
        <w:rPr>
          <w:i/>
          <w:color w:val="000000" w:themeColor="text1"/>
        </w:rPr>
        <w:t>where</w:t>
      </w:r>
      <w:proofErr w:type="gramEnd"/>
      <w:r w:rsidRPr="001B499D">
        <w:rPr>
          <w:i/>
          <w:color w:val="000000" w:themeColor="text1"/>
        </w:rPr>
        <w:t>:</w:t>
      </w:r>
    </w:p>
    <w:p w14:paraId="3EC5FC24" w14:textId="5E5D3EBA" w:rsidR="001B499D" w:rsidRDefault="001B499D" w:rsidP="001B499D">
      <w:pPr>
        <w:spacing w:after="0"/>
        <w:rPr>
          <w:color w:val="000000" w:themeColor="text1"/>
        </w:rPr>
      </w:pPr>
      <w:r>
        <w:rPr>
          <w:color w:val="000000" w:themeColor="text1"/>
        </w:rPr>
        <w:t>“</w:t>
      </w:r>
      <w:r w:rsidRPr="001B499D">
        <w:rPr>
          <w:color w:val="000000" w:themeColor="text1"/>
        </w:rPr>
        <w:t>A</w:t>
      </w:r>
      <w:r>
        <w:rPr>
          <w:color w:val="000000" w:themeColor="text1"/>
        </w:rPr>
        <w:t>”</w:t>
      </w:r>
      <w:r w:rsidRPr="001B499D">
        <w:rPr>
          <w:color w:val="000000" w:themeColor="text1"/>
        </w:rPr>
        <w:t xml:space="preserve"> is the Asset Risk Charge;</w:t>
      </w:r>
    </w:p>
    <w:p w14:paraId="28C750C9" w14:textId="3533F274" w:rsidR="001B499D" w:rsidRPr="001B499D" w:rsidRDefault="001B499D" w:rsidP="001B499D">
      <w:pPr>
        <w:spacing w:after="0"/>
        <w:rPr>
          <w:color w:val="000000" w:themeColor="text1"/>
        </w:rPr>
      </w:pPr>
      <w:r>
        <w:rPr>
          <w:color w:val="000000" w:themeColor="text1"/>
        </w:rPr>
        <w:t>“I”</w:t>
      </w:r>
      <w:r w:rsidRPr="001B499D">
        <w:rPr>
          <w:color w:val="000000" w:themeColor="text1"/>
        </w:rPr>
        <w:t xml:space="preserve"> is the Insurance Risk Charge; </w:t>
      </w:r>
    </w:p>
    <w:p w14:paraId="0172ED5D" w14:textId="77D7BD0B" w:rsidR="001B499D" w:rsidRPr="001B499D" w:rsidRDefault="001B499D" w:rsidP="001B499D">
      <w:pPr>
        <w:spacing w:after="0"/>
        <w:rPr>
          <w:color w:val="000000" w:themeColor="text1"/>
        </w:rPr>
      </w:pPr>
      <w:r>
        <w:rPr>
          <w:color w:val="000000" w:themeColor="text1"/>
        </w:rPr>
        <w:t>“</w:t>
      </w:r>
      <w:proofErr w:type="gramStart"/>
      <w:r w:rsidRPr="001B499D">
        <w:rPr>
          <w:color w:val="000000" w:themeColor="text1"/>
        </w:rPr>
        <w:t>correlation</w:t>
      </w:r>
      <w:proofErr w:type="gramEnd"/>
      <w:r>
        <w:rPr>
          <w:color w:val="000000" w:themeColor="text1"/>
        </w:rPr>
        <w:t>”</w:t>
      </w:r>
      <w:r w:rsidRPr="001B499D">
        <w:rPr>
          <w:color w:val="000000" w:themeColor="text1"/>
        </w:rPr>
        <w:t xml:space="preserve"> is </w:t>
      </w:r>
      <w:r>
        <w:rPr>
          <w:color w:val="000000" w:themeColor="text1"/>
        </w:rPr>
        <w:t>20%</w:t>
      </w:r>
      <w:r w:rsidRPr="001B499D">
        <w:rPr>
          <w:color w:val="000000" w:themeColor="text1"/>
        </w:rPr>
        <w:t>.</w:t>
      </w:r>
    </w:p>
    <w:p w14:paraId="179771AA" w14:textId="77777777" w:rsidR="00DB023B" w:rsidRDefault="00DB023B" w:rsidP="00DB023B">
      <w:pPr>
        <w:spacing w:after="0"/>
        <w:rPr>
          <w:color w:val="000000" w:themeColor="text1"/>
        </w:rPr>
      </w:pPr>
    </w:p>
    <w:p w14:paraId="3E4BD2DB" w14:textId="77777777" w:rsidR="001B499D" w:rsidRPr="001B499D" w:rsidRDefault="001B499D" w:rsidP="001B499D">
      <w:pPr>
        <w:spacing w:after="0"/>
        <w:rPr>
          <w:b/>
          <w:color w:val="000000" w:themeColor="text1"/>
        </w:rPr>
      </w:pPr>
      <w:r w:rsidRPr="001B499D">
        <w:rPr>
          <w:b/>
          <w:color w:val="000000" w:themeColor="text1"/>
        </w:rPr>
        <w:t>Operational Risk Charge</w:t>
      </w:r>
    </w:p>
    <w:p w14:paraId="7DE4E6B5" w14:textId="4D6D3933" w:rsidR="001B499D" w:rsidRPr="001B499D" w:rsidRDefault="001B499D" w:rsidP="001B499D">
      <w:pPr>
        <w:spacing w:after="0"/>
        <w:rPr>
          <w:color w:val="FF0000"/>
        </w:rPr>
      </w:pPr>
      <w:r w:rsidRPr="001B499D">
        <w:rPr>
          <w:color w:val="FF0000"/>
        </w:rPr>
        <w:t>The operational risk charge is defined in LPS 118 as the following:</w:t>
      </w:r>
    </w:p>
    <w:p w14:paraId="5173B513" w14:textId="1BB438FF" w:rsidR="001B499D" w:rsidRPr="001B499D" w:rsidRDefault="001B499D" w:rsidP="001B499D">
      <w:pPr>
        <w:spacing w:after="0"/>
        <w:rPr>
          <w:color w:val="FF0000"/>
        </w:rPr>
      </w:pPr>
      <w:r w:rsidRPr="001B499D">
        <w:rPr>
          <w:color w:val="FF0000"/>
        </w:rPr>
        <w:t xml:space="preserve">ORCR = A × </w:t>
      </w:r>
      <w:proofErr w:type="gramStart"/>
      <w:r w:rsidRPr="001B499D">
        <w:rPr>
          <w:color w:val="FF0000"/>
        </w:rPr>
        <w:t>{ max</w:t>
      </w:r>
      <w:proofErr w:type="gramEnd"/>
      <w:r w:rsidRPr="001B499D">
        <w:rPr>
          <w:color w:val="FF0000"/>
        </w:rPr>
        <w:t>(GP1, NL1) + max(0, |GP1 – GP0| – 0.2 x GP0) }</w:t>
      </w:r>
    </w:p>
    <w:p w14:paraId="5EF67563" w14:textId="77777777" w:rsidR="001B499D" w:rsidRPr="001B499D" w:rsidRDefault="001B499D" w:rsidP="001B499D">
      <w:pPr>
        <w:spacing w:after="0"/>
        <w:rPr>
          <w:i/>
          <w:color w:val="000000" w:themeColor="text1"/>
        </w:rPr>
      </w:pPr>
      <w:proofErr w:type="gramStart"/>
      <w:r w:rsidRPr="001B499D">
        <w:rPr>
          <w:i/>
          <w:color w:val="000000" w:themeColor="text1"/>
        </w:rPr>
        <w:t>where</w:t>
      </w:r>
      <w:proofErr w:type="gramEnd"/>
      <w:r w:rsidRPr="001B499D">
        <w:rPr>
          <w:i/>
          <w:color w:val="000000" w:themeColor="text1"/>
        </w:rPr>
        <w:t>:</w:t>
      </w:r>
    </w:p>
    <w:p w14:paraId="30024EDA" w14:textId="4EDCE0FF" w:rsidR="001B499D" w:rsidRPr="001B499D" w:rsidRDefault="001B499D" w:rsidP="001B499D">
      <w:pPr>
        <w:spacing w:after="0"/>
        <w:rPr>
          <w:color w:val="000000" w:themeColor="text1"/>
        </w:rPr>
      </w:pPr>
      <w:r>
        <w:rPr>
          <w:color w:val="000000" w:themeColor="text1"/>
        </w:rPr>
        <w:t>(</w:t>
      </w:r>
      <w:proofErr w:type="gramStart"/>
      <w:r>
        <w:rPr>
          <w:color w:val="000000" w:themeColor="text1"/>
        </w:rPr>
        <w:t>a</w:t>
      </w:r>
      <w:proofErr w:type="gramEnd"/>
      <w:r>
        <w:rPr>
          <w:color w:val="000000" w:themeColor="text1"/>
        </w:rPr>
        <w:t xml:space="preserve">) A is 2% </w:t>
      </w:r>
      <w:r w:rsidRPr="001B499D">
        <w:rPr>
          <w:color w:val="000000" w:themeColor="text1"/>
        </w:rPr>
        <w:t xml:space="preserve">for a statutory fund that is a specialist reinsurer and </w:t>
      </w:r>
      <w:r>
        <w:rPr>
          <w:color w:val="000000" w:themeColor="text1"/>
        </w:rPr>
        <w:t>3%</w:t>
      </w:r>
      <w:r w:rsidRPr="001B499D">
        <w:rPr>
          <w:color w:val="000000" w:themeColor="text1"/>
        </w:rPr>
        <w:t xml:space="preserve"> for other funds;</w:t>
      </w:r>
    </w:p>
    <w:p w14:paraId="6397CCA5" w14:textId="77777777" w:rsidR="001B499D" w:rsidRPr="001B499D" w:rsidRDefault="001B499D" w:rsidP="001B499D">
      <w:pPr>
        <w:spacing w:after="0"/>
        <w:rPr>
          <w:color w:val="000000" w:themeColor="text1"/>
        </w:rPr>
      </w:pPr>
      <w:r w:rsidRPr="001B499D">
        <w:rPr>
          <w:color w:val="000000" w:themeColor="text1"/>
        </w:rPr>
        <w:t>(b) GP1 is premium income (gross of reinsurance) for the 12 months ending on the reporting date;</w:t>
      </w:r>
    </w:p>
    <w:p w14:paraId="5192D2C5" w14:textId="77777777" w:rsidR="001B499D" w:rsidRPr="001B499D" w:rsidRDefault="001B499D" w:rsidP="001B499D">
      <w:pPr>
        <w:spacing w:after="0"/>
        <w:rPr>
          <w:color w:val="000000" w:themeColor="text1"/>
        </w:rPr>
      </w:pPr>
      <w:r w:rsidRPr="001B499D">
        <w:rPr>
          <w:color w:val="000000" w:themeColor="text1"/>
        </w:rPr>
        <w:t>(c) NL1 is the adjusted policy liabilities (net of reinsurance) at the reporting date;</w:t>
      </w:r>
    </w:p>
    <w:p w14:paraId="08ACC0F0" w14:textId="77777777" w:rsidR="001B499D" w:rsidRPr="001B499D" w:rsidRDefault="001B499D" w:rsidP="001B499D">
      <w:pPr>
        <w:spacing w:after="0"/>
        <w:rPr>
          <w:color w:val="000000" w:themeColor="text1"/>
        </w:rPr>
      </w:pPr>
      <w:r w:rsidRPr="001B499D">
        <w:rPr>
          <w:color w:val="000000" w:themeColor="text1"/>
        </w:rPr>
        <w:t>(d) GP0 is premium income (gross of reinsurance) for the 12 months ending on the date 12 months prior to the reporting date; and</w:t>
      </w:r>
    </w:p>
    <w:p w14:paraId="2A7C3E31" w14:textId="667263D8" w:rsidR="001B499D" w:rsidRDefault="001B499D" w:rsidP="001B499D">
      <w:pPr>
        <w:spacing w:after="0"/>
        <w:rPr>
          <w:color w:val="000000" w:themeColor="text1"/>
        </w:rPr>
      </w:pPr>
      <w:r w:rsidRPr="001B499D">
        <w:rPr>
          <w:color w:val="000000" w:themeColor="text1"/>
        </w:rPr>
        <w:t>(e) |GP1 – GP0| is the absolute value of the difference between GP1 and GP0.</w:t>
      </w:r>
    </w:p>
    <w:p w14:paraId="27F04F24" w14:textId="77777777" w:rsidR="00DB023B" w:rsidRDefault="00DB023B" w:rsidP="00DB023B">
      <w:pPr>
        <w:spacing w:after="0"/>
        <w:rPr>
          <w:color w:val="000000" w:themeColor="text1"/>
        </w:rPr>
      </w:pPr>
    </w:p>
    <w:p w14:paraId="61DA8B48" w14:textId="77777777" w:rsidR="001B499D" w:rsidRPr="001B499D" w:rsidRDefault="001B499D" w:rsidP="001B499D">
      <w:pPr>
        <w:spacing w:after="0"/>
        <w:rPr>
          <w:b/>
          <w:color w:val="000000" w:themeColor="text1"/>
        </w:rPr>
      </w:pPr>
      <w:r w:rsidRPr="001B499D">
        <w:rPr>
          <w:b/>
          <w:color w:val="000000" w:themeColor="text1"/>
        </w:rPr>
        <w:t>Capital Base</w:t>
      </w:r>
    </w:p>
    <w:p w14:paraId="57FD7920" w14:textId="0EFF3515" w:rsidR="001B499D" w:rsidRPr="001B499D" w:rsidRDefault="001B499D" w:rsidP="001B499D">
      <w:pPr>
        <w:spacing w:after="0"/>
        <w:rPr>
          <w:color w:val="FF0000"/>
        </w:rPr>
      </w:pPr>
      <w:r w:rsidRPr="001B499D">
        <w:rPr>
          <w:color w:val="FF0000"/>
        </w:rPr>
        <w:t>Capital Base = Net Assets - Regulatory Adjustments to Capital Base</w:t>
      </w:r>
    </w:p>
    <w:p w14:paraId="07002CBC" w14:textId="77777777" w:rsidR="001B499D" w:rsidRDefault="001B499D" w:rsidP="001B499D">
      <w:pPr>
        <w:spacing w:after="0"/>
        <w:rPr>
          <w:color w:val="FF0000"/>
        </w:rPr>
      </w:pPr>
      <w:r w:rsidRPr="001B499D">
        <w:rPr>
          <w:color w:val="FF0000"/>
        </w:rPr>
        <w:t xml:space="preserve">Regulatory Adjustments to Capital Base = Adjusted </w:t>
      </w:r>
      <w:r>
        <w:rPr>
          <w:color w:val="FF0000"/>
        </w:rPr>
        <w:t>PL</w:t>
      </w:r>
      <w:r w:rsidRPr="001B499D">
        <w:rPr>
          <w:color w:val="FF0000"/>
        </w:rPr>
        <w:t xml:space="preserve"> – </w:t>
      </w:r>
      <w:r>
        <w:rPr>
          <w:color w:val="FF0000"/>
        </w:rPr>
        <w:t>PL</w:t>
      </w:r>
      <w:r w:rsidRPr="001B499D">
        <w:rPr>
          <w:color w:val="FF0000"/>
        </w:rPr>
        <w:t xml:space="preserve"> (both values net of reinsurance) </w:t>
      </w:r>
    </w:p>
    <w:p w14:paraId="21D65C31" w14:textId="52D52DC5" w:rsidR="001B499D" w:rsidRPr="002E74B3" w:rsidRDefault="001B499D" w:rsidP="00DB023B">
      <w:pPr>
        <w:spacing w:after="0"/>
        <w:rPr>
          <w:color w:val="FF0000"/>
        </w:rPr>
      </w:pPr>
      <w:r>
        <w:rPr>
          <w:color w:val="FF0000"/>
        </w:rPr>
        <w:tab/>
      </w:r>
      <w:r>
        <w:rPr>
          <w:color w:val="FF0000"/>
        </w:rPr>
        <w:tab/>
      </w:r>
      <w:r>
        <w:rPr>
          <w:color w:val="FF0000"/>
        </w:rPr>
        <w:tab/>
      </w:r>
      <w:r>
        <w:rPr>
          <w:color w:val="FF0000"/>
        </w:rPr>
        <w:tab/>
      </w:r>
      <w:r>
        <w:rPr>
          <w:color w:val="FF0000"/>
        </w:rPr>
        <w:tab/>
      </w:r>
      <w:r w:rsidRPr="001B499D">
        <w:rPr>
          <w:color w:val="FF0000"/>
        </w:rPr>
        <w:t>+ Deferred Tax Assets</w:t>
      </w:r>
    </w:p>
    <w:p w14:paraId="379B83DE" w14:textId="77777777" w:rsidR="001B499D" w:rsidRDefault="001B499D" w:rsidP="00DB023B">
      <w:pPr>
        <w:spacing w:after="0"/>
        <w:rPr>
          <w:color w:val="000000" w:themeColor="text1"/>
        </w:rPr>
      </w:pPr>
    </w:p>
    <w:p w14:paraId="131119FD" w14:textId="474F2AF7" w:rsidR="00670117" w:rsidRPr="00670117" w:rsidRDefault="003C1E30" w:rsidP="00670117">
      <w:pPr>
        <w:spacing w:after="0"/>
        <w:rPr>
          <w:i/>
          <w:color w:val="000000" w:themeColor="text1"/>
        </w:rPr>
      </w:pPr>
      <w:r>
        <w:rPr>
          <w:color w:val="000000" w:themeColor="text1"/>
        </w:rPr>
        <w:t>1</w:t>
      </w:r>
      <w:r w:rsidRPr="00564289">
        <w:rPr>
          <w:color w:val="000000" w:themeColor="text1"/>
        </w:rPr>
        <w:t>c)</w:t>
      </w:r>
      <w:r w:rsidR="00670117">
        <w:rPr>
          <w:color w:val="000000" w:themeColor="text1"/>
        </w:rPr>
        <w:t xml:space="preserve"> </w:t>
      </w:r>
      <w:proofErr w:type="spellStart"/>
      <w:r w:rsidR="00670117" w:rsidRPr="00670117">
        <w:rPr>
          <w:i/>
          <w:color w:val="000000" w:themeColor="text1"/>
        </w:rPr>
        <w:t>i</w:t>
      </w:r>
      <w:proofErr w:type="spellEnd"/>
      <w:r w:rsidR="00670117" w:rsidRPr="00670117">
        <w:rPr>
          <w:i/>
          <w:color w:val="000000" w:themeColor="text1"/>
        </w:rPr>
        <w:t>.</w:t>
      </w:r>
      <w:r w:rsidRPr="00670117">
        <w:rPr>
          <w:i/>
          <w:color w:val="000000" w:themeColor="text1"/>
        </w:rPr>
        <w:t xml:space="preserve"> </w:t>
      </w:r>
      <w:r w:rsidR="00670117" w:rsidRPr="00670117">
        <w:rPr>
          <w:i/>
          <w:color w:val="000000" w:themeColor="text1"/>
        </w:rPr>
        <w:t>Regulatory Adjustment to Net Assets</w:t>
      </w:r>
    </w:p>
    <w:p w14:paraId="121EC891" w14:textId="42FCFBC8" w:rsidR="00670117" w:rsidRPr="00670117" w:rsidRDefault="00670117" w:rsidP="001D254D">
      <w:pPr>
        <w:pStyle w:val="ListParagraph"/>
        <w:numPr>
          <w:ilvl w:val="0"/>
          <w:numId w:val="5"/>
        </w:numPr>
        <w:spacing w:after="0"/>
        <w:rPr>
          <w:color w:val="000000" w:themeColor="text1"/>
        </w:rPr>
      </w:pPr>
      <w:r w:rsidRPr="00670117">
        <w:rPr>
          <w:color w:val="000000" w:themeColor="text1"/>
        </w:rPr>
        <w:t>For the statutory fund</w:t>
      </w:r>
    </w:p>
    <w:p w14:paraId="42012B5B" w14:textId="198636A3" w:rsidR="00670117" w:rsidRPr="00670117" w:rsidRDefault="00670117" w:rsidP="001D254D">
      <w:pPr>
        <w:pStyle w:val="ListParagraph"/>
        <w:numPr>
          <w:ilvl w:val="1"/>
          <w:numId w:val="5"/>
        </w:numPr>
        <w:spacing w:after="0"/>
        <w:rPr>
          <w:color w:val="FF0000"/>
        </w:rPr>
      </w:pPr>
      <w:r w:rsidRPr="00670117">
        <w:rPr>
          <w:color w:val="000000" w:themeColor="text1"/>
        </w:rPr>
        <w:t xml:space="preserve">This generally refers to the </w:t>
      </w:r>
      <w:r w:rsidRPr="00670117">
        <w:rPr>
          <w:color w:val="FF0000"/>
        </w:rPr>
        <w:t>adjusted policy liabilities in excess of the reported policy liabilities.</w:t>
      </w:r>
      <w:r w:rsidRPr="00670117">
        <w:rPr>
          <w:color w:val="000000" w:themeColor="text1"/>
        </w:rPr>
        <w:t xml:space="preserve"> </w:t>
      </w:r>
      <w:r w:rsidRPr="00670117">
        <w:rPr>
          <w:color w:val="FF0000"/>
        </w:rPr>
        <w:t>The adjustment acts to reverse out any of the negative policy liabilities in the company’s balance sheet – i.e. the capital calculation does not take into account future profits (or DAC)</w:t>
      </w:r>
    </w:p>
    <w:p w14:paraId="41E9233E" w14:textId="0B268C09" w:rsidR="00670117" w:rsidRPr="00670117" w:rsidRDefault="00670117" w:rsidP="001D254D">
      <w:pPr>
        <w:pStyle w:val="ListParagraph"/>
        <w:numPr>
          <w:ilvl w:val="1"/>
          <w:numId w:val="5"/>
        </w:numPr>
        <w:spacing w:after="0"/>
        <w:rPr>
          <w:color w:val="000000" w:themeColor="text1"/>
        </w:rPr>
      </w:pPr>
      <w:r w:rsidRPr="00670117">
        <w:rPr>
          <w:color w:val="000000" w:themeColor="text1"/>
        </w:rPr>
        <w:t>It also relates to intangibles including goodwill or deferred tax assets.</w:t>
      </w:r>
    </w:p>
    <w:p w14:paraId="0237100B" w14:textId="54C49D2B" w:rsidR="003C1E30" w:rsidRPr="00670117" w:rsidRDefault="00670117" w:rsidP="001D254D">
      <w:pPr>
        <w:pStyle w:val="ListParagraph"/>
        <w:numPr>
          <w:ilvl w:val="0"/>
          <w:numId w:val="5"/>
        </w:numPr>
        <w:spacing w:after="0"/>
        <w:rPr>
          <w:color w:val="000000" w:themeColor="text1"/>
        </w:rPr>
      </w:pPr>
      <w:r w:rsidRPr="00670117">
        <w:rPr>
          <w:color w:val="000000" w:themeColor="text1"/>
        </w:rPr>
        <w:t>For the general</w:t>
      </w:r>
      <w:r>
        <w:rPr>
          <w:color w:val="000000" w:themeColor="text1"/>
        </w:rPr>
        <w:t xml:space="preserve"> (s/h)</w:t>
      </w:r>
      <w:r w:rsidRPr="00670117">
        <w:rPr>
          <w:color w:val="000000" w:themeColor="text1"/>
        </w:rPr>
        <w:t xml:space="preserve"> fund, the capital base should only include those capital instruments whose value will be available to the company at the point on “non-viability” (i.e. if the insurer is in trouble the capital from the instrument is available to the company at the company’s discretion).</w:t>
      </w:r>
    </w:p>
    <w:p w14:paraId="08B08A43" w14:textId="6BBF7B80" w:rsidR="00670117" w:rsidRPr="00670117" w:rsidRDefault="00670117" w:rsidP="001D254D">
      <w:pPr>
        <w:pStyle w:val="ListParagraph"/>
        <w:numPr>
          <w:ilvl w:val="1"/>
          <w:numId w:val="5"/>
        </w:numPr>
        <w:spacing w:after="0"/>
        <w:rPr>
          <w:color w:val="000000" w:themeColor="text1"/>
        </w:rPr>
      </w:pPr>
      <w:r w:rsidRPr="00670117">
        <w:rPr>
          <w:color w:val="000000" w:themeColor="text1"/>
        </w:rPr>
        <w:lastRenderedPageBreak/>
        <w:t>Some preference shares and subordinated debt meet this definition if they meet the conditions described in LPS112.</w:t>
      </w:r>
    </w:p>
    <w:p w14:paraId="0B403D9C" w14:textId="77B4E00A" w:rsidR="002F67AD" w:rsidRDefault="00670117" w:rsidP="00670117">
      <w:pPr>
        <w:spacing w:after="0"/>
        <w:rPr>
          <w:color w:val="000000" w:themeColor="text1"/>
        </w:rPr>
      </w:pPr>
      <w:r w:rsidRPr="00670117">
        <w:rPr>
          <w:color w:val="000000" w:themeColor="text1"/>
        </w:rPr>
        <w:t xml:space="preserve">For Cobra Life, </w:t>
      </w:r>
      <w:r w:rsidRPr="00670117">
        <w:rPr>
          <w:color w:val="FF0000"/>
        </w:rPr>
        <w:t>if the only capital is ordinary shares then there will be no regulatory adjustments within the general fund, only the statutory fund.</w:t>
      </w:r>
    </w:p>
    <w:p w14:paraId="15CE6180" w14:textId="77777777" w:rsidR="00670117" w:rsidRDefault="00670117" w:rsidP="00670117">
      <w:pPr>
        <w:spacing w:after="0"/>
        <w:rPr>
          <w:i/>
          <w:color w:val="000000" w:themeColor="text1"/>
        </w:rPr>
      </w:pPr>
    </w:p>
    <w:p w14:paraId="5CD43A2C" w14:textId="536FEABA" w:rsidR="00670117" w:rsidRPr="00670117" w:rsidRDefault="00D17662" w:rsidP="00670117">
      <w:pPr>
        <w:spacing w:after="0"/>
        <w:rPr>
          <w:i/>
          <w:color w:val="000000" w:themeColor="text1"/>
        </w:rPr>
      </w:pPr>
      <w:proofErr w:type="gramStart"/>
      <w:r>
        <w:rPr>
          <w:i/>
          <w:color w:val="000000" w:themeColor="text1"/>
        </w:rPr>
        <w:t xml:space="preserve">ii. </w:t>
      </w:r>
      <w:r w:rsidR="00670117" w:rsidRPr="00670117">
        <w:rPr>
          <w:i/>
          <w:color w:val="000000" w:themeColor="text1"/>
        </w:rPr>
        <w:t>Insurance</w:t>
      </w:r>
      <w:proofErr w:type="gramEnd"/>
      <w:r w:rsidR="00670117" w:rsidRPr="00670117">
        <w:rPr>
          <w:i/>
          <w:color w:val="000000" w:themeColor="text1"/>
        </w:rPr>
        <w:t xml:space="preserve"> Risk Charge of Zero</w:t>
      </w:r>
    </w:p>
    <w:p w14:paraId="54C8859F" w14:textId="3379F349" w:rsidR="00670117" w:rsidRPr="00E9777F" w:rsidRDefault="00670117" w:rsidP="001D254D">
      <w:pPr>
        <w:pStyle w:val="ListParagraph"/>
        <w:numPr>
          <w:ilvl w:val="0"/>
          <w:numId w:val="6"/>
        </w:numPr>
        <w:spacing w:after="0"/>
        <w:rPr>
          <w:color w:val="FF0000"/>
        </w:rPr>
      </w:pPr>
      <w:r w:rsidRPr="00E9777F">
        <w:rPr>
          <w:color w:val="FF0000"/>
        </w:rPr>
        <w:t>An insurance risk charge of zero can occur where the stressed policy liabilities (including stressed IBNR and stressed DLR) are less than zero.</w:t>
      </w:r>
    </w:p>
    <w:p w14:paraId="2BBB0439" w14:textId="45DEAA6B" w:rsidR="00670117" w:rsidRPr="00E9777F" w:rsidRDefault="00670117" w:rsidP="001D254D">
      <w:pPr>
        <w:pStyle w:val="ListParagraph"/>
        <w:numPr>
          <w:ilvl w:val="0"/>
          <w:numId w:val="6"/>
        </w:numPr>
        <w:spacing w:after="0"/>
        <w:rPr>
          <w:color w:val="000000" w:themeColor="text1"/>
        </w:rPr>
      </w:pPr>
      <w:r w:rsidRPr="00E9777F">
        <w:rPr>
          <w:color w:val="000000" w:themeColor="text1"/>
        </w:rPr>
        <w:t xml:space="preserve">This would typically </w:t>
      </w:r>
      <w:r w:rsidRPr="00E9777F">
        <w:rPr>
          <w:color w:val="FF0000"/>
        </w:rPr>
        <w:t>occur where there are large margins in the premiums charged by the insurer.</w:t>
      </w:r>
      <w:r w:rsidRPr="00E9777F">
        <w:rPr>
          <w:color w:val="000000" w:themeColor="text1"/>
        </w:rPr>
        <w:t xml:space="preserve"> This would typically be the case where</w:t>
      </w:r>
    </w:p>
    <w:p w14:paraId="409DC1EB" w14:textId="6D2A27AF" w:rsidR="00670117" w:rsidRPr="00E9777F" w:rsidRDefault="00670117" w:rsidP="001D254D">
      <w:pPr>
        <w:pStyle w:val="ListParagraph"/>
        <w:numPr>
          <w:ilvl w:val="1"/>
          <w:numId w:val="6"/>
        </w:numPr>
        <w:spacing w:after="0"/>
        <w:rPr>
          <w:color w:val="FF0000"/>
        </w:rPr>
      </w:pPr>
      <w:r w:rsidRPr="00E9777F">
        <w:rPr>
          <w:color w:val="FF0000"/>
        </w:rPr>
        <w:t>large up-front costs are incurred by the insurer and hence significant margins are built into the premium to recoup this cost; or</w:t>
      </w:r>
    </w:p>
    <w:p w14:paraId="7F252B96" w14:textId="0262A380" w:rsidR="00670117" w:rsidRPr="00E9777F" w:rsidRDefault="00670117" w:rsidP="001D254D">
      <w:pPr>
        <w:pStyle w:val="ListParagraph"/>
        <w:numPr>
          <w:ilvl w:val="1"/>
          <w:numId w:val="6"/>
        </w:numPr>
        <w:spacing w:after="0"/>
        <w:rPr>
          <w:color w:val="FF0000"/>
        </w:rPr>
      </w:pPr>
      <w:proofErr w:type="gramStart"/>
      <w:r w:rsidRPr="00E9777F">
        <w:rPr>
          <w:color w:val="FF0000"/>
        </w:rPr>
        <w:t>the</w:t>
      </w:r>
      <w:proofErr w:type="gramEnd"/>
      <w:r w:rsidRPr="00E9777F">
        <w:rPr>
          <w:color w:val="FF0000"/>
        </w:rPr>
        <w:t xml:space="preserve"> insurer may be able to charge higher than normal premiums for their business (e.g. due to distribution methods).</w:t>
      </w:r>
    </w:p>
    <w:p w14:paraId="12AE7630" w14:textId="77777777" w:rsidR="00E9777F" w:rsidRPr="00E9777F" w:rsidRDefault="00E9777F" w:rsidP="00E9777F">
      <w:pPr>
        <w:pStyle w:val="ListParagraph"/>
        <w:spacing w:after="0"/>
        <w:rPr>
          <w:color w:val="000000" w:themeColor="text1"/>
        </w:rPr>
      </w:pPr>
    </w:p>
    <w:p w14:paraId="500603D1" w14:textId="658AAD53" w:rsidR="00670117" w:rsidRPr="00670117" w:rsidRDefault="00670117" w:rsidP="00670117">
      <w:pPr>
        <w:spacing w:after="0"/>
        <w:rPr>
          <w:i/>
          <w:color w:val="000000" w:themeColor="text1"/>
        </w:rPr>
      </w:pPr>
      <w:proofErr w:type="gramStart"/>
      <w:r>
        <w:rPr>
          <w:i/>
          <w:color w:val="000000" w:themeColor="text1"/>
        </w:rPr>
        <w:t>iii</w:t>
      </w:r>
      <w:proofErr w:type="gramEnd"/>
      <w:r>
        <w:rPr>
          <w:i/>
          <w:color w:val="000000" w:themeColor="text1"/>
        </w:rPr>
        <w:t>.</w:t>
      </w:r>
      <w:r w:rsidRPr="00670117">
        <w:rPr>
          <w:i/>
          <w:color w:val="000000" w:themeColor="text1"/>
        </w:rPr>
        <w:t xml:space="preserve"> Prudential Capital Requirement vs Prescribed Capital Amount</w:t>
      </w:r>
    </w:p>
    <w:p w14:paraId="11CD392D" w14:textId="1B5B6A1B" w:rsidR="00670117" w:rsidRPr="00E9777F" w:rsidRDefault="00670117" w:rsidP="001D254D">
      <w:pPr>
        <w:pStyle w:val="ListParagraph"/>
        <w:numPr>
          <w:ilvl w:val="0"/>
          <w:numId w:val="7"/>
        </w:numPr>
        <w:spacing w:after="0"/>
        <w:rPr>
          <w:color w:val="FF0000"/>
        </w:rPr>
      </w:pPr>
      <w:r w:rsidRPr="00E9777F">
        <w:rPr>
          <w:color w:val="FF0000"/>
        </w:rPr>
        <w:t>The Prudential Capital Requirement includes a regulatory adjustment which can be imposed by APRA on top of a company’s Prescribed Capital Amount</w:t>
      </w:r>
    </w:p>
    <w:p w14:paraId="09173B6F" w14:textId="299B94B0" w:rsidR="00670117" w:rsidRPr="00E9777F" w:rsidRDefault="00670117" w:rsidP="001D254D">
      <w:pPr>
        <w:pStyle w:val="ListParagraph"/>
        <w:numPr>
          <w:ilvl w:val="0"/>
          <w:numId w:val="7"/>
        </w:numPr>
        <w:spacing w:after="0"/>
        <w:rPr>
          <w:color w:val="000000" w:themeColor="text1"/>
        </w:rPr>
      </w:pPr>
      <w:r w:rsidRPr="00E9777F">
        <w:rPr>
          <w:color w:val="FF0000"/>
        </w:rPr>
        <w:t xml:space="preserve">The </w:t>
      </w:r>
      <w:r w:rsidRPr="00E9777F">
        <w:rPr>
          <w:b/>
          <w:color w:val="FF0000"/>
        </w:rPr>
        <w:t>Regulatory Adjustment</w:t>
      </w:r>
      <w:r w:rsidRPr="00E9777F">
        <w:rPr>
          <w:color w:val="FF0000"/>
        </w:rPr>
        <w:t xml:space="preserve"> </w:t>
      </w:r>
      <w:r w:rsidRPr="00E9777F">
        <w:rPr>
          <w:b/>
          <w:color w:val="FF0000"/>
        </w:rPr>
        <w:t>and hence the Prescribed Capital Requirement</w:t>
      </w:r>
      <w:r w:rsidRPr="00E9777F">
        <w:rPr>
          <w:color w:val="FF0000"/>
        </w:rPr>
        <w:t xml:space="preserve"> is not allowed to be disclosed. </w:t>
      </w:r>
      <w:r w:rsidRPr="00E9777F">
        <w:rPr>
          <w:color w:val="000000" w:themeColor="text1"/>
        </w:rPr>
        <w:t>Therefore only the Prescribed Capital Amount appears in a company’s published accounts.</w:t>
      </w:r>
    </w:p>
    <w:p w14:paraId="7103C635" w14:textId="3E9089DD" w:rsidR="00670117" w:rsidRPr="00E9777F" w:rsidRDefault="00670117" w:rsidP="001D254D">
      <w:pPr>
        <w:pStyle w:val="ListParagraph"/>
        <w:numPr>
          <w:ilvl w:val="0"/>
          <w:numId w:val="7"/>
        </w:numPr>
        <w:spacing w:after="0"/>
        <w:rPr>
          <w:color w:val="000000" w:themeColor="text1"/>
        </w:rPr>
      </w:pPr>
      <w:r w:rsidRPr="00E9777F">
        <w:rPr>
          <w:color w:val="FF0000"/>
        </w:rPr>
        <w:t xml:space="preserve">If the PCR was published, the market or public may interpret it incorrectly and this could cause a loss of confidence in the insurer </w:t>
      </w:r>
      <w:r w:rsidRPr="00E9777F">
        <w:rPr>
          <w:color w:val="000000" w:themeColor="text1"/>
        </w:rPr>
        <w:t>(e.g. resulting in higher lapses) and possibly for the industry as a whole if several insurers had regulatory adjustments imposed.</w:t>
      </w:r>
    </w:p>
    <w:p w14:paraId="38D7D2B8" w14:textId="77777777" w:rsidR="00670117" w:rsidRDefault="00670117" w:rsidP="00670117">
      <w:pPr>
        <w:spacing w:after="0"/>
        <w:rPr>
          <w:color w:val="000000" w:themeColor="text1"/>
        </w:rPr>
      </w:pPr>
    </w:p>
    <w:p w14:paraId="453DF491" w14:textId="77777777" w:rsidR="003E52AF" w:rsidRPr="003E52AF" w:rsidRDefault="006612D9" w:rsidP="003E52AF">
      <w:pPr>
        <w:spacing w:after="0"/>
        <w:rPr>
          <w:b/>
          <w:color w:val="000000" w:themeColor="text1"/>
        </w:rPr>
      </w:pPr>
      <w:r>
        <w:rPr>
          <w:color w:val="000000" w:themeColor="text1"/>
        </w:rPr>
        <w:t xml:space="preserve">1d) </w:t>
      </w:r>
      <w:r w:rsidR="003E52AF" w:rsidRPr="003E52AF">
        <w:rPr>
          <w:b/>
          <w:color w:val="000000" w:themeColor="text1"/>
        </w:rPr>
        <w:t>Random Risk</w:t>
      </w:r>
    </w:p>
    <w:p w14:paraId="74DC28C7" w14:textId="4B8CE952" w:rsidR="003E52AF" w:rsidRPr="003E52AF" w:rsidRDefault="003E52AF" w:rsidP="001D254D">
      <w:pPr>
        <w:pStyle w:val="ListParagraph"/>
        <w:numPr>
          <w:ilvl w:val="0"/>
          <w:numId w:val="8"/>
        </w:numPr>
        <w:spacing w:after="0"/>
        <w:rPr>
          <w:color w:val="000000" w:themeColor="text1"/>
        </w:rPr>
      </w:pPr>
      <w:r w:rsidRPr="003E52AF">
        <w:rPr>
          <w:color w:val="000000" w:themeColor="text1"/>
        </w:rPr>
        <w:t xml:space="preserve">Likely </w:t>
      </w:r>
      <w:r w:rsidRPr="003E52AF">
        <w:rPr>
          <w:color w:val="00B050"/>
        </w:rPr>
        <w:t xml:space="preserve">lower volumes of business will result in greater levels of random risk </w:t>
      </w:r>
      <w:r w:rsidRPr="003E52AF">
        <w:rPr>
          <w:color w:val="000000" w:themeColor="text1"/>
        </w:rPr>
        <w:t>as there will be less policies in the insurance pool (i.e. individual policy fluctuations may have a greater impact on the insurance result)</w:t>
      </w:r>
    </w:p>
    <w:p w14:paraId="3D154CC9" w14:textId="77777777" w:rsidR="003E52AF" w:rsidRPr="003E52AF" w:rsidRDefault="003E52AF" w:rsidP="003E52AF">
      <w:pPr>
        <w:spacing w:after="0"/>
        <w:rPr>
          <w:b/>
          <w:color w:val="000000" w:themeColor="text1"/>
        </w:rPr>
      </w:pPr>
      <w:r w:rsidRPr="003E52AF">
        <w:rPr>
          <w:b/>
          <w:color w:val="000000" w:themeColor="text1"/>
        </w:rPr>
        <w:t>Future Risk</w:t>
      </w:r>
    </w:p>
    <w:p w14:paraId="752F8379" w14:textId="30AC6E06" w:rsidR="003E52AF" w:rsidRPr="003E52AF" w:rsidRDefault="003E52AF" w:rsidP="001D254D">
      <w:pPr>
        <w:pStyle w:val="ListParagraph"/>
        <w:numPr>
          <w:ilvl w:val="0"/>
          <w:numId w:val="8"/>
        </w:numPr>
        <w:spacing w:after="0"/>
        <w:rPr>
          <w:color w:val="000000" w:themeColor="text1"/>
        </w:rPr>
      </w:pPr>
      <w:r w:rsidRPr="003E52AF">
        <w:rPr>
          <w:color w:val="000000" w:themeColor="text1"/>
        </w:rPr>
        <w:t xml:space="preserve">May consider </w:t>
      </w:r>
      <w:r w:rsidRPr="003E52AF">
        <w:rPr>
          <w:color w:val="FF0000"/>
        </w:rPr>
        <w:t xml:space="preserve">a higher future risk given </w:t>
      </w:r>
      <w:r>
        <w:rPr>
          <w:color w:val="FF0000"/>
        </w:rPr>
        <w:t>less data is available to price</w:t>
      </w:r>
    </w:p>
    <w:p w14:paraId="3AD3AB99" w14:textId="1DAD5D19" w:rsidR="003E52AF" w:rsidRPr="003E52AF" w:rsidRDefault="003E52AF" w:rsidP="001D254D">
      <w:pPr>
        <w:pStyle w:val="ListParagraph"/>
        <w:numPr>
          <w:ilvl w:val="0"/>
          <w:numId w:val="8"/>
        </w:numPr>
        <w:spacing w:after="0"/>
        <w:rPr>
          <w:color w:val="FF0000"/>
        </w:rPr>
      </w:pPr>
      <w:r w:rsidRPr="003E52AF">
        <w:rPr>
          <w:color w:val="FF0000"/>
        </w:rPr>
        <w:t>In terms of other trends, not much information to suggest any other material deviations in the future risk margin</w:t>
      </w:r>
    </w:p>
    <w:p w14:paraId="656AE2F9" w14:textId="77777777" w:rsidR="003E52AF" w:rsidRPr="003E52AF" w:rsidRDefault="003E52AF" w:rsidP="003E52AF">
      <w:pPr>
        <w:spacing w:after="0"/>
        <w:rPr>
          <w:b/>
          <w:color w:val="000000" w:themeColor="text1"/>
        </w:rPr>
      </w:pPr>
      <w:r w:rsidRPr="003E52AF">
        <w:rPr>
          <w:b/>
          <w:color w:val="000000" w:themeColor="text1"/>
        </w:rPr>
        <w:t>Event Risk</w:t>
      </w:r>
    </w:p>
    <w:p w14:paraId="509254DB" w14:textId="682514DA" w:rsidR="003E52AF" w:rsidRPr="003E52AF" w:rsidRDefault="003E52AF" w:rsidP="001D254D">
      <w:pPr>
        <w:pStyle w:val="ListParagraph"/>
        <w:numPr>
          <w:ilvl w:val="0"/>
          <w:numId w:val="9"/>
        </w:numPr>
        <w:spacing w:after="0"/>
        <w:rPr>
          <w:color w:val="000000" w:themeColor="text1"/>
        </w:rPr>
      </w:pPr>
      <w:r w:rsidRPr="003E52AF">
        <w:rPr>
          <w:color w:val="00B050"/>
        </w:rPr>
        <w:t>Event risk is likely to be higher than Australia given the prevalence of natural disasters</w:t>
      </w:r>
    </w:p>
    <w:p w14:paraId="18CE2CB4" w14:textId="0567F4FA" w:rsidR="003E52AF" w:rsidRPr="003E52AF" w:rsidRDefault="003E52AF" w:rsidP="001D254D">
      <w:pPr>
        <w:pStyle w:val="ListParagraph"/>
        <w:numPr>
          <w:ilvl w:val="0"/>
          <w:numId w:val="9"/>
        </w:numPr>
        <w:spacing w:after="0"/>
        <w:rPr>
          <w:color w:val="000000" w:themeColor="text1"/>
        </w:rPr>
      </w:pPr>
      <w:r w:rsidRPr="003E52AF">
        <w:rPr>
          <w:color w:val="000000" w:themeColor="text1"/>
        </w:rPr>
        <w:t>However, a decision would need to be made as to whether this increased level of event risk is greater than the specified LPS115 minimums.</w:t>
      </w:r>
    </w:p>
    <w:p w14:paraId="3895B262" w14:textId="77777777" w:rsidR="003E52AF" w:rsidRPr="003E52AF" w:rsidRDefault="003E52AF" w:rsidP="003E52AF">
      <w:pPr>
        <w:spacing w:after="0"/>
        <w:rPr>
          <w:b/>
          <w:color w:val="000000" w:themeColor="text1"/>
        </w:rPr>
      </w:pPr>
      <w:r w:rsidRPr="003E52AF">
        <w:rPr>
          <w:b/>
          <w:color w:val="000000" w:themeColor="text1"/>
        </w:rPr>
        <w:t>Lapse Risk</w:t>
      </w:r>
    </w:p>
    <w:p w14:paraId="61E92DE5" w14:textId="6A9EF04C" w:rsidR="003E52AF" w:rsidRPr="003E52AF" w:rsidRDefault="003E52AF" w:rsidP="001D254D">
      <w:pPr>
        <w:pStyle w:val="ListParagraph"/>
        <w:numPr>
          <w:ilvl w:val="0"/>
          <w:numId w:val="10"/>
        </w:numPr>
        <w:spacing w:after="0"/>
        <w:rPr>
          <w:color w:val="000000" w:themeColor="text1"/>
        </w:rPr>
      </w:pPr>
      <w:r w:rsidRPr="003E52AF">
        <w:rPr>
          <w:color w:val="00B050"/>
        </w:rPr>
        <w:t xml:space="preserve">Given higher up-front advisor commissions there may be a greater level of lapse risk </w:t>
      </w:r>
      <w:r w:rsidRPr="003E52AF">
        <w:rPr>
          <w:color w:val="000000" w:themeColor="text1"/>
        </w:rPr>
        <w:t>due to churning and an argument exists for a higher lapse margin than in Australia</w:t>
      </w:r>
    </w:p>
    <w:p w14:paraId="4992914B" w14:textId="72316574" w:rsidR="003E52AF" w:rsidRPr="003E52AF" w:rsidRDefault="003E52AF" w:rsidP="001D254D">
      <w:pPr>
        <w:pStyle w:val="ListParagraph"/>
        <w:numPr>
          <w:ilvl w:val="0"/>
          <w:numId w:val="10"/>
        </w:numPr>
        <w:spacing w:after="0"/>
        <w:rPr>
          <w:color w:val="FF0000"/>
        </w:rPr>
      </w:pPr>
      <w:r w:rsidRPr="003E52AF">
        <w:rPr>
          <w:color w:val="FF0000"/>
        </w:rPr>
        <w:lastRenderedPageBreak/>
        <w:t xml:space="preserve">If the higher up-front commission rates come with longer responsibility periods (e.g. longer commission </w:t>
      </w:r>
      <w:proofErr w:type="spellStart"/>
      <w:r w:rsidRPr="003E52AF">
        <w:rPr>
          <w:color w:val="FF0000"/>
        </w:rPr>
        <w:t>clawback</w:t>
      </w:r>
      <w:proofErr w:type="spellEnd"/>
      <w:r w:rsidRPr="003E52AF">
        <w:rPr>
          <w:color w:val="FF0000"/>
        </w:rPr>
        <w:t xml:space="preserve"> periods) then lapse risk may be similar to Australia</w:t>
      </w:r>
    </w:p>
    <w:p w14:paraId="16DCC1B1" w14:textId="77777777" w:rsidR="003E52AF" w:rsidRPr="003E52AF" w:rsidRDefault="003E52AF" w:rsidP="003E52AF">
      <w:pPr>
        <w:spacing w:after="0"/>
        <w:rPr>
          <w:b/>
          <w:color w:val="000000" w:themeColor="text1"/>
        </w:rPr>
      </w:pPr>
      <w:r w:rsidRPr="003E52AF">
        <w:rPr>
          <w:b/>
          <w:color w:val="000000" w:themeColor="text1"/>
        </w:rPr>
        <w:t>Expense Risk</w:t>
      </w:r>
    </w:p>
    <w:p w14:paraId="2DFF55CE" w14:textId="0874B015" w:rsidR="003E52AF" w:rsidRPr="003E52AF" w:rsidRDefault="003E52AF" w:rsidP="001D254D">
      <w:pPr>
        <w:pStyle w:val="ListParagraph"/>
        <w:numPr>
          <w:ilvl w:val="0"/>
          <w:numId w:val="11"/>
        </w:numPr>
        <w:spacing w:after="0"/>
        <w:rPr>
          <w:color w:val="000000" w:themeColor="text1"/>
        </w:rPr>
      </w:pPr>
      <w:r w:rsidRPr="003E52AF">
        <w:rPr>
          <w:color w:val="000000" w:themeColor="text1"/>
        </w:rPr>
        <w:t xml:space="preserve">Expense risk is fixed at 10% </w:t>
      </w:r>
      <w:r>
        <w:rPr>
          <w:color w:val="000000" w:themeColor="text1"/>
        </w:rPr>
        <w:t>(specified by APRA) and so would be the same.</w:t>
      </w:r>
    </w:p>
    <w:p w14:paraId="378B83A6" w14:textId="77777777" w:rsidR="003E52AF" w:rsidRPr="003E52AF" w:rsidRDefault="003E52AF" w:rsidP="003E52AF">
      <w:pPr>
        <w:spacing w:after="0"/>
        <w:rPr>
          <w:b/>
          <w:color w:val="000000" w:themeColor="text1"/>
        </w:rPr>
      </w:pPr>
      <w:r w:rsidRPr="003E52AF">
        <w:rPr>
          <w:b/>
          <w:color w:val="000000" w:themeColor="text1"/>
        </w:rPr>
        <w:t>Longevity Risk</w:t>
      </w:r>
    </w:p>
    <w:p w14:paraId="577CBCA7" w14:textId="61AA3CEE" w:rsidR="006612D9" w:rsidRPr="003E52AF" w:rsidRDefault="003E52AF" w:rsidP="001D254D">
      <w:pPr>
        <w:pStyle w:val="ListParagraph"/>
        <w:numPr>
          <w:ilvl w:val="0"/>
          <w:numId w:val="11"/>
        </w:numPr>
        <w:spacing w:after="0"/>
        <w:rPr>
          <w:color w:val="000000" w:themeColor="text1"/>
        </w:rPr>
      </w:pPr>
      <w:r w:rsidRPr="003E52AF">
        <w:rPr>
          <w:color w:val="000000" w:themeColor="text1"/>
        </w:rPr>
        <w:t>Not applicable as no annuity business</w:t>
      </w:r>
    </w:p>
    <w:p w14:paraId="4A05A67F" w14:textId="77777777" w:rsidR="00E9777F" w:rsidRDefault="00E9777F" w:rsidP="00670117">
      <w:pPr>
        <w:spacing w:after="0"/>
        <w:rPr>
          <w:color w:val="000000" w:themeColor="text1"/>
        </w:rPr>
      </w:pPr>
    </w:p>
    <w:p w14:paraId="22D4D035" w14:textId="77777777" w:rsidR="006E357F" w:rsidRPr="005A0E17" w:rsidRDefault="00016D97" w:rsidP="006E357F">
      <w:pPr>
        <w:spacing w:after="0"/>
        <w:rPr>
          <w:b/>
          <w:color w:val="000000" w:themeColor="text1"/>
        </w:rPr>
      </w:pPr>
      <w:r w:rsidRPr="00016D97">
        <w:rPr>
          <w:b/>
          <w:color w:val="000000" w:themeColor="text1"/>
        </w:rPr>
        <w:t>Q2</w:t>
      </w:r>
      <w:r>
        <w:rPr>
          <w:color w:val="000000" w:themeColor="text1"/>
        </w:rPr>
        <w:t xml:space="preserve"> a)</w:t>
      </w:r>
      <w:r w:rsidR="006E357F">
        <w:rPr>
          <w:color w:val="000000" w:themeColor="text1"/>
        </w:rPr>
        <w:t xml:space="preserve"> </w:t>
      </w:r>
      <w:r w:rsidR="006E357F" w:rsidRPr="005A0E17">
        <w:rPr>
          <w:b/>
          <w:color w:val="000000" w:themeColor="text1"/>
        </w:rPr>
        <w:t>Adjusted Net Worth:</w:t>
      </w:r>
    </w:p>
    <w:p w14:paraId="594455EC" w14:textId="77777777" w:rsidR="006E357F" w:rsidRPr="006E357F" w:rsidRDefault="006E357F" w:rsidP="006E357F">
      <w:pPr>
        <w:spacing w:after="0"/>
        <w:rPr>
          <w:color w:val="000000" w:themeColor="text1"/>
        </w:rPr>
      </w:pPr>
      <w:r w:rsidRPr="006E357F">
        <w:rPr>
          <w:color w:val="000000" w:themeColor="text1"/>
        </w:rPr>
        <w:t>Assume that the adjusted net worth is calculated as the following:</w:t>
      </w:r>
    </w:p>
    <w:p w14:paraId="782D5DBF" w14:textId="3B27F265" w:rsidR="00016D97" w:rsidRDefault="005A0E17" w:rsidP="006E357F">
      <w:pPr>
        <w:spacing w:after="0"/>
        <w:rPr>
          <w:color w:val="000000" w:themeColor="text1"/>
        </w:rPr>
      </w:pPr>
      <w:r>
        <w:rPr>
          <w:color w:val="000000" w:themeColor="text1"/>
        </w:rPr>
        <w:tab/>
      </w:r>
      <w:r w:rsidR="006E357F" w:rsidRPr="006E357F">
        <w:rPr>
          <w:color w:val="000000" w:themeColor="text1"/>
        </w:rPr>
        <w:t>ANW = Capital Base – (Prescribed Capital Amount + Target Surplus)</w:t>
      </w:r>
    </w:p>
    <w:p w14:paraId="2F7BCE36" w14:textId="2853019F" w:rsidR="00123FFB" w:rsidRPr="00123FFB" w:rsidRDefault="00123FFB" w:rsidP="00123FFB">
      <w:pPr>
        <w:spacing w:after="0"/>
        <w:ind w:left="720" w:hanging="720"/>
        <w:rPr>
          <w:i/>
          <w:color w:val="000000" w:themeColor="text1"/>
        </w:rPr>
      </w:pPr>
      <w:r w:rsidRPr="00391B69">
        <w:rPr>
          <w:i/>
          <w:color w:val="FF0000"/>
        </w:rPr>
        <w:tab/>
      </w:r>
      <w:proofErr w:type="gramStart"/>
      <w:r w:rsidRPr="00391B69">
        <w:rPr>
          <w:i/>
          <w:color w:val="FF0000"/>
        </w:rPr>
        <w:t>i.e</w:t>
      </w:r>
      <w:proofErr w:type="gramEnd"/>
      <w:r w:rsidRPr="00391B69">
        <w:rPr>
          <w:i/>
          <w:color w:val="FF0000"/>
        </w:rPr>
        <w:t>. Net Assets</w:t>
      </w:r>
      <w:r w:rsidR="004456BD" w:rsidRPr="00391B69">
        <w:rPr>
          <w:i/>
          <w:color w:val="FF0000"/>
        </w:rPr>
        <w:t xml:space="preserve"> over required capital</w:t>
      </w:r>
      <w:r w:rsidRPr="00391B69">
        <w:rPr>
          <w:i/>
          <w:color w:val="FF0000"/>
        </w:rPr>
        <w:t xml:space="preserve"> (Free Surplus in excess of Capital Requirements @ </w:t>
      </w:r>
      <w:r>
        <w:rPr>
          <w:i/>
          <w:color w:val="000000" w:themeColor="text1"/>
        </w:rPr>
        <w:t>starting point of the reporting period</w:t>
      </w:r>
      <w:r w:rsidRPr="00123FFB">
        <w:rPr>
          <w:i/>
          <w:color w:val="000000" w:themeColor="text1"/>
        </w:rPr>
        <w:t>)</w:t>
      </w:r>
    </w:p>
    <w:p w14:paraId="4ABBB33C" w14:textId="12BC5ADE" w:rsidR="00670117" w:rsidRDefault="005A0E17" w:rsidP="00670117">
      <w:pPr>
        <w:spacing w:after="0"/>
        <w:rPr>
          <w:color w:val="000000" w:themeColor="text1"/>
        </w:rPr>
      </w:pPr>
      <w:r>
        <w:rPr>
          <w:color w:val="000000" w:themeColor="text1"/>
        </w:rPr>
        <w:tab/>
      </w:r>
      <w:r w:rsidR="006E357F" w:rsidRPr="006E357F">
        <w:rPr>
          <w:color w:val="000000" w:themeColor="text1"/>
        </w:rPr>
        <w:t xml:space="preserve">Capital Base = </w:t>
      </w:r>
      <w:r w:rsidR="006E357F">
        <w:rPr>
          <w:color w:val="000000" w:themeColor="text1"/>
        </w:rPr>
        <w:t xml:space="preserve">Total Assets – Total Liabilities – Adjustments = </w:t>
      </w:r>
      <w:r w:rsidR="006E357F" w:rsidRPr="006E357F">
        <w:rPr>
          <w:color w:val="000000" w:themeColor="text1"/>
        </w:rPr>
        <w:t>Net Assets – Adjustments</w:t>
      </w:r>
      <w:r>
        <w:rPr>
          <w:color w:val="000000" w:themeColor="text1"/>
        </w:rPr>
        <w:t>*</w:t>
      </w:r>
    </w:p>
    <w:p w14:paraId="36F7FA4B" w14:textId="1B0B11F3" w:rsidR="005A0E17" w:rsidRPr="00391B69" w:rsidRDefault="005A0E17" w:rsidP="00670117">
      <w:pPr>
        <w:spacing w:after="0"/>
        <w:rPr>
          <w:color w:val="FF0000"/>
        </w:rPr>
      </w:pPr>
      <w:r w:rsidRPr="00391B69">
        <w:rPr>
          <w:color w:val="FF0000"/>
        </w:rPr>
        <w:tab/>
      </w:r>
      <w:r w:rsidR="00465B41" w:rsidRPr="00391B69">
        <w:rPr>
          <w:color w:val="FF0000"/>
        </w:rPr>
        <w:t>*DAC is not counted in Capital Base (where adjustment is the net of reinsurance DAC)</w:t>
      </w:r>
    </w:p>
    <w:p w14:paraId="3BB757C9" w14:textId="77777777" w:rsidR="005A0E17" w:rsidRPr="005A0E17" w:rsidRDefault="005A0E17" w:rsidP="005A0E17">
      <w:pPr>
        <w:spacing w:after="0"/>
        <w:rPr>
          <w:b/>
          <w:color w:val="000000" w:themeColor="text1"/>
        </w:rPr>
      </w:pPr>
      <w:r w:rsidRPr="005A0E17">
        <w:rPr>
          <w:b/>
          <w:color w:val="000000" w:themeColor="text1"/>
        </w:rPr>
        <w:t>VIF:</w:t>
      </w:r>
    </w:p>
    <w:p w14:paraId="6249E57D" w14:textId="6B4828E8" w:rsidR="005A0E17" w:rsidRDefault="005A0E17" w:rsidP="005A0E17">
      <w:pPr>
        <w:spacing w:after="0"/>
        <w:rPr>
          <w:color w:val="000000" w:themeColor="text1"/>
        </w:rPr>
      </w:pPr>
      <w:r w:rsidRPr="005A0E17">
        <w:rPr>
          <w:color w:val="000000" w:themeColor="text1"/>
        </w:rPr>
        <w:t xml:space="preserve">VIF = Present Value of </w:t>
      </w:r>
      <w:r>
        <w:rPr>
          <w:color w:val="000000" w:themeColor="text1"/>
        </w:rPr>
        <w:t>Future Profits + Present Value of Cap</w:t>
      </w:r>
      <w:bookmarkStart w:id="0" w:name="_GoBack"/>
      <w:bookmarkEnd w:id="0"/>
      <w:r>
        <w:rPr>
          <w:color w:val="000000" w:themeColor="text1"/>
        </w:rPr>
        <w:t>ital</w:t>
      </w:r>
      <w:r w:rsidR="00FC1114">
        <w:rPr>
          <w:color w:val="000000" w:themeColor="text1"/>
        </w:rPr>
        <w:t xml:space="preserve"> </w:t>
      </w:r>
      <w:r w:rsidR="00FC1114" w:rsidRPr="00FC1114">
        <w:rPr>
          <w:color w:val="000000" w:themeColor="text1"/>
        </w:rPr>
        <w:t>Releases</w:t>
      </w:r>
    </w:p>
    <w:p w14:paraId="2843D925" w14:textId="77777777" w:rsidR="002C3CEB" w:rsidRDefault="002C3CEB" w:rsidP="00670117">
      <w:pPr>
        <w:spacing w:after="0"/>
        <w:rPr>
          <w:color w:val="000000" w:themeColor="text1"/>
        </w:rPr>
      </w:pPr>
    </w:p>
    <w:p w14:paraId="362144ED" w14:textId="77777777" w:rsidR="00520CC0" w:rsidRDefault="008A0676" w:rsidP="00316AE0">
      <w:pPr>
        <w:spacing w:after="0"/>
        <w:rPr>
          <w:color w:val="000000" w:themeColor="text1"/>
        </w:rPr>
      </w:pPr>
      <w:r>
        <w:rPr>
          <w:color w:val="000000" w:themeColor="text1"/>
        </w:rPr>
        <w:t>2b)</w:t>
      </w:r>
      <w:r w:rsidR="00520CC0">
        <w:rPr>
          <w:color w:val="000000" w:themeColor="text1"/>
        </w:rPr>
        <w:t xml:space="preserve"> [</w:t>
      </w:r>
      <w:r w:rsidR="00520CC0">
        <w:rPr>
          <w:sz w:val="20"/>
          <w:szCs w:val="20"/>
        </w:rPr>
        <w:t>IFRS4 Phase 2 standards came in]</w:t>
      </w:r>
      <w:r>
        <w:rPr>
          <w:color w:val="000000" w:themeColor="text1"/>
        </w:rPr>
        <w:t xml:space="preserve"> </w:t>
      </w:r>
    </w:p>
    <w:p w14:paraId="19069DB0" w14:textId="634CE040" w:rsidR="00316AE0" w:rsidRPr="00316AE0" w:rsidRDefault="00316AE0" w:rsidP="00316AE0">
      <w:pPr>
        <w:spacing w:after="0"/>
        <w:rPr>
          <w:color w:val="000000" w:themeColor="text1"/>
        </w:rPr>
      </w:pPr>
      <w:r w:rsidRPr="00316AE0">
        <w:rPr>
          <w:color w:val="000000" w:themeColor="text1"/>
        </w:rPr>
        <w:t>FROM: Valuation Actuary</w:t>
      </w:r>
    </w:p>
    <w:p w14:paraId="2DDC2FBF" w14:textId="77777777" w:rsidR="00316AE0" w:rsidRPr="00316AE0" w:rsidRDefault="00316AE0" w:rsidP="00316AE0">
      <w:pPr>
        <w:spacing w:after="0"/>
        <w:rPr>
          <w:color w:val="000000" w:themeColor="text1"/>
        </w:rPr>
      </w:pPr>
      <w:r w:rsidRPr="00316AE0">
        <w:rPr>
          <w:color w:val="000000" w:themeColor="text1"/>
        </w:rPr>
        <w:t>TO: Board</w:t>
      </w:r>
    </w:p>
    <w:p w14:paraId="73207ED0" w14:textId="77777777" w:rsidR="00316AE0" w:rsidRPr="00316AE0" w:rsidRDefault="00316AE0" w:rsidP="00316AE0">
      <w:pPr>
        <w:spacing w:after="0"/>
        <w:rPr>
          <w:color w:val="000000" w:themeColor="text1"/>
        </w:rPr>
      </w:pPr>
      <w:r w:rsidRPr="00316AE0">
        <w:rPr>
          <w:color w:val="000000" w:themeColor="text1"/>
        </w:rPr>
        <w:t>RE: Potential Impacts of Accounting Changes in Pi Life</w:t>
      </w:r>
    </w:p>
    <w:p w14:paraId="40ADD5E4" w14:textId="77777777" w:rsidR="00316AE0" w:rsidRPr="00316AE0" w:rsidRDefault="00316AE0" w:rsidP="00316AE0">
      <w:pPr>
        <w:spacing w:after="0"/>
        <w:rPr>
          <w:color w:val="000000" w:themeColor="text1"/>
        </w:rPr>
      </w:pPr>
      <w:r w:rsidRPr="00316AE0">
        <w:rPr>
          <w:color w:val="000000" w:themeColor="text1"/>
        </w:rPr>
        <w:t>I have reviewed the proposed changes to the accounting regime of Tau and its potential impact on Pi Life’s business. Please see further detail under the headings below.</w:t>
      </w:r>
    </w:p>
    <w:p w14:paraId="67F36E0F" w14:textId="77777777" w:rsidR="00316AE0" w:rsidRPr="00316AE0" w:rsidRDefault="00316AE0" w:rsidP="00316AE0">
      <w:pPr>
        <w:spacing w:after="0"/>
        <w:rPr>
          <w:b/>
          <w:color w:val="000000" w:themeColor="text1"/>
        </w:rPr>
      </w:pPr>
      <w:r w:rsidRPr="00316AE0">
        <w:rPr>
          <w:b/>
          <w:color w:val="000000" w:themeColor="text1"/>
        </w:rPr>
        <w:t>1) The likely impact on the publically available results of Pi Life at the time of the change</w:t>
      </w:r>
    </w:p>
    <w:p w14:paraId="00D21450" w14:textId="77777777" w:rsidR="00316AE0" w:rsidRPr="00316AE0" w:rsidRDefault="00316AE0" w:rsidP="001D254D">
      <w:pPr>
        <w:pStyle w:val="ListParagraph"/>
        <w:numPr>
          <w:ilvl w:val="0"/>
          <w:numId w:val="11"/>
        </w:numPr>
        <w:spacing w:after="0"/>
        <w:rPr>
          <w:color w:val="000000" w:themeColor="text1"/>
        </w:rPr>
      </w:pPr>
      <w:r w:rsidRPr="00316AE0">
        <w:rPr>
          <w:color w:val="000000" w:themeColor="text1"/>
        </w:rPr>
        <w:t xml:space="preserve">The current policy liability (net of reinsurance) is ($60m). </w:t>
      </w:r>
      <w:r w:rsidRPr="00316AE0">
        <w:rPr>
          <w:color w:val="FF0000"/>
        </w:rPr>
        <w:t xml:space="preserve">This negative policy liability reflects the fact that the high initial acquisition expenses incurred for each sale are </w:t>
      </w:r>
      <w:proofErr w:type="spellStart"/>
      <w:r w:rsidRPr="00316AE0">
        <w:rPr>
          <w:color w:val="FF0000"/>
        </w:rPr>
        <w:t>amortised</w:t>
      </w:r>
      <w:proofErr w:type="spellEnd"/>
      <w:r w:rsidRPr="00316AE0">
        <w:rPr>
          <w:color w:val="FF0000"/>
        </w:rPr>
        <w:t xml:space="preserve"> over the life of the product </w:t>
      </w:r>
      <w:r w:rsidRPr="00316AE0">
        <w:rPr>
          <w:color w:val="000000" w:themeColor="text1"/>
        </w:rPr>
        <w:t>(as long as they are supported by future premium margins).</w:t>
      </w:r>
    </w:p>
    <w:p w14:paraId="1661F2E5" w14:textId="77777777" w:rsidR="00316AE0" w:rsidRPr="00316AE0" w:rsidRDefault="00316AE0" w:rsidP="001D254D">
      <w:pPr>
        <w:pStyle w:val="ListParagraph"/>
        <w:numPr>
          <w:ilvl w:val="0"/>
          <w:numId w:val="11"/>
        </w:numPr>
        <w:spacing w:after="0"/>
        <w:rPr>
          <w:color w:val="000000" w:themeColor="text1"/>
        </w:rPr>
      </w:pPr>
      <w:r w:rsidRPr="00316AE0">
        <w:rPr>
          <w:color w:val="000000" w:themeColor="text1"/>
        </w:rPr>
        <w:t xml:space="preserve">However, under the proposed changes the up-front costs of issuing a product can only be deferred until the end of the premium rate guarantee (which is after the first policy year). </w:t>
      </w:r>
      <w:r w:rsidRPr="00316AE0">
        <w:rPr>
          <w:color w:val="FF0000"/>
        </w:rPr>
        <w:t xml:space="preserve">Under the proposed change (assuming no transitional relief) the policy liability would not be able to be negative after the first policy year. </w:t>
      </w:r>
      <w:r w:rsidRPr="00316AE0">
        <w:rPr>
          <w:b/>
          <w:color w:val="FF0000"/>
        </w:rPr>
        <w:t>This would result in a large increase in the policy liability</w:t>
      </w:r>
      <w:r w:rsidRPr="00316AE0">
        <w:rPr>
          <w:color w:val="FF0000"/>
        </w:rPr>
        <w:t xml:space="preserve"> and a one-off reduction in profit.</w:t>
      </w:r>
    </w:p>
    <w:p w14:paraId="46AFE6A7" w14:textId="77777777" w:rsidR="00316AE0" w:rsidRPr="00316AE0" w:rsidRDefault="00316AE0" w:rsidP="001D254D">
      <w:pPr>
        <w:pStyle w:val="ListParagraph"/>
        <w:numPr>
          <w:ilvl w:val="0"/>
          <w:numId w:val="11"/>
        </w:numPr>
        <w:spacing w:after="0"/>
        <w:rPr>
          <w:color w:val="000000" w:themeColor="text1"/>
        </w:rPr>
      </w:pPr>
      <w:r w:rsidRPr="00316AE0">
        <w:rPr>
          <w:color w:val="000000" w:themeColor="text1"/>
        </w:rPr>
        <w:t xml:space="preserve">Consideration would also need to be given as to whether </w:t>
      </w:r>
      <w:r w:rsidRPr="00316AE0">
        <w:rPr>
          <w:color w:val="FF0000"/>
        </w:rPr>
        <w:t xml:space="preserve">tax accounting </w:t>
      </w:r>
      <w:r w:rsidRPr="00316AE0">
        <w:rPr>
          <w:color w:val="000000" w:themeColor="text1"/>
        </w:rPr>
        <w:t>will follow the proposed changes. If not, Pi Life may, at the time of the change, report a large accounting loss, but not have a tax loss if that basis does not change.</w:t>
      </w:r>
    </w:p>
    <w:p w14:paraId="65306121" w14:textId="77777777" w:rsidR="00316AE0" w:rsidRPr="00316AE0" w:rsidRDefault="00316AE0" w:rsidP="00316AE0">
      <w:pPr>
        <w:spacing w:after="0"/>
        <w:rPr>
          <w:b/>
          <w:color w:val="000000" w:themeColor="text1"/>
        </w:rPr>
      </w:pPr>
      <w:r w:rsidRPr="00316AE0">
        <w:rPr>
          <w:b/>
          <w:color w:val="000000" w:themeColor="text1"/>
        </w:rPr>
        <w:t>2) The likely impact on the profitability of the business written going forward;</w:t>
      </w:r>
    </w:p>
    <w:p w14:paraId="0C0B2A06" w14:textId="6B0792C5" w:rsidR="00316AE0" w:rsidRPr="00316AE0" w:rsidRDefault="00316AE0" w:rsidP="001D254D">
      <w:pPr>
        <w:pStyle w:val="ListParagraph"/>
        <w:numPr>
          <w:ilvl w:val="0"/>
          <w:numId w:val="12"/>
        </w:numPr>
        <w:spacing w:after="0"/>
        <w:rPr>
          <w:color w:val="000000" w:themeColor="text1"/>
        </w:rPr>
      </w:pPr>
      <w:r w:rsidRPr="00316AE0">
        <w:rPr>
          <w:color w:val="FF0000"/>
        </w:rPr>
        <w:t xml:space="preserve">The overall profitability of the business </w:t>
      </w:r>
      <w:r w:rsidRPr="00316AE0">
        <w:rPr>
          <w:b/>
          <w:color w:val="FF0000"/>
        </w:rPr>
        <w:t>in real terms</w:t>
      </w:r>
      <w:r w:rsidRPr="00316AE0">
        <w:rPr>
          <w:color w:val="FF0000"/>
        </w:rPr>
        <w:t xml:space="preserve"> will not change</w:t>
      </w:r>
      <w:r w:rsidRPr="00316AE0">
        <w:rPr>
          <w:color w:val="000000" w:themeColor="text1"/>
        </w:rPr>
        <w:t>. However</w:t>
      </w:r>
      <w:r>
        <w:rPr>
          <w:color w:val="000000" w:themeColor="text1"/>
        </w:rPr>
        <w:t>,</w:t>
      </w:r>
      <w:r w:rsidRPr="00316AE0">
        <w:rPr>
          <w:color w:val="000000" w:themeColor="text1"/>
        </w:rPr>
        <w:t xml:space="preserve"> </w:t>
      </w:r>
      <w:r>
        <w:rPr>
          <w:color w:val="FF0000"/>
        </w:rPr>
        <w:t>t</w:t>
      </w:r>
      <w:r w:rsidRPr="00316AE0">
        <w:rPr>
          <w:color w:val="FF0000"/>
        </w:rPr>
        <w:t>he accounting treatment and in particular the pattern of the accounting profit release will change</w:t>
      </w:r>
      <w:r w:rsidRPr="00316AE0">
        <w:rPr>
          <w:color w:val="000000" w:themeColor="text1"/>
        </w:rPr>
        <w:t>.</w:t>
      </w:r>
    </w:p>
    <w:p w14:paraId="2357E566" w14:textId="77777777" w:rsidR="00316AE0" w:rsidRPr="00316AE0" w:rsidRDefault="00316AE0" w:rsidP="001D254D">
      <w:pPr>
        <w:pStyle w:val="ListParagraph"/>
        <w:numPr>
          <w:ilvl w:val="0"/>
          <w:numId w:val="12"/>
        </w:numPr>
        <w:spacing w:after="0"/>
        <w:rPr>
          <w:color w:val="000000" w:themeColor="text1"/>
        </w:rPr>
      </w:pPr>
      <w:r w:rsidRPr="00316AE0">
        <w:rPr>
          <w:color w:val="000000" w:themeColor="text1"/>
        </w:rPr>
        <w:lastRenderedPageBreak/>
        <w:t xml:space="preserve">If business continues to be written with high up-front costs (including commission), </w:t>
      </w:r>
      <w:r w:rsidRPr="00316AE0">
        <w:rPr>
          <w:color w:val="FF0000"/>
        </w:rPr>
        <w:t>the profit signature of each policy will change from one that currently shows profits emerging over the lifetime of the policy to one that will show a large loss at the end of the first policy year with larger profits in following years.</w:t>
      </w:r>
    </w:p>
    <w:p w14:paraId="4A81FC0E" w14:textId="77777777" w:rsidR="00316AE0" w:rsidRPr="00316AE0" w:rsidRDefault="00316AE0" w:rsidP="001D254D">
      <w:pPr>
        <w:pStyle w:val="ListParagraph"/>
        <w:numPr>
          <w:ilvl w:val="0"/>
          <w:numId w:val="12"/>
        </w:numPr>
        <w:spacing w:after="0"/>
        <w:rPr>
          <w:color w:val="FF0000"/>
        </w:rPr>
      </w:pPr>
      <w:r w:rsidRPr="00316AE0">
        <w:rPr>
          <w:color w:val="000000" w:themeColor="text1"/>
        </w:rPr>
        <w:t xml:space="preserve">However, </w:t>
      </w:r>
      <w:r w:rsidRPr="00316AE0">
        <w:rPr>
          <w:color w:val="FF0000"/>
        </w:rPr>
        <w:t>in the situation where the total business is neither growing nor shrinking, the overall profit may remain smooth (with losses in year 1 for new business being counteracted by larger profits in later years). However, in the situation that the company considers a large drive in new business growth, losses will result in those years as acquisition costs are written off over that first year (and vice versa for a business that is reducing new business volumes).</w:t>
      </w:r>
    </w:p>
    <w:p w14:paraId="77AF8178" w14:textId="77777777" w:rsidR="00316AE0" w:rsidRPr="00316AE0" w:rsidRDefault="00316AE0" w:rsidP="00316AE0">
      <w:pPr>
        <w:spacing w:after="0"/>
        <w:rPr>
          <w:b/>
          <w:color w:val="000000" w:themeColor="text1"/>
        </w:rPr>
      </w:pPr>
      <w:r w:rsidRPr="00316AE0">
        <w:rPr>
          <w:b/>
          <w:color w:val="000000" w:themeColor="text1"/>
        </w:rPr>
        <w:t>3) The likely capital impacts of the proposed change</w:t>
      </w:r>
    </w:p>
    <w:p w14:paraId="1FE78E55" w14:textId="2306D760" w:rsidR="008A0676" w:rsidRPr="00316AE0" w:rsidRDefault="00316AE0" w:rsidP="001D254D">
      <w:pPr>
        <w:pStyle w:val="ListParagraph"/>
        <w:numPr>
          <w:ilvl w:val="0"/>
          <w:numId w:val="13"/>
        </w:numPr>
        <w:spacing w:after="0"/>
        <w:rPr>
          <w:color w:val="000000" w:themeColor="text1"/>
        </w:rPr>
      </w:pPr>
      <w:r w:rsidRPr="00316AE0">
        <w:rPr>
          <w:color w:val="000000" w:themeColor="text1"/>
        </w:rPr>
        <w:t xml:space="preserve">Given Pi Life has a capital regime consistent with that in Australia which </w:t>
      </w:r>
      <w:r w:rsidRPr="00BC4A29">
        <w:rPr>
          <w:color w:val="FF0000"/>
        </w:rPr>
        <w:t>treats any deferred acquisition cost as an inadmissible asset</w:t>
      </w:r>
      <w:r w:rsidRPr="00316AE0">
        <w:rPr>
          <w:color w:val="000000" w:themeColor="text1"/>
        </w:rPr>
        <w:t xml:space="preserve">, </w:t>
      </w:r>
      <w:r w:rsidRPr="00BC4A29">
        <w:rPr>
          <w:color w:val="FF0000"/>
        </w:rPr>
        <w:t>there will be no impact on the capital base of Pi Life as a result of this change and hence no impact on the surplus asset position</w:t>
      </w:r>
      <w:r w:rsidRPr="00316AE0">
        <w:rPr>
          <w:color w:val="000000" w:themeColor="text1"/>
        </w:rPr>
        <w:t>.</w:t>
      </w:r>
    </w:p>
    <w:p w14:paraId="43F5A04A" w14:textId="4ED692A8" w:rsidR="00EA688E" w:rsidRPr="003633A7" w:rsidRDefault="003633A7" w:rsidP="00670117">
      <w:pPr>
        <w:spacing w:after="0"/>
        <w:rPr>
          <w:b/>
          <w:color w:val="000000" w:themeColor="text1"/>
        </w:rPr>
      </w:pPr>
      <w:r w:rsidRPr="003633A7">
        <w:rPr>
          <w:b/>
          <w:color w:val="000000" w:themeColor="text1"/>
        </w:rPr>
        <w:t>*there would be no impact on capital from a change in the accounting standards.</w:t>
      </w:r>
    </w:p>
    <w:p w14:paraId="4331796A" w14:textId="77777777" w:rsidR="003633A7" w:rsidRDefault="003633A7" w:rsidP="00670117">
      <w:pPr>
        <w:spacing w:after="0"/>
        <w:rPr>
          <w:color w:val="000000" w:themeColor="text1"/>
        </w:rPr>
      </w:pPr>
    </w:p>
    <w:p w14:paraId="3C6B31E9" w14:textId="66DE2846" w:rsidR="00A2429E" w:rsidRPr="00A2429E" w:rsidRDefault="003238E3" w:rsidP="00A2429E">
      <w:pPr>
        <w:spacing w:after="0"/>
        <w:rPr>
          <w:color w:val="000000" w:themeColor="text1"/>
        </w:rPr>
      </w:pPr>
      <w:r>
        <w:rPr>
          <w:color w:val="000000" w:themeColor="text1"/>
        </w:rPr>
        <w:t xml:space="preserve">2c) </w:t>
      </w:r>
      <w:r w:rsidR="00A2429E" w:rsidRPr="00A2429E">
        <w:rPr>
          <w:i/>
          <w:color w:val="000000" w:themeColor="text1"/>
        </w:rPr>
        <w:t>List of Options for Board to Consider</w:t>
      </w:r>
      <w:r w:rsidR="00A2429E">
        <w:rPr>
          <w:i/>
          <w:color w:val="000000" w:themeColor="text1"/>
        </w:rPr>
        <w:t>:</w:t>
      </w:r>
    </w:p>
    <w:p w14:paraId="77668DE3" w14:textId="4369DBF3" w:rsidR="00A2429E" w:rsidRPr="00DA1F1C" w:rsidRDefault="00A2429E" w:rsidP="00A2429E">
      <w:pPr>
        <w:spacing w:after="0"/>
        <w:rPr>
          <w:b/>
          <w:color w:val="00B050"/>
        </w:rPr>
      </w:pPr>
      <w:r w:rsidRPr="00DA1F1C">
        <w:rPr>
          <w:b/>
          <w:color w:val="00B050"/>
        </w:rPr>
        <w:t>1</w:t>
      </w:r>
      <w:r w:rsidR="00E258EC">
        <w:rPr>
          <w:b/>
          <w:color w:val="00B050"/>
        </w:rPr>
        <w:t>)</w:t>
      </w:r>
      <w:r w:rsidRPr="00DA1F1C">
        <w:rPr>
          <w:b/>
          <w:color w:val="00B050"/>
        </w:rPr>
        <w:t xml:space="preserve"> Consider writing business with lower up-front commissions</w:t>
      </w:r>
    </w:p>
    <w:p w14:paraId="345E2850" w14:textId="77777777" w:rsidR="00A2429E" w:rsidRPr="00E258EC" w:rsidRDefault="00A2429E" w:rsidP="00A2429E">
      <w:pPr>
        <w:spacing w:after="0"/>
        <w:rPr>
          <w:b/>
          <w:i/>
          <w:color w:val="000000" w:themeColor="text1"/>
        </w:rPr>
      </w:pPr>
      <w:r w:rsidRPr="00E258EC">
        <w:rPr>
          <w:b/>
          <w:i/>
          <w:color w:val="000000" w:themeColor="text1"/>
        </w:rPr>
        <w:t>Pros:</w:t>
      </w:r>
    </w:p>
    <w:p w14:paraId="1B3D5FA7" w14:textId="270C1D0F" w:rsidR="00A2429E" w:rsidRPr="00DA1F1C" w:rsidRDefault="00A2429E" w:rsidP="001D254D">
      <w:pPr>
        <w:pStyle w:val="ListParagraph"/>
        <w:numPr>
          <w:ilvl w:val="0"/>
          <w:numId w:val="19"/>
        </w:numPr>
        <w:spacing w:after="0"/>
        <w:rPr>
          <w:color w:val="00B050"/>
        </w:rPr>
      </w:pPr>
      <w:r w:rsidRPr="00DA1F1C">
        <w:rPr>
          <w:color w:val="00B050"/>
        </w:rPr>
        <w:t>Will reduce the amount of DAC written off each year for new policies under the new standards</w:t>
      </w:r>
    </w:p>
    <w:p w14:paraId="1C8B544D" w14:textId="11E1C7F3" w:rsidR="00A2429E" w:rsidRPr="00DA1F1C" w:rsidRDefault="00A2429E" w:rsidP="001D254D">
      <w:pPr>
        <w:pStyle w:val="ListParagraph"/>
        <w:numPr>
          <w:ilvl w:val="0"/>
          <w:numId w:val="19"/>
        </w:numPr>
        <w:spacing w:after="0"/>
        <w:rPr>
          <w:color w:val="000000" w:themeColor="text1"/>
        </w:rPr>
      </w:pPr>
      <w:r w:rsidRPr="00DA1F1C">
        <w:rPr>
          <w:color w:val="00B050"/>
        </w:rPr>
        <w:t xml:space="preserve">Removes the incentive for advisors to churn business </w:t>
      </w:r>
      <w:r w:rsidRPr="00DA1F1C">
        <w:rPr>
          <w:color w:val="000000" w:themeColor="text1"/>
        </w:rPr>
        <w:t>– which may actually result in the underlying profitability improving</w:t>
      </w:r>
    </w:p>
    <w:p w14:paraId="1DD7EF33" w14:textId="282DBE27" w:rsidR="00670117" w:rsidRPr="00E258EC" w:rsidRDefault="00A2429E" w:rsidP="00A2429E">
      <w:pPr>
        <w:spacing w:after="0"/>
        <w:rPr>
          <w:b/>
          <w:i/>
          <w:color w:val="000000" w:themeColor="text1"/>
        </w:rPr>
      </w:pPr>
      <w:r w:rsidRPr="00E258EC">
        <w:rPr>
          <w:b/>
          <w:i/>
          <w:color w:val="000000" w:themeColor="text1"/>
        </w:rPr>
        <w:t>Cons:</w:t>
      </w:r>
    </w:p>
    <w:p w14:paraId="28D697FD" w14:textId="4E6E761A" w:rsidR="00A2429E" w:rsidRPr="00DA1F1C" w:rsidRDefault="00A2429E" w:rsidP="001D254D">
      <w:pPr>
        <w:pStyle w:val="ListParagraph"/>
        <w:numPr>
          <w:ilvl w:val="0"/>
          <w:numId w:val="18"/>
        </w:numPr>
        <w:spacing w:after="0"/>
        <w:ind w:left="720" w:hanging="360"/>
        <w:rPr>
          <w:color w:val="000000" w:themeColor="text1"/>
        </w:rPr>
      </w:pPr>
      <w:r w:rsidRPr="00DA1F1C">
        <w:rPr>
          <w:color w:val="00B050"/>
        </w:rPr>
        <w:t xml:space="preserve">Advisors may stop writing business with Pi Life </w:t>
      </w:r>
      <w:r w:rsidRPr="00DA1F1C">
        <w:rPr>
          <w:color w:val="000000" w:themeColor="text1"/>
        </w:rPr>
        <w:t>– reducing revenue base and may place pressure on expense margins</w:t>
      </w:r>
    </w:p>
    <w:p w14:paraId="4B9184E6" w14:textId="295BD793" w:rsidR="00A2429E" w:rsidRPr="00DA1F1C" w:rsidRDefault="00A2429E" w:rsidP="00A2429E">
      <w:pPr>
        <w:spacing w:after="0"/>
        <w:rPr>
          <w:b/>
          <w:color w:val="00B050"/>
        </w:rPr>
      </w:pPr>
      <w:r w:rsidRPr="00DA1F1C">
        <w:rPr>
          <w:b/>
          <w:color w:val="00B050"/>
        </w:rPr>
        <w:t>2</w:t>
      </w:r>
      <w:r w:rsidR="00E258EC">
        <w:rPr>
          <w:b/>
          <w:color w:val="00B050"/>
        </w:rPr>
        <w:t>)</w:t>
      </w:r>
      <w:r w:rsidRPr="00DA1F1C">
        <w:rPr>
          <w:b/>
          <w:color w:val="00B050"/>
        </w:rPr>
        <w:t xml:space="preserve"> Consider writing business with longer premium guarantees than one year (e.g. 10 years or in line with underlying mortgage)</w:t>
      </w:r>
    </w:p>
    <w:p w14:paraId="28A44A0A" w14:textId="77777777" w:rsidR="00A2429E" w:rsidRPr="00E258EC" w:rsidRDefault="00A2429E" w:rsidP="00A2429E">
      <w:pPr>
        <w:spacing w:after="0"/>
        <w:rPr>
          <w:b/>
          <w:i/>
          <w:color w:val="000000" w:themeColor="text1"/>
        </w:rPr>
      </w:pPr>
      <w:r w:rsidRPr="00E258EC">
        <w:rPr>
          <w:b/>
          <w:i/>
          <w:color w:val="000000" w:themeColor="text1"/>
        </w:rPr>
        <w:t>Pros:</w:t>
      </w:r>
    </w:p>
    <w:p w14:paraId="41B93D58" w14:textId="4F5F7A9F" w:rsidR="00A2429E" w:rsidRPr="00DA1F1C" w:rsidRDefault="00A2429E" w:rsidP="001D254D">
      <w:pPr>
        <w:pStyle w:val="ListParagraph"/>
        <w:numPr>
          <w:ilvl w:val="0"/>
          <w:numId w:val="17"/>
        </w:numPr>
        <w:spacing w:after="0"/>
        <w:rPr>
          <w:color w:val="000000" w:themeColor="text1"/>
        </w:rPr>
      </w:pPr>
      <w:r w:rsidRPr="00DA1F1C">
        <w:rPr>
          <w:color w:val="00B050"/>
        </w:rPr>
        <w:t xml:space="preserve">DAC can be released over a longer period of time </w:t>
      </w:r>
      <w:r w:rsidRPr="00DA1F1C">
        <w:rPr>
          <w:color w:val="000000" w:themeColor="text1"/>
        </w:rPr>
        <w:t>not resulting in first year losses for new business</w:t>
      </w:r>
    </w:p>
    <w:p w14:paraId="7A733F64" w14:textId="77777777" w:rsidR="00A2429E" w:rsidRPr="00E258EC" w:rsidRDefault="00A2429E" w:rsidP="00A2429E">
      <w:pPr>
        <w:spacing w:after="0"/>
        <w:rPr>
          <w:b/>
          <w:i/>
          <w:color w:val="000000" w:themeColor="text1"/>
        </w:rPr>
      </w:pPr>
      <w:r w:rsidRPr="00E258EC">
        <w:rPr>
          <w:b/>
          <w:i/>
          <w:color w:val="000000" w:themeColor="text1"/>
        </w:rPr>
        <w:t>Cons:</w:t>
      </w:r>
    </w:p>
    <w:p w14:paraId="3253EB25" w14:textId="34E4CA64" w:rsidR="00A2429E" w:rsidRPr="00DA1F1C" w:rsidRDefault="00A2429E" w:rsidP="001D254D">
      <w:pPr>
        <w:pStyle w:val="ListParagraph"/>
        <w:numPr>
          <w:ilvl w:val="0"/>
          <w:numId w:val="16"/>
        </w:numPr>
        <w:spacing w:after="0"/>
        <w:rPr>
          <w:color w:val="000000" w:themeColor="text1"/>
        </w:rPr>
      </w:pPr>
      <w:r w:rsidRPr="00DA1F1C">
        <w:rPr>
          <w:color w:val="FF0000"/>
        </w:rPr>
        <w:t xml:space="preserve">Capital requirements will be higher for these guarantees </w:t>
      </w:r>
      <w:r w:rsidRPr="00DA1F1C">
        <w:rPr>
          <w:color w:val="000000" w:themeColor="text1"/>
        </w:rPr>
        <w:t>which would also likely result in an increase in the rates that need to be charged to the end customer</w:t>
      </w:r>
    </w:p>
    <w:p w14:paraId="5870C208" w14:textId="5EE091AE" w:rsidR="00A2429E" w:rsidRPr="00DA1F1C" w:rsidRDefault="00A2429E" w:rsidP="001D254D">
      <w:pPr>
        <w:pStyle w:val="ListParagraph"/>
        <w:numPr>
          <w:ilvl w:val="0"/>
          <w:numId w:val="16"/>
        </w:numPr>
        <w:spacing w:after="0"/>
        <w:rPr>
          <w:color w:val="000000" w:themeColor="text1"/>
        </w:rPr>
      </w:pPr>
      <w:r w:rsidRPr="00DA1F1C">
        <w:rPr>
          <w:color w:val="FF0000"/>
        </w:rPr>
        <w:t xml:space="preserve">Increased risks in offering guaranteed products – may not suit risk appetite of Pi Life as only being considered due to accounting profit treatment </w:t>
      </w:r>
      <w:r w:rsidRPr="00DA1F1C">
        <w:rPr>
          <w:color w:val="000000" w:themeColor="text1"/>
        </w:rPr>
        <w:t>(not to fix underlying profitability issue)</w:t>
      </w:r>
    </w:p>
    <w:p w14:paraId="78D093B4" w14:textId="42FB18AE" w:rsidR="00A2429E" w:rsidRPr="00815E28" w:rsidRDefault="00A2429E" w:rsidP="00A2429E">
      <w:pPr>
        <w:spacing w:after="0"/>
        <w:rPr>
          <w:b/>
          <w:color w:val="FF0000"/>
        </w:rPr>
      </w:pPr>
      <w:r w:rsidRPr="00815E28">
        <w:rPr>
          <w:b/>
          <w:color w:val="FF0000"/>
        </w:rPr>
        <w:t>3</w:t>
      </w:r>
      <w:r w:rsidR="00E258EC">
        <w:rPr>
          <w:b/>
          <w:color w:val="FF0000"/>
        </w:rPr>
        <w:t>)</w:t>
      </w:r>
      <w:r w:rsidRPr="00815E28">
        <w:rPr>
          <w:b/>
          <w:color w:val="FF0000"/>
        </w:rPr>
        <w:t xml:space="preserve"> Consider reporting to shareholders’ on a more appropriate basis (possibly in line with the current accounting basis) as well as that required under the new accounting regime</w:t>
      </w:r>
    </w:p>
    <w:p w14:paraId="74BF68AF" w14:textId="77777777" w:rsidR="00A2429E" w:rsidRPr="00E258EC" w:rsidRDefault="00A2429E" w:rsidP="00A2429E">
      <w:pPr>
        <w:spacing w:after="0"/>
        <w:rPr>
          <w:b/>
          <w:i/>
          <w:color w:val="000000" w:themeColor="text1"/>
        </w:rPr>
      </w:pPr>
      <w:r w:rsidRPr="00E258EC">
        <w:rPr>
          <w:b/>
          <w:i/>
          <w:color w:val="000000" w:themeColor="text1"/>
        </w:rPr>
        <w:t>Pros:</w:t>
      </w:r>
    </w:p>
    <w:p w14:paraId="6E1FEAFF" w14:textId="2CFCF291" w:rsidR="00A2429E" w:rsidRPr="00DA1F1C" w:rsidRDefault="00A2429E" w:rsidP="001D254D">
      <w:pPr>
        <w:pStyle w:val="ListParagraph"/>
        <w:numPr>
          <w:ilvl w:val="0"/>
          <w:numId w:val="15"/>
        </w:numPr>
        <w:spacing w:after="0"/>
        <w:rPr>
          <w:color w:val="000000" w:themeColor="text1"/>
        </w:rPr>
      </w:pPr>
      <w:r w:rsidRPr="00DA1F1C">
        <w:rPr>
          <w:color w:val="000000" w:themeColor="text1"/>
        </w:rPr>
        <w:lastRenderedPageBreak/>
        <w:t>Results are comparable to past results (under a regime that shareholders’ are familiar in the case of the current accounting regime)</w:t>
      </w:r>
    </w:p>
    <w:p w14:paraId="5987285B" w14:textId="3937B729" w:rsidR="00A2429E" w:rsidRPr="00DA1F1C" w:rsidRDefault="00A2429E" w:rsidP="001D254D">
      <w:pPr>
        <w:pStyle w:val="ListParagraph"/>
        <w:numPr>
          <w:ilvl w:val="0"/>
          <w:numId w:val="15"/>
        </w:numPr>
        <w:spacing w:after="0"/>
        <w:rPr>
          <w:color w:val="000000" w:themeColor="text1"/>
        </w:rPr>
      </w:pPr>
      <w:r w:rsidRPr="00DA1F1C">
        <w:rPr>
          <w:color w:val="000000" w:themeColor="text1"/>
        </w:rPr>
        <w:t>Results may better allow for the nature of the up-front financing in the business</w:t>
      </w:r>
    </w:p>
    <w:p w14:paraId="3123FE4E" w14:textId="77777777" w:rsidR="00A2429E" w:rsidRPr="00E258EC" w:rsidRDefault="00A2429E" w:rsidP="00A2429E">
      <w:pPr>
        <w:spacing w:after="0"/>
        <w:rPr>
          <w:b/>
          <w:i/>
          <w:color w:val="000000" w:themeColor="text1"/>
        </w:rPr>
      </w:pPr>
      <w:r w:rsidRPr="00E258EC">
        <w:rPr>
          <w:b/>
          <w:i/>
          <w:color w:val="000000" w:themeColor="text1"/>
        </w:rPr>
        <w:t>Cons:</w:t>
      </w:r>
    </w:p>
    <w:p w14:paraId="4CDFC89B" w14:textId="275FF01C" w:rsidR="00A2429E" w:rsidRPr="00DA1F1C" w:rsidRDefault="00A2429E" w:rsidP="001D254D">
      <w:pPr>
        <w:pStyle w:val="ListParagraph"/>
        <w:numPr>
          <w:ilvl w:val="0"/>
          <w:numId w:val="14"/>
        </w:numPr>
        <w:spacing w:after="0"/>
        <w:rPr>
          <w:color w:val="000000" w:themeColor="text1"/>
        </w:rPr>
      </w:pPr>
      <w:r w:rsidRPr="00DA1F1C">
        <w:rPr>
          <w:color w:val="000000" w:themeColor="text1"/>
        </w:rPr>
        <w:t>Shareholders’ will need to understand 2 sets of accounts – may lead to confusion among investors</w:t>
      </w:r>
    </w:p>
    <w:p w14:paraId="401FCD15" w14:textId="737B6EB2" w:rsidR="00A2429E" w:rsidRPr="00DA1F1C" w:rsidRDefault="00A2429E" w:rsidP="001D254D">
      <w:pPr>
        <w:pStyle w:val="ListParagraph"/>
        <w:numPr>
          <w:ilvl w:val="0"/>
          <w:numId w:val="14"/>
        </w:numPr>
        <w:spacing w:after="0"/>
        <w:rPr>
          <w:color w:val="000000" w:themeColor="text1"/>
        </w:rPr>
      </w:pPr>
      <w:r w:rsidRPr="00DA1F1C">
        <w:rPr>
          <w:color w:val="000000" w:themeColor="text1"/>
        </w:rPr>
        <w:t>More work required in maintaining accounts on 2 bases</w:t>
      </w:r>
    </w:p>
    <w:p w14:paraId="1F0B7240" w14:textId="1C4D9748" w:rsidR="00A2429E" w:rsidRPr="00815E28" w:rsidRDefault="00A2429E" w:rsidP="00A2429E">
      <w:pPr>
        <w:spacing w:after="0"/>
        <w:rPr>
          <w:b/>
          <w:color w:val="000000" w:themeColor="text1"/>
        </w:rPr>
      </w:pPr>
      <w:r w:rsidRPr="00815E28">
        <w:rPr>
          <w:b/>
          <w:color w:val="FF0000"/>
        </w:rPr>
        <w:t>4</w:t>
      </w:r>
      <w:r w:rsidR="00E258EC">
        <w:rPr>
          <w:b/>
          <w:color w:val="FF0000"/>
        </w:rPr>
        <w:t>)</w:t>
      </w:r>
      <w:r w:rsidRPr="00815E28">
        <w:rPr>
          <w:b/>
          <w:color w:val="FF0000"/>
        </w:rPr>
        <w:t xml:space="preserve"> Reduce new business volumes </w:t>
      </w:r>
      <w:r w:rsidRPr="00815E28">
        <w:rPr>
          <w:b/>
          <w:color w:val="000000" w:themeColor="text1"/>
        </w:rPr>
        <w:t>- reducing new business volumes will have the effect (after the initial loss) of having higher profits emerging in future periods without large new business strain on profits</w:t>
      </w:r>
    </w:p>
    <w:p w14:paraId="152AD001" w14:textId="1B115AD8" w:rsidR="00A2429E" w:rsidRPr="00E258EC" w:rsidRDefault="00A2429E" w:rsidP="00A2429E">
      <w:pPr>
        <w:spacing w:after="0"/>
        <w:rPr>
          <w:b/>
          <w:i/>
          <w:color w:val="000000" w:themeColor="text1"/>
        </w:rPr>
      </w:pPr>
      <w:r w:rsidRPr="00E258EC">
        <w:rPr>
          <w:b/>
          <w:i/>
          <w:color w:val="000000" w:themeColor="text1"/>
        </w:rPr>
        <w:t>Pros:</w:t>
      </w:r>
    </w:p>
    <w:p w14:paraId="267A662B" w14:textId="32CE0A26" w:rsidR="00A2429E" w:rsidRPr="00815E28" w:rsidRDefault="00A2429E" w:rsidP="001D254D">
      <w:pPr>
        <w:pStyle w:val="ListParagraph"/>
        <w:numPr>
          <w:ilvl w:val="0"/>
          <w:numId w:val="13"/>
        </w:numPr>
        <w:spacing w:after="0"/>
        <w:rPr>
          <w:color w:val="000000" w:themeColor="text1"/>
        </w:rPr>
      </w:pPr>
      <w:r w:rsidRPr="00815E28">
        <w:rPr>
          <w:color w:val="000000" w:themeColor="text1"/>
        </w:rPr>
        <w:t>Improved profit results (after initial losses) when new business volumes are falling</w:t>
      </w:r>
    </w:p>
    <w:p w14:paraId="40AE551D" w14:textId="75536332" w:rsidR="00A2429E" w:rsidRPr="00E258EC" w:rsidRDefault="00A2429E" w:rsidP="00A2429E">
      <w:pPr>
        <w:spacing w:after="0"/>
        <w:rPr>
          <w:b/>
          <w:i/>
          <w:color w:val="000000" w:themeColor="text1"/>
        </w:rPr>
      </w:pPr>
      <w:r w:rsidRPr="00E258EC">
        <w:rPr>
          <w:b/>
          <w:i/>
          <w:color w:val="000000" w:themeColor="text1"/>
        </w:rPr>
        <w:t>Cons:</w:t>
      </w:r>
    </w:p>
    <w:p w14:paraId="7B041D09" w14:textId="6F85E814" w:rsidR="00A2429E" w:rsidRPr="00815E28" w:rsidRDefault="00A2429E" w:rsidP="001D254D">
      <w:pPr>
        <w:pStyle w:val="ListParagraph"/>
        <w:numPr>
          <w:ilvl w:val="0"/>
          <w:numId w:val="13"/>
        </w:numPr>
        <w:spacing w:after="0"/>
        <w:rPr>
          <w:color w:val="000000" w:themeColor="text1"/>
        </w:rPr>
      </w:pPr>
      <w:r w:rsidRPr="00815E28">
        <w:rPr>
          <w:color w:val="000000" w:themeColor="text1"/>
        </w:rPr>
        <w:t>Significant impact on the business due to accounting treatment (noting that underlying profitability is okay).</w:t>
      </w:r>
    </w:p>
    <w:p w14:paraId="67DAEADD" w14:textId="1A6587BB" w:rsidR="00A2429E" w:rsidRPr="00815E28" w:rsidRDefault="00A2429E" w:rsidP="00A2429E">
      <w:pPr>
        <w:spacing w:after="0"/>
        <w:rPr>
          <w:b/>
          <w:color w:val="000000" w:themeColor="text1"/>
        </w:rPr>
      </w:pPr>
      <w:r w:rsidRPr="00815E28">
        <w:rPr>
          <w:b/>
          <w:color w:val="FF0000"/>
        </w:rPr>
        <w:t>5</w:t>
      </w:r>
      <w:r w:rsidR="00E258EC">
        <w:rPr>
          <w:b/>
          <w:color w:val="FF0000"/>
        </w:rPr>
        <w:t>)</w:t>
      </w:r>
      <w:r w:rsidRPr="00815E28">
        <w:rPr>
          <w:b/>
          <w:color w:val="FF0000"/>
        </w:rPr>
        <w:t xml:space="preserve"> Consider using reinsurance</w:t>
      </w:r>
      <w:r w:rsidRPr="00815E28">
        <w:rPr>
          <w:b/>
          <w:color w:val="000000" w:themeColor="text1"/>
        </w:rPr>
        <w:t xml:space="preserve">. Reinsurers operating in Tau but incorporated elsewhere </w:t>
      </w:r>
      <w:r w:rsidRPr="00815E28">
        <w:rPr>
          <w:b/>
          <w:color w:val="FF0000"/>
        </w:rPr>
        <w:t>do not need to follow local accounting standards.</w:t>
      </w:r>
      <w:r w:rsidRPr="00815E28">
        <w:rPr>
          <w:b/>
          <w:color w:val="000000" w:themeColor="text1"/>
        </w:rPr>
        <w:t xml:space="preserve"> Therefore, some reinsurers may be willing to offset more of the upfront acquisition costs of the policy.</w:t>
      </w:r>
    </w:p>
    <w:p w14:paraId="5470FF38" w14:textId="30CE4C57" w:rsidR="00A2429E" w:rsidRPr="00E258EC" w:rsidRDefault="00A2429E" w:rsidP="00A2429E">
      <w:pPr>
        <w:spacing w:after="0"/>
        <w:rPr>
          <w:b/>
          <w:i/>
          <w:color w:val="000000" w:themeColor="text1"/>
        </w:rPr>
      </w:pPr>
      <w:r w:rsidRPr="00E258EC">
        <w:rPr>
          <w:b/>
          <w:i/>
          <w:color w:val="000000" w:themeColor="text1"/>
        </w:rPr>
        <w:t>Pros</w:t>
      </w:r>
    </w:p>
    <w:p w14:paraId="0DFBE682" w14:textId="4AE9F504" w:rsidR="00A2429E" w:rsidRPr="00815E28" w:rsidRDefault="00A2429E" w:rsidP="001D254D">
      <w:pPr>
        <w:pStyle w:val="ListParagraph"/>
        <w:numPr>
          <w:ilvl w:val="0"/>
          <w:numId w:val="13"/>
        </w:numPr>
        <w:spacing w:after="0"/>
        <w:rPr>
          <w:color w:val="FF0000"/>
        </w:rPr>
      </w:pPr>
      <w:r w:rsidRPr="00815E28">
        <w:rPr>
          <w:color w:val="FF0000"/>
        </w:rPr>
        <w:t>The existing product structure (from the view of the consumer) will not need to be changed in order to offset the new accounting standards</w:t>
      </w:r>
    </w:p>
    <w:p w14:paraId="0046C58C" w14:textId="25D78C04" w:rsidR="00A2429E" w:rsidRPr="00815E28" w:rsidRDefault="00A2429E" w:rsidP="001D254D">
      <w:pPr>
        <w:pStyle w:val="ListParagraph"/>
        <w:numPr>
          <w:ilvl w:val="0"/>
          <w:numId w:val="13"/>
        </w:numPr>
        <w:spacing w:after="0"/>
        <w:rPr>
          <w:color w:val="000000" w:themeColor="text1"/>
        </w:rPr>
      </w:pPr>
      <w:r w:rsidRPr="00815E28">
        <w:rPr>
          <w:color w:val="FF0000"/>
        </w:rPr>
        <w:t>It may reduce capital requirements, since a larger portion of upfront expenses are paid by reinsurers</w:t>
      </w:r>
      <w:r w:rsidRPr="00815E28">
        <w:rPr>
          <w:color w:val="000000" w:themeColor="text1"/>
        </w:rPr>
        <w:t xml:space="preserve"> (again assuming no special capital adjustment is enforced due to the concentration and type of reinsurance being taken out)</w:t>
      </w:r>
    </w:p>
    <w:p w14:paraId="3615390B" w14:textId="2492DA52" w:rsidR="00A2429E" w:rsidRPr="00E258EC" w:rsidRDefault="00A2429E" w:rsidP="00A2429E">
      <w:pPr>
        <w:spacing w:after="0"/>
        <w:rPr>
          <w:b/>
          <w:i/>
          <w:color w:val="000000" w:themeColor="text1"/>
        </w:rPr>
      </w:pPr>
      <w:r w:rsidRPr="00E258EC">
        <w:rPr>
          <w:b/>
          <w:i/>
          <w:color w:val="000000" w:themeColor="text1"/>
        </w:rPr>
        <w:t>Cons</w:t>
      </w:r>
    </w:p>
    <w:p w14:paraId="673A22C7" w14:textId="38DEFDCA" w:rsidR="00A2429E" w:rsidRPr="00815E28" w:rsidRDefault="00A2429E" w:rsidP="001D254D">
      <w:pPr>
        <w:pStyle w:val="ListParagraph"/>
        <w:numPr>
          <w:ilvl w:val="0"/>
          <w:numId w:val="20"/>
        </w:numPr>
        <w:spacing w:after="0"/>
        <w:ind w:left="720"/>
        <w:rPr>
          <w:color w:val="000000" w:themeColor="text1"/>
        </w:rPr>
      </w:pPr>
      <w:r w:rsidRPr="00815E28">
        <w:rPr>
          <w:color w:val="FF0000"/>
        </w:rPr>
        <w:t xml:space="preserve">This arrangement may not be allowed under Pi Life regulations, as it is a form of </w:t>
      </w:r>
      <w:r w:rsidRPr="00815E28">
        <w:rPr>
          <w:color w:val="FF0000"/>
          <w:u w:val="single"/>
        </w:rPr>
        <w:t>financial reinsurance</w:t>
      </w:r>
      <w:r w:rsidRPr="00815E28">
        <w:rPr>
          <w:color w:val="FF0000"/>
        </w:rPr>
        <w:t xml:space="preserve"> </w:t>
      </w:r>
      <w:r w:rsidRPr="00815E28">
        <w:rPr>
          <w:color w:val="000000" w:themeColor="text1"/>
        </w:rPr>
        <w:t>(it may need special approval, as in Australia)</w:t>
      </w:r>
    </w:p>
    <w:p w14:paraId="3C5514F8" w14:textId="0B71BF39" w:rsidR="00A2429E" w:rsidRPr="00815E28" w:rsidRDefault="00A2429E" w:rsidP="001D254D">
      <w:pPr>
        <w:pStyle w:val="ListParagraph"/>
        <w:numPr>
          <w:ilvl w:val="0"/>
          <w:numId w:val="20"/>
        </w:numPr>
        <w:spacing w:after="0"/>
        <w:ind w:left="720"/>
        <w:rPr>
          <w:color w:val="000000" w:themeColor="text1"/>
        </w:rPr>
      </w:pPr>
      <w:r w:rsidRPr="00815E28">
        <w:rPr>
          <w:color w:val="000000" w:themeColor="text1"/>
        </w:rPr>
        <w:t xml:space="preserve">This will likely </w:t>
      </w:r>
      <w:r w:rsidRPr="00815E28">
        <w:rPr>
          <w:color w:val="FF0000"/>
        </w:rPr>
        <w:t>be costly</w:t>
      </w:r>
      <w:r w:rsidRPr="00815E28">
        <w:rPr>
          <w:color w:val="000000" w:themeColor="text1"/>
        </w:rPr>
        <w:t>; reinsurers would want a higher portion of future profits to effect the deal</w:t>
      </w:r>
    </w:p>
    <w:p w14:paraId="27123E6B" w14:textId="46390C24" w:rsidR="00A2429E" w:rsidRPr="00815E28" w:rsidRDefault="00A2429E" w:rsidP="001D254D">
      <w:pPr>
        <w:pStyle w:val="ListParagraph"/>
        <w:numPr>
          <w:ilvl w:val="0"/>
          <w:numId w:val="20"/>
        </w:numPr>
        <w:spacing w:after="0"/>
        <w:ind w:left="720"/>
        <w:rPr>
          <w:color w:val="000000" w:themeColor="text1"/>
        </w:rPr>
      </w:pPr>
      <w:r w:rsidRPr="00815E28">
        <w:rPr>
          <w:color w:val="000000" w:themeColor="text1"/>
        </w:rPr>
        <w:t>Reinsurers may not be willing to take on the risk</w:t>
      </w:r>
    </w:p>
    <w:p w14:paraId="01F15DED" w14:textId="77777777" w:rsidR="00A2429E" w:rsidRPr="00E258EC" w:rsidRDefault="00A2429E" w:rsidP="00A2429E">
      <w:pPr>
        <w:spacing w:after="0"/>
        <w:rPr>
          <w:b/>
          <w:color w:val="000000" w:themeColor="text1"/>
        </w:rPr>
      </w:pPr>
      <w:r w:rsidRPr="00E258EC">
        <w:rPr>
          <w:b/>
          <w:color w:val="000000" w:themeColor="text1"/>
        </w:rPr>
        <w:t>Other acceptable options include:</w:t>
      </w:r>
    </w:p>
    <w:p w14:paraId="23ACF26A" w14:textId="77777777" w:rsidR="00A2429E" w:rsidRPr="00A2429E" w:rsidRDefault="00A2429E" w:rsidP="00A2429E">
      <w:pPr>
        <w:spacing w:after="0"/>
        <w:rPr>
          <w:color w:val="000000" w:themeColor="text1"/>
        </w:rPr>
      </w:pPr>
      <w:r w:rsidRPr="00A2429E">
        <w:rPr>
          <w:rFonts w:hint="eastAsia"/>
          <w:color w:val="000000" w:themeColor="text1"/>
        </w:rPr>
        <w:t>•</w:t>
      </w:r>
      <w:r w:rsidRPr="00A2429E">
        <w:rPr>
          <w:color w:val="000000" w:themeColor="text1"/>
        </w:rPr>
        <w:t xml:space="preserve"> </w:t>
      </w:r>
      <w:r w:rsidRPr="00815E28">
        <w:rPr>
          <w:color w:val="00B050"/>
        </w:rPr>
        <w:t xml:space="preserve">Suggestions of ways to reduce acquisition expenses </w:t>
      </w:r>
      <w:r w:rsidRPr="00A2429E">
        <w:rPr>
          <w:color w:val="000000" w:themeColor="text1"/>
        </w:rPr>
        <w:t>– e.</w:t>
      </w:r>
      <w:proofErr w:type="gramStart"/>
      <w:r w:rsidRPr="00A2429E">
        <w:rPr>
          <w:color w:val="000000" w:themeColor="text1"/>
        </w:rPr>
        <w:t>g</w:t>
      </w:r>
      <w:proofErr w:type="gramEnd"/>
      <w:r w:rsidRPr="00A2429E">
        <w:rPr>
          <w:color w:val="000000" w:themeColor="text1"/>
        </w:rPr>
        <w:t>. introduce a new product with lower acquisition expenses</w:t>
      </w:r>
    </w:p>
    <w:p w14:paraId="3CDC9185" w14:textId="77777777" w:rsidR="00A2429E" w:rsidRPr="00A2429E" w:rsidRDefault="00A2429E" w:rsidP="00A2429E">
      <w:pPr>
        <w:spacing w:after="0"/>
        <w:rPr>
          <w:color w:val="000000" w:themeColor="text1"/>
        </w:rPr>
      </w:pPr>
      <w:r w:rsidRPr="00A2429E">
        <w:rPr>
          <w:rFonts w:hint="eastAsia"/>
          <w:color w:val="000000" w:themeColor="text1"/>
        </w:rPr>
        <w:t>•</w:t>
      </w:r>
      <w:r w:rsidRPr="00A2429E">
        <w:rPr>
          <w:color w:val="000000" w:themeColor="text1"/>
        </w:rPr>
        <w:t xml:space="preserve"> </w:t>
      </w:r>
      <w:r w:rsidRPr="00815E28">
        <w:rPr>
          <w:color w:val="FF0000"/>
        </w:rPr>
        <w:t xml:space="preserve">Sell through different distribution channel with lower initial commissions </w:t>
      </w:r>
      <w:r w:rsidRPr="00A2429E">
        <w:rPr>
          <w:color w:val="000000" w:themeColor="text1"/>
        </w:rPr>
        <w:t>(e.g. Direct business)</w:t>
      </w:r>
    </w:p>
    <w:p w14:paraId="48706C03" w14:textId="74C770F5" w:rsidR="00A2429E" w:rsidRPr="00815E28" w:rsidRDefault="00A2429E" w:rsidP="00A2429E">
      <w:pPr>
        <w:spacing w:after="0"/>
        <w:rPr>
          <w:color w:val="FF0000"/>
        </w:rPr>
      </w:pPr>
      <w:r w:rsidRPr="00A2429E">
        <w:rPr>
          <w:rFonts w:hint="eastAsia"/>
          <w:color w:val="000000" w:themeColor="text1"/>
        </w:rPr>
        <w:t>•</w:t>
      </w:r>
      <w:r w:rsidRPr="00A2429E">
        <w:rPr>
          <w:color w:val="000000" w:themeColor="text1"/>
        </w:rPr>
        <w:t xml:space="preserve"> </w:t>
      </w:r>
      <w:r w:rsidRPr="00815E28">
        <w:rPr>
          <w:color w:val="FF0000"/>
        </w:rPr>
        <w:t>Reinsurance options that are clearly not financial reinsurance</w:t>
      </w:r>
    </w:p>
    <w:p w14:paraId="5F6F7135" w14:textId="77777777" w:rsidR="00815E28" w:rsidRDefault="00815E28" w:rsidP="002F67AD">
      <w:pPr>
        <w:spacing w:after="0"/>
      </w:pPr>
    </w:p>
    <w:p w14:paraId="18FEAD2F" w14:textId="1B50B377" w:rsidR="008E3E91" w:rsidRPr="008E3E91" w:rsidRDefault="00815E28" w:rsidP="008E3E91">
      <w:pPr>
        <w:spacing w:after="0"/>
        <w:rPr>
          <w:color w:val="00B050"/>
        </w:rPr>
      </w:pPr>
      <w:r>
        <w:t xml:space="preserve">2d) </w:t>
      </w:r>
      <w:r w:rsidR="008E3E91" w:rsidRPr="008E3E91">
        <w:rPr>
          <w:b/>
          <w:color w:val="00B050"/>
        </w:rPr>
        <w:t>Approach 1</w:t>
      </w:r>
      <w:r w:rsidR="008E3E91" w:rsidRPr="008E3E91">
        <w:rPr>
          <w:color w:val="00B050"/>
        </w:rPr>
        <w:t>: Use an approach consistent with AIFRS approach</w:t>
      </w:r>
    </w:p>
    <w:p w14:paraId="7D46A569" w14:textId="0201AA3C" w:rsidR="008E3E91" w:rsidRPr="008E3E91" w:rsidRDefault="008E3E91" w:rsidP="008E3E91">
      <w:pPr>
        <w:spacing w:after="0"/>
        <w:rPr>
          <w:color w:val="FF0000"/>
        </w:rPr>
      </w:pPr>
      <w:r w:rsidRPr="008E3E91">
        <w:rPr>
          <w:color w:val="FF0000"/>
        </w:rPr>
        <w:t xml:space="preserve">Under this approach, initial acquisition costs and expenses are </w:t>
      </w:r>
      <w:proofErr w:type="spellStart"/>
      <w:r w:rsidRPr="008E3E91">
        <w:rPr>
          <w:color w:val="FF0000"/>
        </w:rPr>
        <w:t>amortised</w:t>
      </w:r>
      <w:proofErr w:type="spellEnd"/>
      <w:r w:rsidRPr="008E3E91">
        <w:rPr>
          <w:color w:val="FF0000"/>
        </w:rPr>
        <w:t xml:space="preserve"> and profit is released over time in line with a profit carrier</w:t>
      </w:r>
    </w:p>
    <w:p w14:paraId="1A4495F9" w14:textId="77777777" w:rsidR="008E3E91" w:rsidRPr="008E3E91" w:rsidRDefault="008E3E91" w:rsidP="008E3E91">
      <w:pPr>
        <w:spacing w:after="0"/>
        <w:rPr>
          <w:i/>
        </w:rPr>
      </w:pPr>
      <w:r w:rsidRPr="008E3E91">
        <w:rPr>
          <w:i/>
        </w:rPr>
        <w:t>Advantages:</w:t>
      </w:r>
    </w:p>
    <w:p w14:paraId="543A296D" w14:textId="5C366CE2" w:rsidR="008E3E91" w:rsidRPr="008E3E91" w:rsidRDefault="008E3E91" w:rsidP="001D254D">
      <w:pPr>
        <w:pStyle w:val="ListParagraph"/>
        <w:numPr>
          <w:ilvl w:val="0"/>
          <w:numId w:val="21"/>
        </w:numPr>
        <w:spacing w:after="0"/>
        <w:rPr>
          <w:color w:val="00B050"/>
        </w:rPr>
      </w:pPr>
      <w:r w:rsidRPr="008E3E91">
        <w:rPr>
          <w:color w:val="00B050"/>
        </w:rPr>
        <w:t>Initial expenses are deferred and profits emerge smoothly over the lifetime of a policy</w:t>
      </w:r>
    </w:p>
    <w:p w14:paraId="56542EBC" w14:textId="0FDC4E53" w:rsidR="008E3E91" w:rsidRDefault="008E3E91" w:rsidP="001D254D">
      <w:pPr>
        <w:pStyle w:val="ListParagraph"/>
        <w:numPr>
          <w:ilvl w:val="0"/>
          <w:numId w:val="21"/>
        </w:numPr>
        <w:spacing w:after="0"/>
      </w:pPr>
      <w:r w:rsidRPr="008E3E91">
        <w:rPr>
          <w:color w:val="00B050"/>
        </w:rPr>
        <w:lastRenderedPageBreak/>
        <w:t xml:space="preserve">Consistent with current approach – will continue to make sense to shareholders </w:t>
      </w:r>
      <w:r>
        <w:t>if reporting on this basis continues to be provided to shareholders (as well as the proposed new basis)</w:t>
      </w:r>
    </w:p>
    <w:p w14:paraId="7691D0F7" w14:textId="2F8A506D" w:rsidR="008E3E91" w:rsidRDefault="008E3E91" w:rsidP="001D254D">
      <w:pPr>
        <w:pStyle w:val="ListParagraph"/>
        <w:numPr>
          <w:ilvl w:val="0"/>
          <w:numId w:val="21"/>
        </w:numPr>
        <w:spacing w:after="0"/>
      </w:pPr>
      <w:r>
        <w:t>Processes will be in place currently to report on this basis</w:t>
      </w:r>
    </w:p>
    <w:p w14:paraId="530A786F" w14:textId="77777777" w:rsidR="008E3E91" w:rsidRPr="008E3E91" w:rsidRDefault="008E3E91" w:rsidP="008E3E91">
      <w:pPr>
        <w:spacing w:after="0"/>
        <w:rPr>
          <w:i/>
        </w:rPr>
      </w:pPr>
      <w:r w:rsidRPr="008E3E91">
        <w:rPr>
          <w:i/>
        </w:rPr>
        <w:t>Disadvantages:</w:t>
      </w:r>
    </w:p>
    <w:p w14:paraId="5156EA00" w14:textId="5ED3DB51" w:rsidR="00815E28" w:rsidRDefault="008E3E91" w:rsidP="001D254D">
      <w:pPr>
        <w:pStyle w:val="ListParagraph"/>
        <w:numPr>
          <w:ilvl w:val="0"/>
          <w:numId w:val="21"/>
        </w:numPr>
        <w:spacing w:after="0"/>
      </w:pPr>
      <w:r>
        <w:t>Approach depends on long term projections which involve a high degree of uncertainty (to support that the business should not be in loss recognition)</w:t>
      </w:r>
    </w:p>
    <w:p w14:paraId="29E2B3AE" w14:textId="42D97CCA" w:rsidR="008E3E91" w:rsidRPr="008E3E91" w:rsidRDefault="008E3E91" w:rsidP="001D254D">
      <w:pPr>
        <w:pStyle w:val="ListParagraph"/>
        <w:numPr>
          <w:ilvl w:val="0"/>
          <w:numId w:val="21"/>
        </w:numPr>
        <w:spacing w:after="0"/>
        <w:rPr>
          <w:color w:val="FF0000"/>
        </w:rPr>
      </w:pPr>
      <w:r w:rsidRPr="008E3E91">
        <w:rPr>
          <w:color w:val="FF0000"/>
        </w:rPr>
        <w:t>Having two sets of accounts (one as required and maintaining the old approach) will require more systems / processes in place and will be more costly to produce</w:t>
      </w:r>
    </w:p>
    <w:p w14:paraId="2138ABC3" w14:textId="77777777" w:rsidR="008E3E91" w:rsidRDefault="008E3E91" w:rsidP="008E3E91">
      <w:pPr>
        <w:spacing w:after="0"/>
        <w:rPr>
          <w:b/>
        </w:rPr>
      </w:pPr>
    </w:p>
    <w:p w14:paraId="0A840B0F" w14:textId="3FF55E48" w:rsidR="008E3E91" w:rsidRPr="008E3E91" w:rsidRDefault="008E3E91" w:rsidP="008E3E91">
      <w:pPr>
        <w:spacing w:after="0"/>
        <w:rPr>
          <w:color w:val="FF0000"/>
        </w:rPr>
      </w:pPr>
      <w:r w:rsidRPr="008E3E91">
        <w:rPr>
          <w:b/>
          <w:color w:val="FF0000"/>
        </w:rPr>
        <w:t>Approach 2</w:t>
      </w:r>
      <w:r w:rsidRPr="008E3E91">
        <w:rPr>
          <w:color w:val="FF0000"/>
        </w:rPr>
        <w:t xml:space="preserve">: Change </w:t>
      </w:r>
      <w:r>
        <w:rPr>
          <w:color w:val="FF0000"/>
        </w:rPr>
        <w:t>to</w:t>
      </w:r>
      <w:r w:rsidRPr="008E3E91">
        <w:rPr>
          <w:color w:val="FF0000"/>
        </w:rPr>
        <w:t xml:space="preserve"> </w:t>
      </w:r>
      <w:r w:rsidRPr="008E3E91">
        <w:rPr>
          <w:b/>
          <w:color w:val="FF0000"/>
        </w:rPr>
        <w:t>Embedded Value Approach</w:t>
      </w:r>
      <w:r w:rsidRPr="008E3E91">
        <w:rPr>
          <w:color w:val="FF0000"/>
        </w:rPr>
        <w:t xml:space="preserve"> – under this approach management, reporting will consider the change in the Embedded Value from period to period.</w:t>
      </w:r>
    </w:p>
    <w:p w14:paraId="06A8E963" w14:textId="77777777" w:rsidR="008E3E91" w:rsidRPr="008E3E91" w:rsidRDefault="008E3E91" w:rsidP="008E3E91">
      <w:pPr>
        <w:spacing w:after="0"/>
        <w:rPr>
          <w:i/>
        </w:rPr>
      </w:pPr>
      <w:r w:rsidRPr="008E3E91">
        <w:rPr>
          <w:i/>
        </w:rPr>
        <w:t>Advantages:</w:t>
      </w:r>
    </w:p>
    <w:p w14:paraId="190E3184" w14:textId="6EE2548F" w:rsidR="008E3E91" w:rsidRPr="008E3E91" w:rsidRDefault="008E3E91" w:rsidP="001D254D">
      <w:pPr>
        <w:pStyle w:val="ListParagraph"/>
        <w:numPr>
          <w:ilvl w:val="0"/>
          <w:numId w:val="21"/>
        </w:numPr>
        <w:spacing w:after="0"/>
        <w:rPr>
          <w:color w:val="FF0000"/>
        </w:rPr>
      </w:pPr>
      <w:r w:rsidRPr="008E3E91">
        <w:rPr>
          <w:color w:val="FF0000"/>
        </w:rPr>
        <w:t>Gets to the true profitability of the underlying business being written without having artificial accounting treatment impact on the results</w:t>
      </w:r>
    </w:p>
    <w:p w14:paraId="508E516B" w14:textId="71DD48BC" w:rsidR="008E3E91" w:rsidRPr="008E3E91" w:rsidRDefault="008E3E91" w:rsidP="001D254D">
      <w:pPr>
        <w:pStyle w:val="ListParagraph"/>
        <w:numPr>
          <w:ilvl w:val="0"/>
          <w:numId w:val="21"/>
        </w:numPr>
        <w:spacing w:after="0"/>
        <w:rPr>
          <w:color w:val="FF0000"/>
        </w:rPr>
      </w:pPr>
      <w:r w:rsidRPr="008E3E91">
        <w:rPr>
          <w:color w:val="FF0000"/>
        </w:rPr>
        <w:t xml:space="preserve">Changes in the value of the business from period to period are what management (and if </w:t>
      </w:r>
      <w:proofErr w:type="spellStart"/>
      <w:r w:rsidRPr="008E3E91">
        <w:rPr>
          <w:color w:val="FF0000"/>
        </w:rPr>
        <w:t>publicised</w:t>
      </w:r>
      <w:proofErr w:type="spellEnd"/>
      <w:r w:rsidRPr="008E3E91">
        <w:rPr>
          <w:color w:val="FF0000"/>
        </w:rPr>
        <w:t>, investors) should be focused on</w:t>
      </w:r>
    </w:p>
    <w:p w14:paraId="7ED6661C" w14:textId="77777777" w:rsidR="008E3E91" w:rsidRPr="008E3E91" w:rsidRDefault="008E3E91" w:rsidP="008E3E91">
      <w:pPr>
        <w:spacing w:after="0"/>
        <w:rPr>
          <w:i/>
        </w:rPr>
      </w:pPr>
      <w:r w:rsidRPr="008E3E91">
        <w:rPr>
          <w:i/>
        </w:rPr>
        <w:t>Disadvantages:</w:t>
      </w:r>
    </w:p>
    <w:p w14:paraId="02184420" w14:textId="6B614670" w:rsidR="008E3E91" w:rsidRDefault="008E3E91" w:rsidP="001D254D">
      <w:pPr>
        <w:pStyle w:val="ListParagraph"/>
        <w:numPr>
          <w:ilvl w:val="0"/>
          <w:numId w:val="21"/>
        </w:numPr>
        <w:spacing w:after="0"/>
      </w:pPr>
      <w:r>
        <w:t xml:space="preserve">Embedded Values are based on long-term projections. </w:t>
      </w:r>
      <w:r w:rsidRPr="008E3E91">
        <w:rPr>
          <w:color w:val="FF0000"/>
        </w:rPr>
        <w:t xml:space="preserve">These projections include many assumptions and are hence based on highly uncertain future </w:t>
      </w:r>
      <w:proofErr w:type="spellStart"/>
      <w:r w:rsidRPr="008E3E91">
        <w:rPr>
          <w:color w:val="FF0000"/>
        </w:rPr>
        <w:t>cashflows</w:t>
      </w:r>
      <w:proofErr w:type="spellEnd"/>
    </w:p>
    <w:p w14:paraId="77FA2E27" w14:textId="3643B74F" w:rsidR="008E3E91" w:rsidRPr="008E3E91" w:rsidRDefault="008E3E91" w:rsidP="001D254D">
      <w:pPr>
        <w:pStyle w:val="ListParagraph"/>
        <w:numPr>
          <w:ilvl w:val="0"/>
          <w:numId w:val="21"/>
        </w:numPr>
        <w:spacing w:after="0"/>
        <w:rPr>
          <w:color w:val="FF0000"/>
        </w:rPr>
      </w:pPr>
      <w:r w:rsidRPr="008E3E91">
        <w:rPr>
          <w:color w:val="FF0000"/>
        </w:rPr>
        <w:t>Even small changes in assumptions can impact the embedded value significantly and hence the management reporting may be subject to large amounts of noise and volatility.</w:t>
      </w:r>
    </w:p>
    <w:p w14:paraId="53C986A7" w14:textId="29670D26" w:rsidR="008E3E91" w:rsidRDefault="008E3E91" w:rsidP="001D254D">
      <w:pPr>
        <w:pStyle w:val="ListParagraph"/>
        <w:numPr>
          <w:ilvl w:val="0"/>
          <w:numId w:val="21"/>
        </w:numPr>
        <w:spacing w:after="0"/>
      </w:pPr>
      <w:r>
        <w:t>Embedded value calculations may not be completed as frequently as the accounting profits are currently reported to management. There may be significant costs (e.g. resources) required to increase reporting frequency to that required by the Board.</w:t>
      </w:r>
    </w:p>
    <w:p w14:paraId="4BB958A7" w14:textId="753FA86E" w:rsidR="008E3E91" w:rsidRDefault="008E3E91" w:rsidP="008E3E91">
      <w:pPr>
        <w:spacing w:after="0"/>
      </w:pPr>
      <w:r w:rsidRPr="00A5300B">
        <w:rPr>
          <w:b/>
          <w:color w:val="FF0000"/>
        </w:rPr>
        <w:t>Another acceptable approach would be to report new business following the change and inforce business separately</w:t>
      </w:r>
      <w:r>
        <w:t>; given the different impact the change would have on the reported profit on each of these.</w:t>
      </w:r>
    </w:p>
    <w:p w14:paraId="261BE483" w14:textId="77777777" w:rsidR="003E7257" w:rsidRDefault="003E7257" w:rsidP="003E7257">
      <w:pPr>
        <w:spacing w:after="60"/>
      </w:pPr>
    </w:p>
    <w:sectPr w:rsidR="003E72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31F05" w14:textId="77777777" w:rsidR="00D769D6" w:rsidRDefault="00D769D6" w:rsidP="00565DE9">
      <w:pPr>
        <w:spacing w:after="0" w:line="240" w:lineRule="auto"/>
      </w:pPr>
      <w:r>
        <w:separator/>
      </w:r>
    </w:p>
  </w:endnote>
  <w:endnote w:type="continuationSeparator" w:id="0">
    <w:p w14:paraId="65D8FB50" w14:textId="77777777" w:rsidR="00D769D6" w:rsidRDefault="00D769D6"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D8F7" w14:textId="77777777" w:rsidR="00D769D6" w:rsidRDefault="00D769D6" w:rsidP="00565DE9">
      <w:pPr>
        <w:spacing w:after="0" w:line="240" w:lineRule="auto"/>
      </w:pPr>
      <w:r>
        <w:separator/>
      </w:r>
    </w:p>
  </w:footnote>
  <w:footnote w:type="continuationSeparator" w:id="0">
    <w:p w14:paraId="556C9809" w14:textId="77777777" w:rsidR="00D769D6" w:rsidRDefault="00D769D6"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5344"/>
    <w:multiLevelType w:val="hybridMultilevel"/>
    <w:tmpl w:val="5D0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86681"/>
    <w:multiLevelType w:val="hybridMultilevel"/>
    <w:tmpl w:val="4DCC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72961"/>
    <w:multiLevelType w:val="hybridMultilevel"/>
    <w:tmpl w:val="7036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14D04"/>
    <w:multiLevelType w:val="hybridMultilevel"/>
    <w:tmpl w:val="9A9A9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E133F"/>
    <w:multiLevelType w:val="hybridMultilevel"/>
    <w:tmpl w:val="200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02DE1"/>
    <w:multiLevelType w:val="hybridMultilevel"/>
    <w:tmpl w:val="781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81FB6"/>
    <w:multiLevelType w:val="hybridMultilevel"/>
    <w:tmpl w:val="7C7E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C65E8"/>
    <w:multiLevelType w:val="hybridMultilevel"/>
    <w:tmpl w:val="8F00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05B28"/>
    <w:multiLevelType w:val="hybridMultilevel"/>
    <w:tmpl w:val="9D462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B1579"/>
    <w:multiLevelType w:val="hybridMultilevel"/>
    <w:tmpl w:val="526A3408"/>
    <w:lvl w:ilvl="0" w:tplc="33EAF40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046E0"/>
    <w:multiLevelType w:val="hybridMultilevel"/>
    <w:tmpl w:val="6AA493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42B9A"/>
    <w:multiLevelType w:val="hybridMultilevel"/>
    <w:tmpl w:val="F53465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02D6F"/>
    <w:multiLevelType w:val="hybridMultilevel"/>
    <w:tmpl w:val="51523F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BC2EDE"/>
    <w:multiLevelType w:val="hybridMultilevel"/>
    <w:tmpl w:val="657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3A6"/>
    <w:multiLevelType w:val="hybridMultilevel"/>
    <w:tmpl w:val="AD9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70197"/>
    <w:multiLevelType w:val="hybridMultilevel"/>
    <w:tmpl w:val="709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40C47"/>
    <w:multiLevelType w:val="hybridMultilevel"/>
    <w:tmpl w:val="779C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6D6DC4"/>
    <w:multiLevelType w:val="hybridMultilevel"/>
    <w:tmpl w:val="B138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A5707D"/>
    <w:multiLevelType w:val="hybridMultilevel"/>
    <w:tmpl w:val="B100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BD5693"/>
    <w:multiLevelType w:val="hybridMultilevel"/>
    <w:tmpl w:val="266EA9B6"/>
    <w:lvl w:ilvl="0" w:tplc="04090001">
      <w:start w:val="1"/>
      <w:numFmt w:val="bullet"/>
      <w:lvlText w:val=""/>
      <w:lvlJc w:val="left"/>
      <w:pPr>
        <w:ind w:left="720" w:hanging="360"/>
      </w:pPr>
      <w:rPr>
        <w:rFonts w:ascii="Symbol" w:hAnsi="Symbol" w:hint="default"/>
      </w:rPr>
    </w:lvl>
    <w:lvl w:ilvl="1" w:tplc="6548EDF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250463"/>
    <w:multiLevelType w:val="hybridMultilevel"/>
    <w:tmpl w:val="2574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17"/>
  </w:num>
  <w:num w:numId="5">
    <w:abstractNumId w:val="1"/>
  </w:num>
  <w:num w:numId="6">
    <w:abstractNumId w:val="4"/>
  </w:num>
  <w:num w:numId="7">
    <w:abstractNumId w:val="0"/>
  </w:num>
  <w:num w:numId="8">
    <w:abstractNumId w:val="14"/>
  </w:num>
  <w:num w:numId="9">
    <w:abstractNumId w:val="16"/>
  </w:num>
  <w:num w:numId="10">
    <w:abstractNumId w:val="15"/>
  </w:num>
  <w:num w:numId="11">
    <w:abstractNumId w:val="18"/>
  </w:num>
  <w:num w:numId="12">
    <w:abstractNumId w:val="7"/>
  </w:num>
  <w:num w:numId="13">
    <w:abstractNumId w:val="2"/>
  </w:num>
  <w:num w:numId="14">
    <w:abstractNumId w:val="12"/>
  </w:num>
  <w:num w:numId="15">
    <w:abstractNumId w:val="19"/>
  </w:num>
  <w:num w:numId="16">
    <w:abstractNumId w:val="8"/>
  </w:num>
  <w:num w:numId="17">
    <w:abstractNumId w:val="10"/>
  </w:num>
  <w:num w:numId="18">
    <w:abstractNumId w:val="11"/>
  </w:num>
  <w:num w:numId="19">
    <w:abstractNumId w:val="5"/>
  </w:num>
  <w:num w:numId="20">
    <w:abstractNumId w:val="3"/>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16D97"/>
    <w:rsid w:val="00021598"/>
    <w:rsid w:val="000224A3"/>
    <w:rsid w:val="00025BF7"/>
    <w:rsid w:val="00026F9E"/>
    <w:rsid w:val="000270E7"/>
    <w:rsid w:val="0003016D"/>
    <w:rsid w:val="00030932"/>
    <w:rsid w:val="000310A4"/>
    <w:rsid w:val="00031F6C"/>
    <w:rsid w:val="00034C5F"/>
    <w:rsid w:val="00035492"/>
    <w:rsid w:val="00035A51"/>
    <w:rsid w:val="00035E50"/>
    <w:rsid w:val="00042A3B"/>
    <w:rsid w:val="00042CAA"/>
    <w:rsid w:val="00044B71"/>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710F8"/>
    <w:rsid w:val="0007159A"/>
    <w:rsid w:val="00074012"/>
    <w:rsid w:val="000740CC"/>
    <w:rsid w:val="00074B05"/>
    <w:rsid w:val="000760DF"/>
    <w:rsid w:val="000764FF"/>
    <w:rsid w:val="000807BE"/>
    <w:rsid w:val="00080DFA"/>
    <w:rsid w:val="000811EB"/>
    <w:rsid w:val="00083E3D"/>
    <w:rsid w:val="000874FD"/>
    <w:rsid w:val="00092372"/>
    <w:rsid w:val="00093A90"/>
    <w:rsid w:val="00093F69"/>
    <w:rsid w:val="00094261"/>
    <w:rsid w:val="000971FB"/>
    <w:rsid w:val="000A10CF"/>
    <w:rsid w:val="000A1F46"/>
    <w:rsid w:val="000A3AD5"/>
    <w:rsid w:val="000A6E4E"/>
    <w:rsid w:val="000A6EFF"/>
    <w:rsid w:val="000A7AC2"/>
    <w:rsid w:val="000B22C7"/>
    <w:rsid w:val="000B252A"/>
    <w:rsid w:val="000B6580"/>
    <w:rsid w:val="000B7850"/>
    <w:rsid w:val="000C0255"/>
    <w:rsid w:val="000C0D3D"/>
    <w:rsid w:val="000C377D"/>
    <w:rsid w:val="000C764C"/>
    <w:rsid w:val="000D0132"/>
    <w:rsid w:val="000D1349"/>
    <w:rsid w:val="000D23C3"/>
    <w:rsid w:val="000D2B62"/>
    <w:rsid w:val="000D33CA"/>
    <w:rsid w:val="000D4C8D"/>
    <w:rsid w:val="000D4DE0"/>
    <w:rsid w:val="000D5C83"/>
    <w:rsid w:val="000D650E"/>
    <w:rsid w:val="000D66EA"/>
    <w:rsid w:val="000D6D93"/>
    <w:rsid w:val="000E3D0C"/>
    <w:rsid w:val="000E470E"/>
    <w:rsid w:val="000E57DE"/>
    <w:rsid w:val="000E59D7"/>
    <w:rsid w:val="000F04CC"/>
    <w:rsid w:val="000F1189"/>
    <w:rsid w:val="000F359F"/>
    <w:rsid w:val="000F521F"/>
    <w:rsid w:val="000F6A44"/>
    <w:rsid w:val="00100D63"/>
    <w:rsid w:val="00102728"/>
    <w:rsid w:val="00103C6A"/>
    <w:rsid w:val="00104EF8"/>
    <w:rsid w:val="001055FA"/>
    <w:rsid w:val="00107E2A"/>
    <w:rsid w:val="00113F8B"/>
    <w:rsid w:val="00114361"/>
    <w:rsid w:val="001143DD"/>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A01"/>
    <w:rsid w:val="00130283"/>
    <w:rsid w:val="001302A7"/>
    <w:rsid w:val="00131CD1"/>
    <w:rsid w:val="00132A6F"/>
    <w:rsid w:val="001366F3"/>
    <w:rsid w:val="00137C86"/>
    <w:rsid w:val="00137E1E"/>
    <w:rsid w:val="001424FA"/>
    <w:rsid w:val="00142945"/>
    <w:rsid w:val="001430CE"/>
    <w:rsid w:val="00143429"/>
    <w:rsid w:val="00144C98"/>
    <w:rsid w:val="00146811"/>
    <w:rsid w:val="00151E84"/>
    <w:rsid w:val="00152031"/>
    <w:rsid w:val="00155049"/>
    <w:rsid w:val="001555AB"/>
    <w:rsid w:val="001555D0"/>
    <w:rsid w:val="00156131"/>
    <w:rsid w:val="00161061"/>
    <w:rsid w:val="001623E2"/>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64EE"/>
    <w:rsid w:val="001A7B2B"/>
    <w:rsid w:val="001B0F52"/>
    <w:rsid w:val="001B2676"/>
    <w:rsid w:val="001B2ECF"/>
    <w:rsid w:val="001B3E3F"/>
    <w:rsid w:val="001B499D"/>
    <w:rsid w:val="001B577B"/>
    <w:rsid w:val="001B728F"/>
    <w:rsid w:val="001C1DCE"/>
    <w:rsid w:val="001C3817"/>
    <w:rsid w:val="001C3970"/>
    <w:rsid w:val="001C3BB4"/>
    <w:rsid w:val="001C431D"/>
    <w:rsid w:val="001C5785"/>
    <w:rsid w:val="001D03A8"/>
    <w:rsid w:val="001D07F5"/>
    <w:rsid w:val="001D2026"/>
    <w:rsid w:val="001D202D"/>
    <w:rsid w:val="001D254D"/>
    <w:rsid w:val="001D3ED2"/>
    <w:rsid w:val="001D6BB4"/>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6AA6"/>
    <w:rsid w:val="0022000A"/>
    <w:rsid w:val="002250E8"/>
    <w:rsid w:val="002273AB"/>
    <w:rsid w:val="002308C2"/>
    <w:rsid w:val="00230B1C"/>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5B1D"/>
    <w:rsid w:val="00256F14"/>
    <w:rsid w:val="00260426"/>
    <w:rsid w:val="002604DB"/>
    <w:rsid w:val="00263501"/>
    <w:rsid w:val="0026474F"/>
    <w:rsid w:val="00267843"/>
    <w:rsid w:val="0026793B"/>
    <w:rsid w:val="00270102"/>
    <w:rsid w:val="00270E93"/>
    <w:rsid w:val="0027219A"/>
    <w:rsid w:val="0027336D"/>
    <w:rsid w:val="002752B2"/>
    <w:rsid w:val="00277354"/>
    <w:rsid w:val="002776D0"/>
    <w:rsid w:val="002803D9"/>
    <w:rsid w:val="002811C1"/>
    <w:rsid w:val="00283B72"/>
    <w:rsid w:val="00285541"/>
    <w:rsid w:val="00285AEE"/>
    <w:rsid w:val="00285E46"/>
    <w:rsid w:val="00286771"/>
    <w:rsid w:val="002976E9"/>
    <w:rsid w:val="00297D92"/>
    <w:rsid w:val="002A284E"/>
    <w:rsid w:val="002A29D6"/>
    <w:rsid w:val="002A3312"/>
    <w:rsid w:val="002A3E82"/>
    <w:rsid w:val="002A5657"/>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2A09"/>
    <w:rsid w:val="002E3E47"/>
    <w:rsid w:val="002E555A"/>
    <w:rsid w:val="002E5653"/>
    <w:rsid w:val="002E5DCA"/>
    <w:rsid w:val="002E74B3"/>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1199"/>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712B"/>
    <w:rsid w:val="003616C4"/>
    <w:rsid w:val="00361D14"/>
    <w:rsid w:val="003633A7"/>
    <w:rsid w:val="00363497"/>
    <w:rsid w:val="00365CD8"/>
    <w:rsid w:val="00365DEB"/>
    <w:rsid w:val="00372E6A"/>
    <w:rsid w:val="003737C6"/>
    <w:rsid w:val="00373B2F"/>
    <w:rsid w:val="00375170"/>
    <w:rsid w:val="00377C13"/>
    <w:rsid w:val="003850E0"/>
    <w:rsid w:val="00386976"/>
    <w:rsid w:val="00387E54"/>
    <w:rsid w:val="00387E57"/>
    <w:rsid w:val="00391137"/>
    <w:rsid w:val="00391B69"/>
    <w:rsid w:val="00391FDB"/>
    <w:rsid w:val="003948D9"/>
    <w:rsid w:val="0039544F"/>
    <w:rsid w:val="003A0573"/>
    <w:rsid w:val="003A0EA0"/>
    <w:rsid w:val="003A2B67"/>
    <w:rsid w:val="003A4E46"/>
    <w:rsid w:val="003A7392"/>
    <w:rsid w:val="003B2AB2"/>
    <w:rsid w:val="003B2B65"/>
    <w:rsid w:val="003B2C88"/>
    <w:rsid w:val="003B3917"/>
    <w:rsid w:val="003B46C9"/>
    <w:rsid w:val="003B5271"/>
    <w:rsid w:val="003B75AA"/>
    <w:rsid w:val="003C1E30"/>
    <w:rsid w:val="003C29B3"/>
    <w:rsid w:val="003C4709"/>
    <w:rsid w:val="003C658D"/>
    <w:rsid w:val="003C716E"/>
    <w:rsid w:val="003D0897"/>
    <w:rsid w:val="003D2C33"/>
    <w:rsid w:val="003D56FB"/>
    <w:rsid w:val="003D77D3"/>
    <w:rsid w:val="003E2B38"/>
    <w:rsid w:val="003E3017"/>
    <w:rsid w:val="003E3A7F"/>
    <w:rsid w:val="003E52AF"/>
    <w:rsid w:val="003E7257"/>
    <w:rsid w:val="003F1A08"/>
    <w:rsid w:val="003F1FBB"/>
    <w:rsid w:val="003F2271"/>
    <w:rsid w:val="003F262D"/>
    <w:rsid w:val="003F4019"/>
    <w:rsid w:val="003F40BE"/>
    <w:rsid w:val="003F51CF"/>
    <w:rsid w:val="003F6CD6"/>
    <w:rsid w:val="003F77D7"/>
    <w:rsid w:val="004022B3"/>
    <w:rsid w:val="00402D30"/>
    <w:rsid w:val="0040568B"/>
    <w:rsid w:val="0040610B"/>
    <w:rsid w:val="004068EA"/>
    <w:rsid w:val="0041091A"/>
    <w:rsid w:val="00412A4D"/>
    <w:rsid w:val="004130AA"/>
    <w:rsid w:val="0041375F"/>
    <w:rsid w:val="00415934"/>
    <w:rsid w:val="00415B45"/>
    <w:rsid w:val="0041643C"/>
    <w:rsid w:val="00421560"/>
    <w:rsid w:val="00423588"/>
    <w:rsid w:val="00424FFC"/>
    <w:rsid w:val="004259C4"/>
    <w:rsid w:val="00426532"/>
    <w:rsid w:val="0042777A"/>
    <w:rsid w:val="004306F5"/>
    <w:rsid w:val="0043078B"/>
    <w:rsid w:val="00434A9C"/>
    <w:rsid w:val="00434FB9"/>
    <w:rsid w:val="00442E59"/>
    <w:rsid w:val="00443018"/>
    <w:rsid w:val="0044321F"/>
    <w:rsid w:val="00443D7E"/>
    <w:rsid w:val="004445EC"/>
    <w:rsid w:val="004456BD"/>
    <w:rsid w:val="00446CCC"/>
    <w:rsid w:val="004549FD"/>
    <w:rsid w:val="00454EA8"/>
    <w:rsid w:val="00456DD1"/>
    <w:rsid w:val="00461001"/>
    <w:rsid w:val="004619A3"/>
    <w:rsid w:val="00462BEA"/>
    <w:rsid w:val="00465B41"/>
    <w:rsid w:val="004675CE"/>
    <w:rsid w:val="0046797E"/>
    <w:rsid w:val="004679CF"/>
    <w:rsid w:val="004706ED"/>
    <w:rsid w:val="00471404"/>
    <w:rsid w:val="00473DE7"/>
    <w:rsid w:val="00474A33"/>
    <w:rsid w:val="0047681A"/>
    <w:rsid w:val="00476A42"/>
    <w:rsid w:val="00476E75"/>
    <w:rsid w:val="0047718D"/>
    <w:rsid w:val="00480634"/>
    <w:rsid w:val="00480DA5"/>
    <w:rsid w:val="00491180"/>
    <w:rsid w:val="00492A51"/>
    <w:rsid w:val="004931D6"/>
    <w:rsid w:val="00493759"/>
    <w:rsid w:val="00495762"/>
    <w:rsid w:val="0049636C"/>
    <w:rsid w:val="00496836"/>
    <w:rsid w:val="0049782C"/>
    <w:rsid w:val="004A02F2"/>
    <w:rsid w:val="004A0BD0"/>
    <w:rsid w:val="004A27A0"/>
    <w:rsid w:val="004A2C8C"/>
    <w:rsid w:val="004A672D"/>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0CC0"/>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577B"/>
    <w:rsid w:val="0055671E"/>
    <w:rsid w:val="0056004D"/>
    <w:rsid w:val="005604A4"/>
    <w:rsid w:val="00564289"/>
    <w:rsid w:val="00565DE9"/>
    <w:rsid w:val="0056677B"/>
    <w:rsid w:val="00567C54"/>
    <w:rsid w:val="00570352"/>
    <w:rsid w:val="00570F36"/>
    <w:rsid w:val="00570F7C"/>
    <w:rsid w:val="00571EEF"/>
    <w:rsid w:val="00572F8D"/>
    <w:rsid w:val="005762E8"/>
    <w:rsid w:val="005764C2"/>
    <w:rsid w:val="00577CA5"/>
    <w:rsid w:val="005868A3"/>
    <w:rsid w:val="00587221"/>
    <w:rsid w:val="00590067"/>
    <w:rsid w:val="00592F5D"/>
    <w:rsid w:val="00594E06"/>
    <w:rsid w:val="00595BD4"/>
    <w:rsid w:val="00595FF1"/>
    <w:rsid w:val="005A0E17"/>
    <w:rsid w:val="005A3375"/>
    <w:rsid w:val="005A4052"/>
    <w:rsid w:val="005A4B73"/>
    <w:rsid w:val="005A58CB"/>
    <w:rsid w:val="005A70D6"/>
    <w:rsid w:val="005B0D75"/>
    <w:rsid w:val="005B5295"/>
    <w:rsid w:val="005B5C7E"/>
    <w:rsid w:val="005B6316"/>
    <w:rsid w:val="005C0907"/>
    <w:rsid w:val="005C0EC7"/>
    <w:rsid w:val="005C1F22"/>
    <w:rsid w:val="005C2950"/>
    <w:rsid w:val="005C30B3"/>
    <w:rsid w:val="005D1550"/>
    <w:rsid w:val="005D1960"/>
    <w:rsid w:val="005D23DD"/>
    <w:rsid w:val="005D4309"/>
    <w:rsid w:val="005D4739"/>
    <w:rsid w:val="005D5786"/>
    <w:rsid w:val="005E1127"/>
    <w:rsid w:val="005E5313"/>
    <w:rsid w:val="005E69DE"/>
    <w:rsid w:val="005E7230"/>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B13"/>
    <w:rsid w:val="00640732"/>
    <w:rsid w:val="00640C5F"/>
    <w:rsid w:val="006438A9"/>
    <w:rsid w:val="0064448E"/>
    <w:rsid w:val="006452DF"/>
    <w:rsid w:val="006474AF"/>
    <w:rsid w:val="006516F1"/>
    <w:rsid w:val="00653B23"/>
    <w:rsid w:val="006545FA"/>
    <w:rsid w:val="00655AFB"/>
    <w:rsid w:val="00655C00"/>
    <w:rsid w:val="00655C36"/>
    <w:rsid w:val="00656467"/>
    <w:rsid w:val="006577EA"/>
    <w:rsid w:val="00657F42"/>
    <w:rsid w:val="006612D9"/>
    <w:rsid w:val="00661FCA"/>
    <w:rsid w:val="00662D8E"/>
    <w:rsid w:val="006631C0"/>
    <w:rsid w:val="00665194"/>
    <w:rsid w:val="0066594A"/>
    <w:rsid w:val="0066689D"/>
    <w:rsid w:val="0066692E"/>
    <w:rsid w:val="00670117"/>
    <w:rsid w:val="00671E0F"/>
    <w:rsid w:val="00677F24"/>
    <w:rsid w:val="00680C3D"/>
    <w:rsid w:val="00681546"/>
    <w:rsid w:val="006822CE"/>
    <w:rsid w:val="00683597"/>
    <w:rsid w:val="00686877"/>
    <w:rsid w:val="006873E7"/>
    <w:rsid w:val="00687C4F"/>
    <w:rsid w:val="00693E5E"/>
    <w:rsid w:val="00693FED"/>
    <w:rsid w:val="00697CAD"/>
    <w:rsid w:val="006A0640"/>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3A70"/>
    <w:rsid w:val="006C471E"/>
    <w:rsid w:val="006C5D26"/>
    <w:rsid w:val="006C6B74"/>
    <w:rsid w:val="006C6C3B"/>
    <w:rsid w:val="006C7526"/>
    <w:rsid w:val="006C7645"/>
    <w:rsid w:val="006D0155"/>
    <w:rsid w:val="006D04C8"/>
    <w:rsid w:val="006D3676"/>
    <w:rsid w:val="006D3BA8"/>
    <w:rsid w:val="006E078D"/>
    <w:rsid w:val="006E357F"/>
    <w:rsid w:val="006E4A05"/>
    <w:rsid w:val="006F10ED"/>
    <w:rsid w:val="006F1389"/>
    <w:rsid w:val="006F1DB2"/>
    <w:rsid w:val="006F3C3B"/>
    <w:rsid w:val="006F7702"/>
    <w:rsid w:val="00701056"/>
    <w:rsid w:val="007014EE"/>
    <w:rsid w:val="00701D02"/>
    <w:rsid w:val="00701FE7"/>
    <w:rsid w:val="0070282D"/>
    <w:rsid w:val="00703650"/>
    <w:rsid w:val="007036BD"/>
    <w:rsid w:val="00704FA1"/>
    <w:rsid w:val="007063A1"/>
    <w:rsid w:val="0070667A"/>
    <w:rsid w:val="00711C2E"/>
    <w:rsid w:val="0071441F"/>
    <w:rsid w:val="0071486F"/>
    <w:rsid w:val="00715CE6"/>
    <w:rsid w:val="0071749C"/>
    <w:rsid w:val="00717E65"/>
    <w:rsid w:val="007213E4"/>
    <w:rsid w:val="0072183E"/>
    <w:rsid w:val="0072294D"/>
    <w:rsid w:val="00723112"/>
    <w:rsid w:val="00725AF0"/>
    <w:rsid w:val="00725E64"/>
    <w:rsid w:val="00737066"/>
    <w:rsid w:val="0074034F"/>
    <w:rsid w:val="00740DE3"/>
    <w:rsid w:val="00740E2E"/>
    <w:rsid w:val="00741920"/>
    <w:rsid w:val="007423DA"/>
    <w:rsid w:val="00742D28"/>
    <w:rsid w:val="0074376A"/>
    <w:rsid w:val="00744098"/>
    <w:rsid w:val="00744AEB"/>
    <w:rsid w:val="00747F5C"/>
    <w:rsid w:val="00750666"/>
    <w:rsid w:val="00751460"/>
    <w:rsid w:val="007534CC"/>
    <w:rsid w:val="007539BA"/>
    <w:rsid w:val="007548ED"/>
    <w:rsid w:val="00755639"/>
    <w:rsid w:val="007557AF"/>
    <w:rsid w:val="00755D5A"/>
    <w:rsid w:val="00756C8C"/>
    <w:rsid w:val="0075791A"/>
    <w:rsid w:val="00760225"/>
    <w:rsid w:val="00763976"/>
    <w:rsid w:val="007639DE"/>
    <w:rsid w:val="0076586F"/>
    <w:rsid w:val="007666B9"/>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F84"/>
    <w:rsid w:val="0081302B"/>
    <w:rsid w:val="00813432"/>
    <w:rsid w:val="00815E28"/>
    <w:rsid w:val="0081667B"/>
    <w:rsid w:val="00820C1D"/>
    <w:rsid w:val="008241FC"/>
    <w:rsid w:val="008266C2"/>
    <w:rsid w:val="008279B4"/>
    <w:rsid w:val="00831359"/>
    <w:rsid w:val="0083242C"/>
    <w:rsid w:val="00832942"/>
    <w:rsid w:val="00833FEB"/>
    <w:rsid w:val="0083408B"/>
    <w:rsid w:val="00834F6E"/>
    <w:rsid w:val="00835AB3"/>
    <w:rsid w:val="00835C35"/>
    <w:rsid w:val="0083630B"/>
    <w:rsid w:val="00836486"/>
    <w:rsid w:val="00840F97"/>
    <w:rsid w:val="008439F6"/>
    <w:rsid w:val="0084553F"/>
    <w:rsid w:val="0084702D"/>
    <w:rsid w:val="00847FF6"/>
    <w:rsid w:val="00850F19"/>
    <w:rsid w:val="0085416C"/>
    <w:rsid w:val="008556F4"/>
    <w:rsid w:val="00855F98"/>
    <w:rsid w:val="0085686B"/>
    <w:rsid w:val="008572CF"/>
    <w:rsid w:val="00861944"/>
    <w:rsid w:val="008622AE"/>
    <w:rsid w:val="00862C6B"/>
    <w:rsid w:val="00863F13"/>
    <w:rsid w:val="008652E5"/>
    <w:rsid w:val="00870CC9"/>
    <w:rsid w:val="00870DCB"/>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0676"/>
    <w:rsid w:val="008A3A06"/>
    <w:rsid w:val="008A562A"/>
    <w:rsid w:val="008B2EFF"/>
    <w:rsid w:val="008B2F99"/>
    <w:rsid w:val="008B31C1"/>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7431"/>
    <w:rsid w:val="009207E9"/>
    <w:rsid w:val="009222C8"/>
    <w:rsid w:val="00923D5D"/>
    <w:rsid w:val="009244DA"/>
    <w:rsid w:val="00931645"/>
    <w:rsid w:val="00933E6C"/>
    <w:rsid w:val="0093447C"/>
    <w:rsid w:val="0093620A"/>
    <w:rsid w:val="00937E4A"/>
    <w:rsid w:val="0094082D"/>
    <w:rsid w:val="00940C8E"/>
    <w:rsid w:val="00942022"/>
    <w:rsid w:val="00944DCA"/>
    <w:rsid w:val="009453DB"/>
    <w:rsid w:val="00946B25"/>
    <w:rsid w:val="00946FEB"/>
    <w:rsid w:val="00947562"/>
    <w:rsid w:val="00947BB3"/>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BE9"/>
    <w:rsid w:val="00971D0E"/>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123"/>
    <w:rsid w:val="009A4BFD"/>
    <w:rsid w:val="009B0EEF"/>
    <w:rsid w:val="009B1884"/>
    <w:rsid w:val="009B2BF2"/>
    <w:rsid w:val="009B35C3"/>
    <w:rsid w:val="009B3A0E"/>
    <w:rsid w:val="009B4BB2"/>
    <w:rsid w:val="009C278B"/>
    <w:rsid w:val="009C6951"/>
    <w:rsid w:val="009D13BE"/>
    <w:rsid w:val="009D17BC"/>
    <w:rsid w:val="009D17CE"/>
    <w:rsid w:val="009D1834"/>
    <w:rsid w:val="009D45CF"/>
    <w:rsid w:val="009D4AF8"/>
    <w:rsid w:val="009D4B60"/>
    <w:rsid w:val="009D4E13"/>
    <w:rsid w:val="009D68FF"/>
    <w:rsid w:val="009E0BA4"/>
    <w:rsid w:val="009E1273"/>
    <w:rsid w:val="009E1F7F"/>
    <w:rsid w:val="009E3851"/>
    <w:rsid w:val="009E470D"/>
    <w:rsid w:val="009E48F4"/>
    <w:rsid w:val="009E4CAA"/>
    <w:rsid w:val="009E51AB"/>
    <w:rsid w:val="009E54DB"/>
    <w:rsid w:val="009E7D6E"/>
    <w:rsid w:val="009F0D17"/>
    <w:rsid w:val="009F3689"/>
    <w:rsid w:val="009F60FC"/>
    <w:rsid w:val="00A003F2"/>
    <w:rsid w:val="00A0181B"/>
    <w:rsid w:val="00A033B1"/>
    <w:rsid w:val="00A043FC"/>
    <w:rsid w:val="00A04B66"/>
    <w:rsid w:val="00A05611"/>
    <w:rsid w:val="00A05BD3"/>
    <w:rsid w:val="00A05F1F"/>
    <w:rsid w:val="00A07FD9"/>
    <w:rsid w:val="00A1259C"/>
    <w:rsid w:val="00A12F4D"/>
    <w:rsid w:val="00A13CEC"/>
    <w:rsid w:val="00A13E13"/>
    <w:rsid w:val="00A2299D"/>
    <w:rsid w:val="00A23514"/>
    <w:rsid w:val="00A23CB1"/>
    <w:rsid w:val="00A24004"/>
    <w:rsid w:val="00A2429E"/>
    <w:rsid w:val="00A25DB2"/>
    <w:rsid w:val="00A26D8C"/>
    <w:rsid w:val="00A3134B"/>
    <w:rsid w:val="00A31D5B"/>
    <w:rsid w:val="00A33823"/>
    <w:rsid w:val="00A342D1"/>
    <w:rsid w:val="00A34510"/>
    <w:rsid w:val="00A35D5C"/>
    <w:rsid w:val="00A36C6E"/>
    <w:rsid w:val="00A37817"/>
    <w:rsid w:val="00A4100F"/>
    <w:rsid w:val="00A4146F"/>
    <w:rsid w:val="00A417A5"/>
    <w:rsid w:val="00A50328"/>
    <w:rsid w:val="00A514DC"/>
    <w:rsid w:val="00A51610"/>
    <w:rsid w:val="00A51EC8"/>
    <w:rsid w:val="00A5300B"/>
    <w:rsid w:val="00A54883"/>
    <w:rsid w:val="00A6251F"/>
    <w:rsid w:val="00A633F9"/>
    <w:rsid w:val="00A66320"/>
    <w:rsid w:val="00A7068F"/>
    <w:rsid w:val="00A70AFD"/>
    <w:rsid w:val="00A70EB4"/>
    <w:rsid w:val="00A7336B"/>
    <w:rsid w:val="00A76528"/>
    <w:rsid w:val="00A76644"/>
    <w:rsid w:val="00A803DC"/>
    <w:rsid w:val="00A81060"/>
    <w:rsid w:val="00A82196"/>
    <w:rsid w:val="00A85258"/>
    <w:rsid w:val="00A90E0F"/>
    <w:rsid w:val="00A92C4F"/>
    <w:rsid w:val="00A93A81"/>
    <w:rsid w:val="00A94885"/>
    <w:rsid w:val="00A9551A"/>
    <w:rsid w:val="00A9588E"/>
    <w:rsid w:val="00A96539"/>
    <w:rsid w:val="00AA0FFE"/>
    <w:rsid w:val="00AA19B8"/>
    <w:rsid w:val="00AA2927"/>
    <w:rsid w:val="00AA49DC"/>
    <w:rsid w:val="00AA54E1"/>
    <w:rsid w:val="00AB0635"/>
    <w:rsid w:val="00AB116C"/>
    <w:rsid w:val="00AB1B61"/>
    <w:rsid w:val="00AB1E7A"/>
    <w:rsid w:val="00AB2B70"/>
    <w:rsid w:val="00AB3385"/>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5DD2"/>
    <w:rsid w:val="00AD7565"/>
    <w:rsid w:val="00AE0F5E"/>
    <w:rsid w:val="00AE100C"/>
    <w:rsid w:val="00AE4B72"/>
    <w:rsid w:val="00AE6434"/>
    <w:rsid w:val="00AF19A0"/>
    <w:rsid w:val="00AF405C"/>
    <w:rsid w:val="00AF6A6B"/>
    <w:rsid w:val="00AF7645"/>
    <w:rsid w:val="00AF79C9"/>
    <w:rsid w:val="00B03C75"/>
    <w:rsid w:val="00B04D90"/>
    <w:rsid w:val="00B04DD9"/>
    <w:rsid w:val="00B073AC"/>
    <w:rsid w:val="00B0762C"/>
    <w:rsid w:val="00B12BB7"/>
    <w:rsid w:val="00B14C5D"/>
    <w:rsid w:val="00B15EA5"/>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D8D"/>
    <w:rsid w:val="00B42BD4"/>
    <w:rsid w:val="00B431B1"/>
    <w:rsid w:val="00B4350C"/>
    <w:rsid w:val="00B466B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4DAF"/>
    <w:rsid w:val="00B96754"/>
    <w:rsid w:val="00BA03A9"/>
    <w:rsid w:val="00BA1C3F"/>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5744"/>
    <w:rsid w:val="00BF5C2F"/>
    <w:rsid w:val="00BF79FD"/>
    <w:rsid w:val="00C02821"/>
    <w:rsid w:val="00C02E15"/>
    <w:rsid w:val="00C03C4B"/>
    <w:rsid w:val="00C12043"/>
    <w:rsid w:val="00C13779"/>
    <w:rsid w:val="00C13BC5"/>
    <w:rsid w:val="00C1440B"/>
    <w:rsid w:val="00C1711C"/>
    <w:rsid w:val="00C176E8"/>
    <w:rsid w:val="00C23051"/>
    <w:rsid w:val="00C23721"/>
    <w:rsid w:val="00C259B2"/>
    <w:rsid w:val="00C26554"/>
    <w:rsid w:val="00C26FFB"/>
    <w:rsid w:val="00C326CC"/>
    <w:rsid w:val="00C32DA1"/>
    <w:rsid w:val="00C33076"/>
    <w:rsid w:val="00C34467"/>
    <w:rsid w:val="00C35322"/>
    <w:rsid w:val="00C370EF"/>
    <w:rsid w:val="00C37A9A"/>
    <w:rsid w:val="00C40E20"/>
    <w:rsid w:val="00C4211A"/>
    <w:rsid w:val="00C424F9"/>
    <w:rsid w:val="00C46FCC"/>
    <w:rsid w:val="00C510B6"/>
    <w:rsid w:val="00C51297"/>
    <w:rsid w:val="00C5172C"/>
    <w:rsid w:val="00C517D0"/>
    <w:rsid w:val="00C5333A"/>
    <w:rsid w:val="00C54CBB"/>
    <w:rsid w:val="00C56B9F"/>
    <w:rsid w:val="00C57162"/>
    <w:rsid w:val="00C60CB0"/>
    <w:rsid w:val="00C60F5A"/>
    <w:rsid w:val="00C63587"/>
    <w:rsid w:val="00C640A1"/>
    <w:rsid w:val="00C669D6"/>
    <w:rsid w:val="00C67918"/>
    <w:rsid w:val="00C70BF1"/>
    <w:rsid w:val="00C713C8"/>
    <w:rsid w:val="00C716F0"/>
    <w:rsid w:val="00C721C9"/>
    <w:rsid w:val="00C74B84"/>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733B"/>
    <w:rsid w:val="00CD7704"/>
    <w:rsid w:val="00CD7899"/>
    <w:rsid w:val="00CE432F"/>
    <w:rsid w:val="00CE50AF"/>
    <w:rsid w:val="00CE66D0"/>
    <w:rsid w:val="00CE7683"/>
    <w:rsid w:val="00CF496E"/>
    <w:rsid w:val="00CF7E2D"/>
    <w:rsid w:val="00D00950"/>
    <w:rsid w:val="00D01C00"/>
    <w:rsid w:val="00D0298C"/>
    <w:rsid w:val="00D043E6"/>
    <w:rsid w:val="00D05112"/>
    <w:rsid w:val="00D05B8E"/>
    <w:rsid w:val="00D10E83"/>
    <w:rsid w:val="00D11690"/>
    <w:rsid w:val="00D12CBB"/>
    <w:rsid w:val="00D135E4"/>
    <w:rsid w:val="00D13DD2"/>
    <w:rsid w:val="00D14AF2"/>
    <w:rsid w:val="00D1627A"/>
    <w:rsid w:val="00D16418"/>
    <w:rsid w:val="00D16C0A"/>
    <w:rsid w:val="00D16C6E"/>
    <w:rsid w:val="00D17662"/>
    <w:rsid w:val="00D17972"/>
    <w:rsid w:val="00D21E79"/>
    <w:rsid w:val="00D2428C"/>
    <w:rsid w:val="00D2603D"/>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B71"/>
    <w:rsid w:val="00D66375"/>
    <w:rsid w:val="00D664B3"/>
    <w:rsid w:val="00D6740A"/>
    <w:rsid w:val="00D67429"/>
    <w:rsid w:val="00D70580"/>
    <w:rsid w:val="00D72D20"/>
    <w:rsid w:val="00D769D6"/>
    <w:rsid w:val="00D76C75"/>
    <w:rsid w:val="00D77AAC"/>
    <w:rsid w:val="00D80A93"/>
    <w:rsid w:val="00D8292C"/>
    <w:rsid w:val="00D82B99"/>
    <w:rsid w:val="00D842B7"/>
    <w:rsid w:val="00D84765"/>
    <w:rsid w:val="00D8592C"/>
    <w:rsid w:val="00D87361"/>
    <w:rsid w:val="00D90444"/>
    <w:rsid w:val="00D91448"/>
    <w:rsid w:val="00D92108"/>
    <w:rsid w:val="00D934EA"/>
    <w:rsid w:val="00D95BFC"/>
    <w:rsid w:val="00D96F1B"/>
    <w:rsid w:val="00D973C5"/>
    <w:rsid w:val="00DA0AB8"/>
    <w:rsid w:val="00DA15BC"/>
    <w:rsid w:val="00DA19F5"/>
    <w:rsid w:val="00DA1EAD"/>
    <w:rsid w:val="00DA1F1C"/>
    <w:rsid w:val="00DA4C03"/>
    <w:rsid w:val="00DA5225"/>
    <w:rsid w:val="00DA6467"/>
    <w:rsid w:val="00DA75BB"/>
    <w:rsid w:val="00DA76AE"/>
    <w:rsid w:val="00DB023B"/>
    <w:rsid w:val="00DB0512"/>
    <w:rsid w:val="00DB16DE"/>
    <w:rsid w:val="00DB1C4D"/>
    <w:rsid w:val="00DB2EDB"/>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10C9E"/>
    <w:rsid w:val="00E10DE4"/>
    <w:rsid w:val="00E11507"/>
    <w:rsid w:val="00E12DAC"/>
    <w:rsid w:val="00E165AC"/>
    <w:rsid w:val="00E20635"/>
    <w:rsid w:val="00E20B18"/>
    <w:rsid w:val="00E21C49"/>
    <w:rsid w:val="00E2203B"/>
    <w:rsid w:val="00E227BE"/>
    <w:rsid w:val="00E22BD6"/>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A47"/>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29E2"/>
    <w:rsid w:val="00EB31A3"/>
    <w:rsid w:val="00EB42FB"/>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077"/>
    <w:rsid w:val="00EF359E"/>
    <w:rsid w:val="00EF362C"/>
    <w:rsid w:val="00EF5988"/>
    <w:rsid w:val="00EF5DF0"/>
    <w:rsid w:val="00F01313"/>
    <w:rsid w:val="00F016CA"/>
    <w:rsid w:val="00F02E4F"/>
    <w:rsid w:val="00F038B0"/>
    <w:rsid w:val="00F03B05"/>
    <w:rsid w:val="00F067AF"/>
    <w:rsid w:val="00F07B1B"/>
    <w:rsid w:val="00F07CE4"/>
    <w:rsid w:val="00F10FD5"/>
    <w:rsid w:val="00F11376"/>
    <w:rsid w:val="00F124F5"/>
    <w:rsid w:val="00F14696"/>
    <w:rsid w:val="00F14A81"/>
    <w:rsid w:val="00F16020"/>
    <w:rsid w:val="00F1629D"/>
    <w:rsid w:val="00F21879"/>
    <w:rsid w:val="00F23B5D"/>
    <w:rsid w:val="00F24CD9"/>
    <w:rsid w:val="00F2562E"/>
    <w:rsid w:val="00F30F82"/>
    <w:rsid w:val="00F32D5F"/>
    <w:rsid w:val="00F3309B"/>
    <w:rsid w:val="00F33355"/>
    <w:rsid w:val="00F33FA5"/>
    <w:rsid w:val="00F343CE"/>
    <w:rsid w:val="00F362E0"/>
    <w:rsid w:val="00F41B3A"/>
    <w:rsid w:val="00F42338"/>
    <w:rsid w:val="00F42899"/>
    <w:rsid w:val="00F43FB6"/>
    <w:rsid w:val="00F45ABE"/>
    <w:rsid w:val="00F4650D"/>
    <w:rsid w:val="00F51C2D"/>
    <w:rsid w:val="00F51C7B"/>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825C1"/>
    <w:rsid w:val="00F82837"/>
    <w:rsid w:val="00F8327D"/>
    <w:rsid w:val="00F84689"/>
    <w:rsid w:val="00F86A5F"/>
    <w:rsid w:val="00F87E50"/>
    <w:rsid w:val="00F87F35"/>
    <w:rsid w:val="00F9158A"/>
    <w:rsid w:val="00F92026"/>
    <w:rsid w:val="00F9288B"/>
    <w:rsid w:val="00F95641"/>
    <w:rsid w:val="00F97582"/>
    <w:rsid w:val="00F97A98"/>
    <w:rsid w:val="00FA29A3"/>
    <w:rsid w:val="00FA2DB5"/>
    <w:rsid w:val="00FA4922"/>
    <w:rsid w:val="00FA496A"/>
    <w:rsid w:val="00FA548D"/>
    <w:rsid w:val="00FA575B"/>
    <w:rsid w:val="00FA7A82"/>
    <w:rsid w:val="00FB21E3"/>
    <w:rsid w:val="00FB280B"/>
    <w:rsid w:val="00FB37E4"/>
    <w:rsid w:val="00FB3B60"/>
    <w:rsid w:val="00FB62C6"/>
    <w:rsid w:val="00FC1114"/>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D79F5-E6B7-49E5-A910-DEE513E6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TotalTime>
  <Pages>8</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1324</cp:revision>
  <dcterms:created xsi:type="dcterms:W3CDTF">2018-07-05T06:44:00Z</dcterms:created>
  <dcterms:modified xsi:type="dcterms:W3CDTF">2019-09-16T14:56:00Z</dcterms:modified>
</cp:coreProperties>
</file>