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F22F6" w14:textId="3E35644A" w:rsidR="00365DEB" w:rsidRPr="00565DE9" w:rsidRDefault="00E0051D" w:rsidP="00D61965">
      <w:pPr>
        <w:spacing w:after="60"/>
        <w:jc w:val="center"/>
        <w:rPr>
          <w:b/>
        </w:rPr>
      </w:pPr>
      <w:r>
        <w:rPr>
          <w:b/>
        </w:rPr>
        <w:t>201</w:t>
      </w:r>
      <w:r w:rsidR="004F6977">
        <w:rPr>
          <w:b/>
        </w:rPr>
        <w:t>5</w:t>
      </w:r>
      <w:r w:rsidR="007F268F">
        <w:rPr>
          <w:b/>
        </w:rPr>
        <w:t xml:space="preserve"> S1</w:t>
      </w:r>
    </w:p>
    <w:p w14:paraId="3AC633C1" w14:textId="1B144CC3" w:rsidR="005F6BB0" w:rsidRDefault="00BC7AE6" w:rsidP="004F6977">
      <w:pPr>
        <w:spacing w:after="0"/>
      </w:pPr>
      <w:r w:rsidRPr="00125723">
        <w:rPr>
          <w:b/>
          <w:color w:val="000000" w:themeColor="text1"/>
        </w:rPr>
        <w:t>Q1</w:t>
      </w:r>
      <w:r>
        <w:rPr>
          <w:b/>
          <w:color w:val="000000" w:themeColor="text1"/>
        </w:rPr>
        <w:t xml:space="preserve"> </w:t>
      </w:r>
      <w:r w:rsidR="002F3824">
        <w:rPr>
          <w:color w:val="000000" w:themeColor="text1"/>
        </w:rPr>
        <w:t>a</w:t>
      </w:r>
      <w:r w:rsidR="002F67AD">
        <w:rPr>
          <w:color w:val="000000" w:themeColor="text1"/>
        </w:rPr>
        <w:t>)</w:t>
      </w:r>
      <w:r w:rsidR="000B7552">
        <w:t xml:space="preserve"> </w:t>
      </w:r>
      <w:r w:rsidR="00C930A0">
        <w:t xml:space="preserve">i. </w:t>
      </w:r>
      <w:r w:rsidR="00EB190C" w:rsidRPr="00EB190C">
        <w:t>BEL</w:t>
      </w:r>
      <w:r w:rsidR="00EB190C">
        <w:t xml:space="preserve"> = $</w:t>
      </w:r>
      <w:r w:rsidR="00EB190C" w:rsidRPr="00EB190C">
        <w:t>(254,822,557)</w:t>
      </w:r>
    </w:p>
    <w:p w14:paraId="22B03313" w14:textId="259DDB4A" w:rsidR="00EB190C" w:rsidRPr="00EB190C" w:rsidRDefault="00EB190C" w:rsidP="004F6977">
      <w:pPr>
        <w:spacing w:after="0"/>
        <w:rPr>
          <w:color w:val="000000" w:themeColor="text1"/>
        </w:rPr>
      </w:pPr>
      <w:r w:rsidRPr="00EB190C">
        <w:rPr>
          <w:color w:val="000000" w:themeColor="text1"/>
        </w:rPr>
        <w:t>PVFM = PL – BEL = $(185,695,000) - $(254,822,557) = $69,127,557</w:t>
      </w:r>
    </w:p>
    <w:p w14:paraId="1D10E775" w14:textId="15C8E969" w:rsidR="00151769" w:rsidRDefault="00151769" w:rsidP="005F6BB0">
      <w:pPr>
        <w:spacing w:after="0"/>
        <w:rPr>
          <w:color w:val="000000" w:themeColor="text1"/>
        </w:rPr>
      </w:pPr>
    </w:p>
    <w:p w14:paraId="51FA04D4" w14:textId="48245478" w:rsidR="00C11537" w:rsidRPr="00C11537" w:rsidRDefault="00C11537" w:rsidP="00C11537">
      <w:pPr>
        <w:spacing w:after="0"/>
        <w:rPr>
          <w:color w:val="000000" w:themeColor="text1"/>
        </w:rPr>
      </w:pPr>
      <w:r>
        <w:rPr>
          <w:color w:val="000000" w:themeColor="text1"/>
        </w:rPr>
        <w:t xml:space="preserve">ii. </w:t>
      </w:r>
      <w:r w:rsidRPr="00C11537">
        <w:rPr>
          <w:color w:val="000000" w:themeColor="text1"/>
        </w:rPr>
        <w:t xml:space="preserve">The carrier has to be </w:t>
      </w:r>
      <w:r w:rsidRPr="00C11537">
        <w:rPr>
          <w:color w:val="00B050"/>
        </w:rPr>
        <w:t>claims as this is the service being provided</w:t>
      </w:r>
      <w:r w:rsidRPr="00C11537">
        <w:rPr>
          <w:color w:val="000000" w:themeColor="text1"/>
        </w:rPr>
        <w:t xml:space="preserve">. </w:t>
      </w:r>
      <w:r w:rsidRPr="00C11537">
        <w:rPr>
          <w:color w:val="00B050"/>
        </w:rPr>
        <w:t>Premium is not an appropriate carrier as the level premium will not follow the same pattern as claims</w:t>
      </w:r>
      <w:r w:rsidRPr="00C11537">
        <w:rPr>
          <w:color w:val="000000" w:themeColor="text1"/>
        </w:rPr>
        <w:t>, which is why premium can be used for stepped premium business. Using premium would release profit too early. If a true earned premium could be calculated then this might be possible to use but it is too complicated to calculate a true earned premium.</w:t>
      </w:r>
    </w:p>
    <w:p w14:paraId="2AA6FBA4" w14:textId="77777777" w:rsidR="00C11537" w:rsidRDefault="00C11537" w:rsidP="00C11537">
      <w:pPr>
        <w:spacing w:after="0"/>
        <w:rPr>
          <w:color w:val="000000" w:themeColor="text1"/>
        </w:rPr>
      </w:pPr>
    </w:p>
    <w:p w14:paraId="33F27469" w14:textId="63109BBE" w:rsidR="00C11537" w:rsidRDefault="00C11537" w:rsidP="00C11537">
      <w:pPr>
        <w:spacing w:after="0"/>
        <w:rPr>
          <w:color w:val="000000" w:themeColor="text1"/>
        </w:rPr>
      </w:pPr>
      <w:r w:rsidRPr="00C11537">
        <w:rPr>
          <w:color w:val="000000" w:themeColor="text1"/>
        </w:rPr>
        <w:t>The Profit margin is 5.45%</w:t>
      </w:r>
      <w:r>
        <w:rPr>
          <w:color w:val="000000" w:themeColor="text1"/>
        </w:rPr>
        <w:t>.</w:t>
      </w:r>
    </w:p>
    <w:p w14:paraId="0F33A7B6" w14:textId="77777777" w:rsidR="00C11537" w:rsidRDefault="00C11537" w:rsidP="00C11537">
      <w:pPr>
        <w:spacing w:after="0"/>
        <w:rPr>
          <w:color w:val="000000" w:themeColor="text1"/>
        </w:rPr>
      </w:pPr>
    </w:p>
    <w:p w14:paraId="5CCC6B79" w14:textId="3E777E81" w:rsidR="00F90AD1" w:rsidRPr="00F90AD1" w:rsidRDefault="00C11537" w:rsidP="00F90AD1">
      <w:pPr>
        <w:spacing w:after="60"/>
        <w:rPr>
          <w:color w:val="000000" w:themeColor="text1"/>
        </w:rPr>
      </w:pPr>
      <w:r>
        <w:rPr>
          <w:color w:val="000000" w:themeColor="text1"/>
        </w:rPr>
        <w:t>iii.</w:t>
      </w:r>
      <w:r w:rsidR="008A3641">
        <w:rPr>
          <w:color w:val="000000" w:themeColor="text1"/>
        </w:rPr>
        <w:t xml:space="preserve"> </w:t>
      </w:r>
      <w:r w:rsidR="00F90AD1" w:rsidRPr="00F90AD1">
        <w:rPr>
          <w:color w:val="000000" w:themeColor="text1"/>
        </w:rPr>
        <w:t>As this is level premium business (and there is no new business), there are no increases to</w:t>
      </w:r>
      <w:r w:rsidR="00F90AD1">
        <w:rPr>
          <w:color w:val="000000" w:themeColor="text1"/>
        </w:rPr>
        <w:t xml:space="preserve"> </w:t>
      </w:r>
      <w:r w:rsidR="00F90AD1" w:rsidRPr="00F90AD1">
        <w:rPr>
          <w:color w:val="000000" w:themeColor="text1"/>
        </w:rPr>
        <w:t>premium for age or indexation increases. Hence, premium is declining each year, by just more than 5%, due to lapses and claims.</w:t>
      </w:r>
    </w:p>
    <w:p w14:paraId="2E890F1D" w14:textId="4BD2B7D2" w:rsidR="00F90AD1" w:rsidRPr="00F90AD1" w:rsidRDefault="00F90AD1" w:rsidP="00F90AD1">
      <w:pPr>
        <w:spacing w:after="60"/>
        <w:rPr>
          <w:color w:val="000000" w:themeColor="text1"/>
        </w:rPr>
      </w:pPr>
      <w:r w:rsidRPr="00F90AD1">
        <w:rPr>
          <w:color w:val="000000" w:themeColor="text1"/>
        </w:rPr>
        <w:t xml:space="preserve">I expect this trend to continue after 10 years, with premium declining at an even greater rate once policies start to expire/mature. </w:t>
      </w:r>
    </w:p>
    <w:p w14:paraId="5B15A05A" w14:textId="1A9971DF" w:rsidR="00F90AD1" w:rsidRPr="00F90AD1" w:rsidRDefault="00F90AD1" w:rsidP="00F90AD1">
      <w:pPr>
        <w:spacing w:after="60"/>
        <w:rPr>
          <w:color w:val="000000" w:themeColor="text1"/>
        </w:rPr>
      </w:pPr>
      <w:r w:rsidRPr="00F90AD1">
        <w:rPr>
          <w:color w:val="000000" w:themeColor="text1"/>
        </w:rPr>
        <w:t xml:space="preserve">However, as I expected, planned profit is relatively smooth with </w:t>
      </w:r>
      <w:r>
        <w:rPr>
          <w:color w:val="000000" w:themeColor="text1"/>
        </w:rPr>
        <w:t xml:space="preserve">an expected increase each year. </w:t>
      </w:r>
      <w:r w:rsidRPr="00F90AD1">
        <w:rPr>
          <w:color w:val="000000" w:themeColor="text1"/>
        </w:rPr>
        <w:t xml:space="preserve">A smooth pattern is a feature of the MoS reporting framework. As claims is the profit carrier, and expected claims is expected to increase each year (as </w:t>
      </w:r>
      <w:r>
        <w:rPr>
          <w:color w:val="000000" w:themeColor="text1"/>
        </w:rPr>
        <w:t xml:space="preserve">the lapse rate is less than the </w:t>
      </w:r>
      <w:r w:rsidRPr="00F90AD1">
        <w:rPr>
          <w:color w:val="000000" w:themeColor="text1"/>
        </w:rPr>
        <w:t>increasing claim rate each year from the ageing of the portfolio plus the indexation of the sum insured), the expected profit should increase</w:t>
      </w:r>
      <w:r>
        <w:rPr>
          <w:color w:val="000000" w:themeColor="text1"/>
        </w:rPr>
        <w:t>.</w:t>
      </w:r>
    </w:p>
    <w:p w14:paraId="4BB5A2DF" w14:textId="67B58E36" w:rsidR="00C11537" w:rsidRDefault="00F90AD1" w:rsidP="00F90AD1">
      <w:pPr>
        <w:spacing w:after="60"/>
        <w:rPr>
          <w:color w:val="000000" w:themeColor="text1"/>
        </w:rPr>
      </w:pPr>
      <w:r w:rsidRPr="00F90AD1">
        <w:rPr>
          <w:color w:val="000000" w:themeColor="text1"/>
        </w:rPr>
        <w:t>However, this trend will not be maintained after 10 years. After 10 years policies will commence to expire/mature such that the total discontinuance rate is greater than the 10% increase in claim costs and 3% indexation. This will result in expected claims declining and consequently, planned profits will start to decline each year.</w:t>
      </w:r>
    </w:p>
    <w:p w14:paraId="0BB22798" w14:textId="77777777" w:rsidR="00F90AD1" w:rsidRDefault="00F90AD1" w:rsidP="00F90AD1">
      <w:pPr>
        <w:spacing w:after="60"/>
        <w:rPr>
          <w:color w:val="000000" w:themeColor="text1"/>
        </w:rPr>
      </w:pPr>
    </w:p>
    <w:tbl>
      <w:tblPr>
        <w:tblpPr w:leftFromText="180" w:rightFromText="180" w:vertAnchor="text" w:horzAnchor="page" w:tblpX="2573" w:tblpY="31"/>
        <w:tblW w:w="5113" w:type="dxa"/>
        <w:tblLook w:val="04A0" w:firstRow="1" w:lastRow="0" w:firstColumn="1" w:lastColumn="0" w:noHBand="0" w:noVBand="1"/>
      </w:tblPr>
      <w:tblGrid>
        <w:gridCol w:w="3231"/>
        <w:gridCol w:w="222"/>
        <w:gridCol w:w="1660"/>
      </w:tblGrid>
      <w:tr w:rsidR="00031B92" w:rsidRPr="00031B92" w14:paraId="4E87762F" w14:textId="77777777" w:rsidTr="00031B92">
        <w:trPr>
          <w:trHeight w:val="300"/>
        </w:trPr>
        <w:tc>
          <w:tcPr>
            <w:tcW w:w="3453" w:type="dxa"/>
            <w:gridSpan w:val="2"/>
            <w:tcBorders>
              <w:top w:val="nil"/>
              <w:left w:val="nil"/>
              <w:right w:val="nil"/>
            </w:tcBorders>
            <w:shd w:val="clear" w:color="auto" w:fill="auto"/>
            <w:noWrap/>
            <w:vAlign w:val="bottom"/>
            <w:hideMark/>
          </w:tcPr>
          <w:p w14:paraId="38F0CA92" w14:textId="77777777" w:rsidR="00031B92" w:rsidRPr="00031B92" w:rsidRDefault="00031B92" w:rsidP="00031B92">
            <w:pPr>
              <w:spacing w:after="0" w:line="240" w:lineRule="auto"/>
              <w:rPr>
                <w:color w:val="000000" w:themeColor="text1"/>
              </w:rPr>
            </w:pPr>
            <w:r w:rsidRPr="00031B92">
              <w:rPr>
                <w:color w:val="000000" w:themeColor="text1"/>
              </w:rPr>
              <w:t>VIF @ Valuation date</w:t>
            </w:r>
          </w:p>
        </w:tc>
        <w:tc>
          <w:tcPr>
            <w:tcW w:w="1660" w:type="dxa"/>
            <w:tcBorders>
              <w:top w:val="nil"/>
              <w:left w:val="nil"/>
              <w:right w:val="nil"/>
            </w:tcBorders>
            <w:shd w:val="clear" w:color="auto" w:fill="auto"/>
            <w:noWrap/>
            <w:vAlign w:val="bottom"/>
            <w:hideMark/>
          </w:tcPr>
          <w:p w14:paraId="08981C6F" w14:textId="77777777" w:rsidR="00031B92" w:rsidRPr="00031B92" w:rsidRDefault="00031B92" w:rsidP="00031B92">
            <w:pPr>
              <w:spacing w:after="0" w:line="240" w:lineRule="auto"/>
              <w:jc w:val="center"/>
              <w:rPr>
                <w:color w:val="000000" w:themeColor="text1"/>
              </w:rPr>
            </w:pPr>
            <w:r w:rsidRPr="00031B92">
              <w:rPr>
                <w:color w:val="000000" w:themeColor="text1"/>
              </w:rPr>
              <w:t>105,177,044</w:t>
            </w:r>
          </w:p>
        </w:tc>
      </w:tr>
      <w:tr w:rsidR="00031B92" w:rsidRPr="00031B92" w14:paraId="54FD5D2D" w14:textId="77777777" w:rsidTr="00031B92">
        <w:trPr>
          <w:trHeight w:val="300"/>
        </w:trPr>
        <w:tc>
          <w:tcPr>
            <w:tcW w:w="3453" w:type="dxa"/>
            <w:gridSpan w:val="2"/>
            <w:tcBorders>
              <w:top w:val="nil"/>
              <w:left w:val="nil"/>
              <w:bottom w:val="single" w:sz="4" w:space="0" w:color="auto"/>
              <w:right w:val="nil"/>
            </w:tcBorders>
            <w:shd w:val="clear" w:color="auto" w:fill="auto"/>
            <w:noWrap/>
            <w:vAlign w:val="bottom"/>
            <w:hideMark/>
          </w:tcPr>
          <w:p w14:paraId="3DCDDB31" w14:textId="77777777" w:rsidR="00031B92" w:rsidRPr="00031B92" w:rsidRDefault="00031B92" w:rsidP="00031B92">
            <w:pPr>
              <w:spacing w:after="0" w:line="240" w:lineRule="auto"/>
              <w:rPr>
                <w:color w:val="000000" w:themeColor="text1"/>
              </w:rPr>
            </w:pPr>
            <w:r w:rsidRPr="00031B92">
              <w:rPr>
                <w:color w:val="000000" w:themeColor="text1"/>
              </w:rPr>
              <w:t>VIF @ Valuation date (no capital)</w:t>
            </w:r>
          </w:p>
        </w:tc>
        <w:tc>
          <w:tcPr>
            <w:tcW w:w="1660" w:type="dxa"/>
            <w:tcBorders>
              <w:top w:val="nil"/>
              <w:left w:val="nil"/>
              <w:bottom w:val="single" w:sz="4" w:space="0" w:color="auto"/>
              <w:right w:val="nil"/>
            </w:tcBorders>
            <w:shd w:val="clear" w:color="auto" w:fill="auto"/>
            <w:noWrap/>
            <w:vAlign w:val="bottom"/>
            <w:hideMark/>
          </w:tcPr>
          <w:p w14:paraId="1D5EB2C8" w14:textId="77777777" w:rsidR="00031B92" w:rsidRPr="00031B92" w:rsidRDefault="00031B92" w:rsidP="00031B92">
            <w:pPr>
              <w:spacing w:after="0" w:line="240" w:lineRule="auto"/>
              <w:jc w:val="center"/>
              <w:rPr>
                <w:color w:val="000000" w:themeColor="text1"/>
              </w:rPr>
            </w:pPr>
            <w:r w:rsidRPr="00031B92">
              <w:rPr>
                <w:color w:val="000000" w:themeColor="text1"/>
              </w:rPr>
              <w:t>377,380,326</w:t>
            </w:r>
          </w:p>
        </w:tc>
      </w:tr>
      <w:tr w:rsidR="00031B92" w:rsidRPr="00031B92" w14:paraId="651E6324" w14:textId="77777777" w:rsidTr="00031B92">
        <w:trPr>
          <w:trHeight w:val="300"/>
        </w:trPr>
        <w:tc>
          <w:tcPr>
            <w:tcW w:w="3231" w:type="dxa"/>
            <w:tcBorders>
              <w:top w:val="single" w:sz="4" w:space="0" w:color="auto"/>
              <w:left w:val="nil"/>
              <w:bottom w:val="nil"/>
              <w:right w:val="nil"/>
            </w:tcBorders>
            <w:shd w:val="clear" w:color="auto" w:fill="auto"/>
            <w:noWrap/>
            <w:vAlign w:val="bottom"/>
            <w:hideMark/>
          </w:tcPr>
          <w:p w14:paraId="16EC5BDF" w14:textId="77777777" w:rsidR="00031B92" w:rsidRPr="00031B92" w:rsidRDefault="00031B92" w:rsidP="00031B92">
            <w:pPr>
              <w:spacing w:after="0" w:line="240" w:lineRule="auto"/>
              <w:rPr>
                <w:i/>
                <w:color w:val="000000" w:themeColor="text1"/>
              </w:rPr>
            </w:pPr>
            <w:r w:rsidRPr="00031B92">
              <w:rPr>
                <w:i/>
                <w:color w:val="000000" w:themeColor="text1"/>
              </w:rPr>
              <w:t>Capital impact</w:t>
            </w:r>
          </w:p>
        </w:tc>
        <w:tc>
          <w:tcPr>
            <w:tcW w:w="222" w:type="dxa"/>
            <w:tcBorders>
              <w:top w:val="single" w:sz="4" w:space="0" w:color="auto"/>
              <w:left w:val="nil"/>
              <w:bottom w:val="nil"/>
              <w:right w:val="nil"/>
            </w:tcBorders>
            <w:shd w:val="clear" w:color="auto" w:fill="auto"/>
            <w:noWrap/>
            <w:vAlign w:val="bottom"/>
            <w:hideMark/>
          </w:tcPr>
          <w:p w14:paraId="048D294C" w14:textId="77777777" w:rsidR="00031B92" w:rsidRPr="00031B92" w:rsidRDefault="00031B92" w:rsidP="00031B92">
            <w:pPr>
              <w:spacing w:after="0" w:line="240" w:lineRule="auto"/>
              <w:rPr>
                <w:color w:val="000000" w:themeColor="text1"/>
              </w:rPr>
            </w:pPr>
          </w:p>
        </w:tc>
        <w:tc>
          <w:tcPr>
            <w:tcW w:w="1660" w:type="dxa"/>
            <w:tcBorders>
              <w:top w:val="single" w:sz="4" w:space="0" w:color="auto"/>
              <w:left w:val="nil"/>
              <w:bottom w:val="nil"/>
              <w:right w:val="nil"/>
            </w:tcBorders>
            <w:shd w:val="clear" w:color="auto" w:fill="auto"/>
            <w:noWrap/>
            <w:vAlign w:val="bottom"/>
            <w:hideMark/>
          </w:tcPr>
          <w:p w14:paraId="3675ED53" w14:textId="77777777" w:rsidR="00031B92" w:rsidRPr="00031B92" w:rsidRDefault="00031B92" w:rsidP="00031B92">
            <w:pPr>
              <w:spacing w:after="0" w:line="240" w:lineRule="auto"/>
              <w:jc w:val="center"/>
              <w:rPr>
                <w:i/>
                <w:color w:val="000000" w:themeColor="text1"/>
              </w:rPr>
            </w:pPr>
            <w:r w:rsidRPr="00031B92">
              <w:rPr>
                <w:i/>
                <w:color w:val="000000" w:themeColor="text1"/>
              </w:rPr>
              <w:t>(272,203,282)</w:t>
            </w:r>
          </w:p>
        </w:tc>
      </w:tr>
    </w:tbl>
    <w:p w14:paraId="69E442B3" w14:textId="77777777" w:rsidR="00031B92" w:rsidRDefault="009A296C" w:rsidP="00B75504">
      <w:pPr>
        <w:spacing w:after="60"/>
        <w:rPr>
          <w:color w:val="000000" w:themeColor="text1"/>
        </w:rPr>
      </w:pPr>
      <w:r>
        <w:rPr>
          <w:color w:val="000000" w:themeColor="text1"/>
        </w:rPr>
        <w:t>b</w:t>
      </w:r>
      <w:r w:rsidR="007D3BAC">
        <w:rPr>
          <w:color w:val="000000" w:themeColor="text1"/>
        </w:rPr>
        <w:t xml:space="preserve">) </w:t>
      </w:r>
      <w:r w:rsidR="006D27C1">
        <w:rPr>
          <w:color w:val="000000" w:themeColor="text1"/>
        </w:rPr>
        <w:t>i</w:t>
      </w:r>
      <w:r w:rsidR="007D3BAC">
        <w:rPr>
          <w:color w:val="000000" w:themeColor="text1"/>
        </w:rPr>
        <w:t>i</w:t>
      </w:r>
      <w:r w:rsidR="00B75504">
        <w:rPr>
          <w:color w:val="000000" w:themeColor="text1"/>
        </w:rPr>
        <w:t>.</w:t>
      </w:r>
      <w:r w:rsidR="00B75504" w:rsidRPr="00B75504">
        <w:rPr>
          <w:color w:val="000000" w:themeColor="text1"/>
        </w:rPr>
        <w:t xml:space="preserve"> </w:t>
      </w:r>
    </w:p>
    <w:p w14:paraId="3B5645BD" w14:textId="77777777" w:rsidR="00031B92" w:rsidRDefault="00031B92" w:rsidP="00B75504">
      <w:pPr>
        <w:spacing w:after="60"/>
        <w:rPr>
          <w:color w:val="000000" w:themeColor="text1"/>
        </w:rPr>
      </w:pPr>
    </w:p>
    <w:p w14:paraId="0FE56510" w14:textId="77777777" w:rsidR="00031B92" w:rsidRDefault="00031B92" w:rsidP="00B75504">
      <w:pPr>
        <w:spacing w:after="60"/>
        <w:rPr>
          <w:color w:val="000000" w:themeColor="text1"/>
        </w:rPr>
      </w:pPr>
    </w:p>
    <w:p w14:paraId="6F412176" w14:textId="7F8A261F" w:rsidR="00B75504" w:rsidRPr="00B75504" w:rsidRDefault="0042527B" w:rsidP="00B75504">
      <w:pPr>
        <w:spacing w:after="60"/>
        <w:rPr>
          <w:color w:val="000000" w:themeColor="text1"/>
        </w:rPr>
      </w:pPr>
      <w:r>
        <w:rPr>
          <w:color w:val="000000" w:themeColor="text1"/>
        </w:rPr>
        <w:t>VIF</w:t>
      </w:r>
      <w:r w:rsidR="00B75504" w:rsidRPr="00B75504">
        <w:rPr>
          <w:color w:val="000000" w:themeColor="text1"/>
        </w:rPr>
        <w:t xml:space="preserve"> does include a return on the Target Capital held for the business. The value of the inforce business represents the present value of distributable profits (after funding target capital requirements). Hence, it represents the value of the profit within the business and the return of the shareholder capital supporting the product.</w:t>
      </w:r>
    </w:p>
    <w:p w14:paraId="7D400D01" w14:textId="77777777" w:rsidR="00B75504" w:rsidRDefault="00B75504" w:rsidP="00B75504">
      <w:pPr>
        <w:spacing w:after="60"/>
        <w:rPr>
          <w:color w:val="000000" w:themeColor="text1"/>
        </w:rPr>
      </w:pPr>
    </w:p>
    <w:p w14:paraId="015BB966" w14:textId="10982CE9" w:rsidR="004253BF" w:rsidRPr="00B75504" w:rsidRDefault="00B75504" w:rsidP="00B75504">
      <w:pPr>
        <w:spacing w:after="60"/>
        <w:rPr>
          <w:color w:val="C00000"/>
        </w:rPr>
      </w:pPr>
      <w:r w:rsidRPr="00B75504">
        <w:rPr>
          <w:color w:val="000000" w:themeColor="text1"/>
        </w:rPr>
        <w:t xml:space="preserve">If there were no capital required to support this business the VIF would be $377.4m. </w:t>
      </w:r>
      <w:r w:rsidRPr="00B75504">
        <w:rPr>
          <w:color w:val="C00000"/>
        </w:rPr>
        <w:t xml:space="preserve">This is an unusual result because normally the value of the VIF is higher when capital is included. For this portfolio this is not the case because the current capital requirement is so low but is expected to increase significantly over the next few years as the premiums no longer cover the cost of claims. </w:t>
      </w:r>
      <w:r w:rsidRPr="00B75504">
        <w:rPr>
          <w:color w:val="C00000"/>
        </w:rPr>
        <w:lastRenderedPageBreak/>
        <w:t>The lower value represents the increased capital the shareholder has to inject to support this portfolio over the next few years.</w:t>
      </w:r>
    </w:p>
    <w:p w14:paraId="4CA5B2CE" w14:textId="77777777" w:rsidR="00F90AD1" w:rsidRDefault="00F90AD1" w:rsidP="00F90AD1">
      <w:pPr>
        <w:spacing w:after="60"/>
        <w:rPr>
          <w:color w:val="000000" w:themeColor="text1"/>
        </w:rPr>
      </w:pPr>
    </w:p>
    <w:p w14:paraId="6084B385" w14:textId="0B30CAE4" w:rsidR="00B75504" w:rsidRDefault="008B6FDF" w:rsidP="00F90AD1">
      <w:pPr>
        <w:spacing w:after="60"/>
        <w:rPr>
          <w:color w:val="C00000"/>
        </w:rPr>
      </w:pPr>
      <w:r>
        <w:rPr>
          <w:color w:val="000000" w:themeColor="text1"/>
        </w:rPr>
        <w:t xml:space="preserve">iii. </w:t>
      </w:r>
      <w:r w:rsidR="00031B92" w:rsidRPr="00031B92">
        <w:rPr>
          <w:color w:val="C00000"/>
        </w:rPr>
        <w:t>The values stay fairly constant</w:t>
      </w:r>
      <w:r w:rsidR="00031B92">
        <w:rPr>
          <w:color w:val="C00000"/>
        </w:rPr>
        <w:t xml:space="preserve"> </w:t>
      </w:r>
      <w:r w:rsidR="00031B92" w:rsidRPr="00031B92">
        <w:rPr>
          <w:color w:val="C00000"/>
        </w:rPr>
        <w:t>over the next 10 years as the unwinding of the cashflows is offset by the increase in the capital required.</w:t>
      </w:r>
    </w:p>
    <w:p w14:paraId="3FB54477" w14:textId="77777777" w:rsidR="002149B4" w:rsidRDefault="002149B4" w:rsidP="00F90AD1">
      <w:pPr>
        <w:spacing w:after="60"/>
        <w:rPr>
          <w:color w:val="C00000"/>
        </w:rPr>
      </w:pPr>
    </w:p>
    <w:p w14:paraId="28104D1E" w14:textId="2341D33C" w:rsidR="002149B4" w:rsidRDefault="002149B4" w:rsidP="00F90AD1">
      <w:pPr>
        <w:spacing w:after="60"/>
        <w:rPr>
          <w:color w:val="000000" w:themeColor="text1"/>
        </w:rPr>
      </w:pPr>
      <w:r w:rsidRPr="00383001">
        <w:rPr>
          <w:color w:val="000000" w:themeColor="text1"/>
        </w:rPr>
        <w:t>iv. Given this is a closed book, a reasonable trend for VIF is that VIF should decrease over time. Current the target capital is too low such that further capital injection is required for next couple of years.</w:t>
      </w:r>
    </w:p>
    <w:p w14:paraId="55891767" w14:textId="77777777" w:rsidR="00383001" w:rsidRDefault="00383001" w:rsidP="00F90AD1">
      <w:pPr>
        <w:spacing w:after="60"/>
        <w:rPr>
          <w:color w:val="000000" w:themeColor="text1"/>
        </w:rPr>
      </w:pPr>
    </w:p>
    <w:p w14:paraId="24271D37" w14:textId="77777777" w:rsidR="00383001" w:rsidRPr="00383001" w:rsidRDefault="00383001" w:rsidP="00B3196A">
      <w:pPr>
        <w:pStyle w:val="ListParagraph"/>
        <w:numPr>
          <w:ilvl w:val="0"/>
          <w:numId w:val="1"/>
        </w:numPr>
        <w:spacing w:after="60"/>
        <w:rPr>
          <w:color w:val="C00000"/>
        </w:rPr>
      </w:pPr>
      <w:r w:rsidRPr="00383001">
        <w:rPr>
          <w:color w:val="C00000"/>
        </w:rPr>
        <w:t>It appears that a shortcoming of the existing target surplus policy is that it does not recognise and accumulate the unearned premium from the early years of the level premium business. In these years, an excess of the premium over the claims should be held back and not distributed to the shareholder, to help fund the cashflow deficit in later years when claims exceed premium.</w:t>
      </w:r>
    </w:p>
    <w:p w14:paraId="0B988147" w14:textId="77777777" w:rsidR="00383001" w:rsidRPr="00383001" w:rsidRDefault="00383001" w:rsidP="00B3196A">
      <w:pPr>
        <w:pStyle w:val="ListParagraph"/>
        <w:numPr>
          <w:ilvl w:val="0"/>
          <w:numId w:val="1"/>
        </w:numPr>
        <w:spacing w:after="60"/>
        <w:rPr>
          <w:color w:val="000000" w:themeColor="text1"/>
        </w:rPr>
      </w:pPr>
      <w:r w:rsidRPr="00383001">
        <w:rPr>
          <w:color w:val="000000" w:themeColor="text1"/>
        </w:rPr>
        <w:t>The above point would be particularly relevant if this was the only product in this statutory fund. However, other products may exist which in total may ensure the capital position is appropriate but a different factor would be used for the purpose of calculating the VIF.</w:t>
      </w:r>
    </w:p>
    <w:p w14:paraId="09A56F55" w14:textId="246C6D73" w:rsidR="00383001" w:rsidRDefault="00383001" w:rsidP="00B3196A">
      <w:pPr>
        <w:pStyle w:val="ListParagraph"/>
        <w:numPr>
          <w:ilvl w:val="0"/>
          <w:numId w:val="1"/>
        </w:numPr>
        <w:spacing w:after="60"/>
        <w:rPr>
          <w:color w:val="000000" w:themeColor="text1"/>
        </w:rPr>
      </w:pPr>
      <w:r w:rsidRPr="00383001">
        <w:rPr>
          <w:color w:val="000000" w:themeColor="text1"/>
        </w:rPr>
        <w:t>One further shortcoming that is easy to identify within the existing policy is that it ignores the impact of adverse deviations in the lapse experience.</w:t>
      </w:r>
    </w:p>
    <w:p w14:paraId="6EAFAA91" w14:textId="77777777" w:rsidR="00383001" w:rsidRPr="00383001" w:rsidRDefault="00383001" w:rsidP="00383001">
      <w:pPr>
        <w:pStyle w:val="ListParagraph"/>
        <w:spacing w:after="60"/>
        <w:rPr>
          <w:color w:val="000000" w:themeColor="text1"/>
        </w:rPr>
      </w:pPr>
    </w:p>
    <w:p w14:paraId="51E74663" w14:textId="77777777" w:rsidR="00F41E5F" w:rsidRDefault="00383001" w:rsidP="00F41E5F">
      <w:pPr>
        <w:spacing w:after="60"/>
        <w:rPr>
          <w:color w:val="000000" w:themeColor="text1"/>
        </w:rPr>
      </w:pPr>
      <w:r>
        <w:rPr>
          <w:color w:val="000000" w:themeColor="text1"/>
        </w:rPr>
        <w:t>c)</w:t>
      </w:r>
      <w:r w:rsidR="00F41E5F">
        <w:rPr>
          <w:color w:val="000000" w:themeColor="text1"/>
        </w:rPr>
        <w:t xml:space="preserve"> </w:t>
      </w:r>
      <w:r w:rsidR="00F41E5F" w:rsidRPr="00F41E5F">
        <w:rPr>
          <w:color w:val="000000" w:themeColor="text1"/>
        </w:rPr>
        <w:t xml:space="preserve">The impact on profit is a decrease of $2.1m. </w:t>
      </w:r>
    </w:p>
    <w:p w14:paraId="11F21C4F" w14:textId="03191426" w:rsidR="00F41E5F" w:rsidRPr="00F41E5F" w:rsidRDefault="00F41E5F" w:rsidP="00B3196A">
      <w:pPr>
        <w:pStyle w:val="ListParagraph"/>
        <w:numPr>
          <w:ilvl w:val="0"/>
          <w:numId w:val="2"/>
        </w:numPr>
        <w:spacing w:after="60"/>
        <w:rPr>
          <w:color w:val="C00000"/>
        </w:rPr>
      </w:pPr>
      <w:r w:rsidRPr="00F41E5F">
        <w:rPr>
          <w:color w:val="000000" w:themeColor="text1"/>
        </w:rPr>
        <w:t xml:space="preserve">At this time PL is positive. </w:t>
      </w:r>
      <w:r w:rsidRPr="00F41E5F">
        <w:rPr>
          <w:color w:val="00B050"/>
        </w:rPr>
        <w:t>Having less actual lapses means there will be more policies with a positive liability thereby increasing the overall policy liability</w:t>
      </w:r>
      <w:r w:rsidRPr="00F41E5F">
        <w:rPr>
          <w:color w:val="000000" w:themeColor="text1"/>
        </w:rPr>
        <w:t xml:space="preserve">. </w:t>
      </w:r>
      <w:r w:rsidRPr="00F41E5F">
        <w:rPr>
          <w:color w:val="C00000"/>
        </w:rPr>
        <w:t>The increase in liability is approximately $3.7m which is the largest driver of the $2.1m decrease in profit.</w:t>
      </w:r>
    </w:p>
    <w:p w14:paraId="0753AB27" w14:textId="1034BA99" w:rsidR="00383001" w:rsidRDefault="00F41E5F" w:rsidP="00B3196A">
      <w:pPr>
        <w:pStyle w:val="ListParagraph"/>
        <w:numPr>
          <w:ilvl w:val="0"/>
          <w:numId w:val="2"/>
        </w:numPr>
        <w:spacing w:after="60"/>
        <w:rPr>
          <w:color w:val="000000" w:themeColor="text1"/>
        </w:rPr>
      </w:pPr>
      <w:r w:rsidRPr="00F41E5F">
        <w:rPr>
          <w:color w:val="000000" w:themeColor="text1"/>
        </w:rPr>
        <w:t>Or, in other words, there will be more policies inforce and as the PV of outflows is greater than the PV inflows, the policy liability will increase.</w:t>
      </w:r>
    </w:p>
    <w:p w14:paraId="6EF232A2" w14:textId="77777777" w:rsidR="00F41E5F" w:rsidRDefault="00F41E5F" w:rsidP="00F41E5F">
      <w:pPr>
        <w:spacing w:after="60"/>
        <w:rPr>
          <w:b/>
          <w:color w:val="000000" w:themeColor="text1"/>
        </w:rPr>
      </w:pPr>
    </w:p>
    <w:p w14:paraId="65D3CC4F" w14:textId="77777777" w:rsidR="0007699A" w:rsidRPr="0007699A" w:rsidRDefault="00F41E5F" w:rsidP="0007699A">
      <w:pPr>
        <w:spacing w:after="60"/>
        <w:rPr>
          <w:color w:val="000000" w:themeColor="text1"/>
        </w:rPr>
      </w:pPr>
      <w:r w:rsidRPr="00125723">
        <w:rPr>
          <w:b/>
          <w:color w:val="000000" w:themeColor="text1"/>
        </w:rPr>
        <w:t>Q</w:t>
      </w:r>
      <w:r>
        <w:rPr>
          <w:b/>
          <w:color w:val="000000" w:themeColor="text1"/>
        </w:rPr>
        <w:t xml:space="preserve">2 </w:t>
      </w:r>
      <w:r>
        <w:rPr>
          <w:color w:val="000000" w:themeColor="text1"/>
        </w:rPr>
        <w:t>a)</w:t>
      </w:r>
      <w:r w:rsidR="00B8722C">
        <w:rPr>
          <w:color w:val="000000" w:themeColor="text1"/>
        </w:rPr>
        <w:t xml:space="preserve"> </w:t>
      </w:r>
      <w:r w:rsidR="0007699A" w:rsidRPr="0007699A">
        <w:rPr>
          <w:color w:val="000000" w:themeColor="text1"/>
        </w:rPr>
        <w:t>To: Claims Manager</w:t>
      </w:r>
    </w:p>
    <w:p w14:paraId="0951EDCF" w14:textId="77777777" w:rsidR="0007699A" w:rsidRPr="0007699A" w:rsidRDefault="0007699A" w:rsidP="0007699A">
      <w:pPr>
        <w:spacing w:after="60"/>
        <w:rPr>
          <w:color w:val="000000" w:themeColor="text1"/>
        </w:rPr>
      </w:pPr>
      <w:r w:rsidRPr="0007699A">
        <w:rPr>
          <w:color w:val="000000" w:themeColor="text1"/>
        </w:rPr>
        <w:t>From: Appointed Actuary</w:t>
      </w:r>
    </w:p>
    <w:p w14:paraId="271CE263" w14:textId="77777777" w:rsidR="0007699A" w:rsidRPr="0007699A" w:rsidRDefault="0007699A" w:rsidP="0007699A">
      <w:pPr>
        <w:spacing w:after="60"/>
        <w:rPr>
          <w:color w:val="000000" w:themeColor="text1"/>
        </w:rPr>
      </w:pPr>
      <w:r w:rsidRPr="0007699A">
        <w:rPr>
          <w:color w:val="000000" w:themeColor="text1"/>
        </w:rPr>
        <w:t>Subject – Increase in Disabled Lives Reserves in last quarter</w:t>
      </w:r>
    </w:p>
    <w:p w14:paraId="1A25AEAF" w14:textId="77777777" w:rsidR="0007699A" w:rsidRPr="0007699A" w:rsidRDefault="0007699A" w:rsidP="0007699A">
      <w:pPr>
        <w:spacing w:after="60"/>
        <w:rPr>
          <w:color w:val="00B050"/>
        </w:rPr>
      </w:pPr>
      <w:r w:rsidRPr="0007699A">
        <w:rPr>
          <w:color w:val="000000" w:themeColor="text1"/>
        </w:rPr>
        <w:t xml:space="preserve">While the number of claimants has reduced, </w:t>
      </w:r>
      <w:r w:rsidRPr="0007699A">
        <w:rPr>
          <w:color w:val="00B050"/>
        </w:rPr>
        <w:t>the liability of each claimant is impacted by the interest rate used to discount the future expected claims outgo. Given the average long duration of the cashflows, the interest rate used is at the longer end of the yield curve. This has declined sharply in the last quarter, leading to an increase in policy liabilities. This impact has outweighed the decrease due to the reduced number of claimants.</w:t>
      </w:r>
    </w:p>
    <w:p w14:paraId="32AB2453" w14:textId="77777777" w:rsidR="0007699A" w:rsidRPr="0007699A" w:rsidRDefault="0007699A" w:rsidP="0007699A">
      <w:pPr>
        <w:spacing w:after="60"/>
        <w:rPr>
          <w:color w:val="000000" w:themeColor="text1"/>
        </w:rPr>
      </w:pPr>
      <w:r w:rsidRPr="0007699A">
        <w:rPr>
          <w:color w:val="000000" w:themeColor="text1"/>
        </w:rPr>
        <w:t>I hope this helps, but please let me know if you have any questions.</w:t>
      </w:r>
    </w:p>
    <w:p w14:paraId="6A9D5932" w14:textId="77777777" w:rsidR="0007699A" w:rsidRPr="0007699A" w:rsidRDefault="0007699A" w:rsidP="0007699A">
      <w:pPr>
        <w:spacing w:after="60"/>
        <w:rPr>
          <w:color w:val="000000" w:themeColor="text1"/>
        </w:rPr>
      </w:pPr>
      <w:r w:rsidRPr="0007699A">
        <w:rPr>
          <w:color w:val="000000" w:themeColor="text1"/>
        </w:rPr>
        <w:lastRenderedPageBreak/>
        <w:t>Kind regards,</w:t>
      </w:r>
    </w:p>
    <w:p w14:paraId="27710620" w14:textId="3173B339" w:rsidR="00F41E5F" w:rsidRDefault="0007699A" w:rsidP="0007699A">
      <w:pPr>
        <w:spacing w:after="60"/>
        <w:rPr>
          <w:color w:val="000000" w:themeColor="text1"/>
        </w:rPr>
      </w:pPr>
      <w:r w:rsidRPr="0007699A">
        <w:rPr>
          <w:color w:val="000000" w:themeColor="text1"/>
        </w:rPr>
        <w:t>Appointed Actuary</w:t>
      </w:r>
    </w:p>
    <w:p w14:paraId="08F2E473" w14:textId="77777777" w:rsidR="00F41E5F" w:rsidRDefault="00F41E5F" w:rsidP="00F41E5F">
      <w:pPr>
        <w:spacing w:after="60"/>
        <w:rPr>
          <w:color w:val="000000" w:themeColor="text1"/>
        </w:rPr>
      </w:pPr>
    </w:p>
    <w:p w14:paraId="6D10130A" w14:textId="6201FF2D" w:rsidR="00C330A5" w:rsidRDefault="00843046" w:rsidP="00F41E5F">
      <w:pPr>
        <w:spacing w:after="60"/>
        <w:rPr>
          <w:color w:val="000000" w:themeColor="text1"/>
        </w:rPr>
      </w:pPr>
      <w:r>
        <w:rPr>
          <w:color w:val="000000" w:themeColor="text1"/>
        </w:rPr>
        <w:t xml:space="preserve">b) </w:t>
      </w:r>
      <w:r w:rsidR="001937FE">
        <w:rPr>
          <w:color w:val="000000" w:themeColor="text1"/>
        </w:rPr>
        <w:t xml:space="preserve">More </w:t>
      </w:r>
      <w:r w:rsidR="00C330A5">
        <w:rPr>
          <w:color w:val="000000" w:themeColor="text1"/>
        </w:rPr>
        <w:t>claimants termination</w:t>
      </w:r>
      <w:r w:rsidR="001937FE">
        <w:rPr>
          <w:color w:val="000000" w:themeColor="text1"/>
        </w:rPr>
        <w:t xml:space="preserve"> is expected, </w:t>
      </w:r>
      <w:r w:rsidR="00C330A5">
        <w:rPr>
          <w:color w:val="000000" w:themeColor="text1"/>
        </w:rPr>
        <w:t xml:space="preserve">which can reduce </w:t>
      </w:r>
      <w:r w:rsidR="001937FE">
        <w:rPr>
          <w:color w:val="000000" w:themeColor="text1"/>
        </w:rPr>
        <w:t>the policy liability.</w:t>
      </w:r>
    </w:p>
    <w:p w14:paraId="2AF7206A" w14:textId="77777777" w:rsidR="00905995" w:rsidRDefault="00905995" w:rsidP="00F41E5F">
      <w:pPr>
        <w:spacing w:after="60"/>
        <w:rPr>
          <w:color w:val="000000" w:themeColor="text1"/>
        </w:rPr>
      </w:pPr>
    </w:p>
    <w:p w14:paraId="4C837D0E" w14:textId="77777777" w:rsidR="00C330A5" w:rsidRPr="00C330A5" w:rsidRDefault="00C330A5" w:rsidP="00C330A5">
      <w:pPr>
        <w:spacing w:after="60"/>
        <w:rPr>
          <w:i/>
          <w:color w:val="000000" w:themeColor="text1"/>
        </w:rPr>
      </w:pPr>
      <w:r w:rsidRPr="00C330A5">
        <w:rPr>
          <w:i/>
          <w:color w:val="000000" w:themeColor="text1"/>
        </w:rPr>
        <w:t>The likely impacts on the Valuation results over the next year are as follows:</w:t>
      </w:r>
    </w:p>
    <w:p w14:paraId="6B615A59" w14:textId="79D1011B" w:rsidR="00C330A5" w:rsidRPr="00C330A5" w:rsidRDefault="00C330A5" w:rsidP="00B3196A">
      <w:pPr>
        <w:pStyle w:val="ListParagraph"/>
        <w:numPr>
          <w:ilvl w:val="0"/>
          <w:numId w:val="3"/>
        </w:numPr>
        <w:spacing w:after="60"/>
        <w:rPr>
          <w:color w:val="000000" w:themeColor="text1"/>
        </w:rPr>
      </w:pPr>
      <w:r w:rsidRPr="00C330A5">
        <w:rPr>
          <w:color w:val="000000" w:themeColor="text1"/>
        </w:rPr>
        <w:t>The Valuation results will be more volatile as Claims Team tries to close/decline more claims.</w:t>
      </w:r>
    </w:p>
    <w:p w14:paraId="10D4077D" w14:textId="019D2DF0" w:rsidR="00C330A5" w:rsidRPr="00D94F3C" w:rsidRDefault="00C330A5" w:rsidP="00B3196A">
      <w:pPr>
        <w:pStyle w:val="ListParagraph"/>
        <w:numPr>
          <w:ilvl w:val="0"/>
          <w:numId w:val="3"/>
        </w:numPr>
        <w:spacing w:after="60"/>
        <w:rPr>
          <w:color w:val="C00000"/>
        </w:rPr>
      </w:pPr>
      <w:r w:rsidRPr="00D94F3C">
        <w:rPr>
          <w:color w:val="C00000"/>
        </w:rPr>
        <w:t>Reserves for new claims may be too low as some claims may be declined but should be accepted.</w:t>
      </w:r>
    </w:p>
    <w:p w14:paraId="31300354" w14:textId="76CE3C88" w:rsidR="00C330A5" w:rsidRPr="00D94F3C" w:rsidRDefault="00C330A5" w:rsidP="00B3196A">
      <w:pPr>
        <w:pStyle w:val="ListParagraph"/>
        <w:numPr>
          <w:ilvl w:val="0"/>
          <w:numId w:val="3"/>
        </w:numPr>
        <w:spacing w:after="60"/>
        <w:rPr>
          <w:b/>
          <w:color w:val="C00000"/>
        </w:rPr>
      </w:pPr>
      <w:r w:rsidRPr="00D94F3C">
        <w:rPr>
          <w:color w:val="C00000"/>
        </w:rPr>
        <w:t>Reserves for disabled lives may be too low as some claims are closed, but they’re not genuine claim closures as more will re-open later</w:t>
      </w:r>
      <w:r w:rsidRPr="00C330A5">
        <w:rPr>
          <w:color w:val="000000" w:themeColor="text1"/>
        </w:rPr>
        <w:t xml:space="preserve">. Therefore, </w:t>
      </w:r>
      <w:r w:rsidRPr="00D94F3C">
        <w:rPr>
          <w:b/>
          <w:color w:val="C00000"/>
        </w:rPr>
        <w:t>the reserves for re-opened claims will need to be increased.</w:t>
      </w:r>
    </w:p>
    <w:p w14:paraId="19FC7AD8" w14:textId="7A22D2E7" w:rsidR="00C330A5" w:rsidRPr="00D94F3C" w:rsidRDefault="00C330A5" w:rsidP="00B3196A">
      <w:pPr>
        <w:pStyle w:val="ListParagraph"/>
        <w:numPr>
          <w:ilvl w:val="0"/>
          <w:numId w:val="3"/>
        </w:numPr>
        <w:spacing w:after="60"/>
        <w:rPr>
          <w:color w:val="00B050"/>
        </w:rPr>
      </w:pPr>
      <w:r w:rsidRPr="00D94F3C">
        <w:rPr>
          <w:color w:val="00B050"/>
        </w:rPr>
        <w:t>Reserves for litigated claims need to be increased as the tough claims management may bring on more disputed claims.</w:t>
      </w:r>
    </w:p>
    <w:p w14:paraId="1CB7674A" w14:textId="69576981" w:rsidR="00C330A5" w:rsidRPr="00D94F3C" w:rsidRDefault="00C330A5" w:rsidP="00B3196A">
      <w:pPr>
        <w:pStyle w:val="ListParagraph"/>
        <w:numPr>
          <w:ilvl w:val="0"/>
          <w:numId w:val="3"/>
        </w:numPr>
        <w:spacing w:after="60"/>
        <w:rPr>
          <w:color w:val="C00000"/>
        </w:rPr>
      </w:pPr>
      <w:r w:rsidRPr="00D94F3C">
        <w:rPr>
          <w:color w:val="C00000"/>
        </w:rPr>
        <w:t xml:space="preserve">Claim management </w:t>
      </w:r>
      <w:r w:rsidRPr="00D94F3C">
        <w:rPr>
          <w:b/>
          <w:color w:val="C00000"/>
        </w:rPr>
        <w:t>expenses</w:t>
      </w:r>
      <w:r w:rsidRPr="00D94F3C">
        <w:rPr>
          <w:color w:val="C00000"/>
        </w:rPr>
        <w:t xml:space="preserve"> will be higher due to increased time spent in managing claims.</w:t>
      </w:r>
    </w:p>
    <w:p w14:paraId="2EBD201C" w14:textId="77777777" w:rsidR="00C330A5" w:rsidRPr="00D94F3C" w:rsidRDefault="00C330A5" w:rsidP="00B3196A">
      <w:pPr>
        <w:pStyle w:val="ListParagraph"/>
        <w:numPr>
          <w:ilvl w:val="0"/>
          <w:numId w:val="3"/>
        </w:numPr>
        <w:spacing w:after="60"/>
        <w:rPr>
          <w:color w:val="00B050"/>
        </w:rPr>
      </w:pPr>
      <w:r w:rsidRPr="00D94F3C">
        <w:rPr>
          <w:color w:val="00B050"/>
        </w:rPr>
        <w:t xml:space="preserve">Termination rates may have spikes in them </w:t>
      </w:r>
      <w:r w:rsidRPr="00C807F8">
        <w:rPr>
          <w:b/>
          <w:color w:val="00B050"/>
        </w:rPr>
        <w:t>as Claims Team is under pressure</w:t>
      </w:r>
      <w:r w:rsidRPr="00D94F3C">
        <w:rPr>
          <w:color w:val="00B050"/>
        </w:rPr>
        <w:t xml:space="preserve"> to meet the closure quota.</w:t>
      </w:r>
    </w:p>
    <w:p w14:paraId="28859695" w14:textId="484DE6D8" w:rsidR="00C330A5" w:rsidRPr="00C330A5" w:rsidRDefault="00C330A5" w:rsidP="00B3196A">
      <w:pPr>
        <w:pStyle w:val="ListParagraph"/>
        <w:numPr>
          <w:ilvl w:val="0"/>
          <w:numId w:val="3"/>
        </w:numPr>
        <w:spacing w:after="60"/>
        <w:rPr>
          <w:color w:val="000000" w:themeColor="text1"/>
        </w:rPr>
      </w:pPr>
      <w:r w:rsidRPr="00C330A5">
        <w:rPr>
          <w:color w:val="000000" w:themeColor="text1"/>
        </w:rPr>
        <w:t>The improvement in claims experience due to the strategy may not be sustainable. For example, after some initial quick wins, further efforts to get people off claim may become increasingly difficult.</w:t>
      </w:r>
    </w:p>
    <w:p w14:paraId="27EEA5C0" w14:textId="69F49CF8" w:rsidR="00C330A5" w:rsidRPr="00C330A5" w:rsidRDefault="00C330A5" w:rsidP="00B3196A">
      <w:pPr>
        <w:pStyle w:val="ListParagraph"/>
        <w:numPr>
          <w:ilvl w:val="0"/>
          <w:numId w:val="3"/>
        </w:numPr>
        <w:spacing w:after="60"/>
        <w:rPr>
          <w:color w:val="000000" w:themeColor="text1"/>
        </w:rPr>
      </w:pPr>
      <w:r w:rsidRPr="00C330A5">
        <w:rPr>
          <w:color w:val="000000" w:themeColor="text1"/>
        </w:rPr>
        <w:t>Changing the valuation claim assumptions may not be necessary, but the movements need to be accounted for.</w:t>
      </w:r>
    </w:p>
    <w:p w14:paraId="09598581" w14:textId="76DB8CC4" w:rsidR="00C330A5" w:rsidRPr="00D94F3C" w:rsidRDefault="00C330A5" w:rsidP="00B3196A">
      <w:pPr>
        <w:pStyle w:val="ListParagraph"/>
        <w:numPr>
          <w:ilvl w:val="0"/>
          <w:numId w:val="3"/>
        </w:numPr>
        <w:spacing w:after="60"/>
        <w:rPr>
          <w:color w:val="C00000"/>
        </w:rPr>
      </w:pPr>
      <w:r w:rsidRPr="00D94F3C">
        <w:rPr>
          <w:color w:val="C00000"/>
        </w:rPr>
        <w:t xml:space="preserve">Impact on </w:t>
      </w:r>
      <w:r w:rsidRPr="00D94F3C">
        <w:rPr>
          <w:b/>
          <w:color w:val="C00000"/>
        </w:rPr>
        <w:t>RBNA</w:t>
      </w:r>
      <w:r w:rsidRPr="00D94F3C">
        <w:rPr>
          <w:color w:val="C00000"/>
        </w:rPr>
        <w:t xml:space="preserve"> reserves - will reduce the reserve as more reported claims are getting declined</w:t>
      </w:r>
    </w:p>
    <w:p w14:paraId="4A6355AB" w14:textId="1824CD16" w:rsidR="00C330A5" w:rsidRPr="00D94F3C" w:rsidRDefault="00C330A5" w:rsidP="00B3196A">
      <w:pPr>
        <w:pStyle w:val="ListParagraph"/>
        <w:numPr>
          <w:ilvl w:val="0"/>
          <w:numId w:val="3"/>
        </w:numPr>
        <w:spacing w:after="60"/>
        <w:rPr>
          <w:color w:val="C00000"/>
        </w:rPr>
      </w:pPr>
      <w:r w:rsidRPr="00D94F3C">
        <w:rPr>
          <w:color w:val="C00000"/>
        </w:rPr>
        <w:t xml:space="preserve">Impact on </w:t>
      </w:r>
      <w:r w:rsidRPr="00D94F3C">
        <w:rPr>
          <w:b/>
          <w:color w:val="C00000"/>
        </w:rPr>
        <w:t>IBNR</w:t>
      </w:r>
      <w:r w:rsidRPr="00D94F3C">
        <w:rPr>
          <w:color w:val="C00000"/>
        </w:rPr>
        <w:t xml:space="preserve"> reserves - will reduce the reserves as more incurred claims will go on to be declined once reported</w:t>
      </w:r>
    </w:p>
    <w:p w14:paraId="5FDA569D" w14:textId="3E45333C" w:rsidR="00C330A5" w:rsidRPr="00D94F3C" w:rsidRDefault="00C330A5" w:rsidP="00B3196A">
      <w:pPr>
        <w:pStyle w:val="ListParagraph"/>
        <w:numPr>
          <w:ilvl w:val="0"/>
          <w:numId w:val="3"/>
        </w:numPr>
        <w:spacing w:after="60"/>
        <w:rPr>
          <w:color w:val="C00000"/>
        </w:rPr>
      </w:pPr>
      <w:r w:rsidRPr="00D94F3C">
        <w:rPr>
          <w:color w:val="C00000"/>
        </w:rPr>
        <w:t>Increased decline rate will lead to lower Disabled Lives Reserves</w:t>
      </w:r>
    </w:p>
    <w:p w14:paraId="5639A88A" w14:textId="1338E8F0" w:rsidR="00C330A5" w:rsidRPr="00C330A5" w:rsidRDefault="00C330A5" w:rsidP="00B3196A">
      <w:pPr>
        <w:pStyle w:val="ListParagraph"/>
        <w:numPr>
          <w:ilvl w:val="0"/>
          <w:numId w:val="3"/>
        </w:numPr>
        <w:spacing w:after="60"/>
        <w:rPr>
          <w:color w:val="000000" w:themeColor="text1"/>
        </w:rPr>
      </w:pPr>
      <w:r w:rsidRPr="00C330A5">
        <w:rPr>
          <w:color w:val="000000" w:themeColor="text1"/>
        </w:rPr>
        <w:t>If decline targets are on a counts basis, this could lead assessors to focus on declining smaller sum insured claims. This will lead to higher average sum insured on claim and hence increased DLR.</w:t>
      </w:r>
    </w:p>
    <w:p w14:paraId="749F7C77" w14:textId="2C8A28B4" w:rsidR="00C330A5" w:rsidRPr="00C330A5" w:rsidRDefault="00C330A5" w:rsidP="00B3196A">
      <w:pPr>
        <w:pStyle w:val="ListParagraph"/>
        <w:numPr>
          <w:ilvl w:val="0"/>
          <w:numId w:val="3"/>
        </w:numPr>
        <w:spacing w:after="60"/>
        <w:rPr>
          <w:color w:val="000000" w:themeColor="text1"/>
        </w:rPr>
      </w:pPr>
      <w:r w:rsidRPr="00C330A5">
        <w:rPr>
          <w:color w:val="000000" w:themeColor="text1"/>
        </w:rPr>
        <w:t>If termination targets are on a counts basis, the claims assessors may focus on shorter duration claims hence leading to an increase in the average duration and greater DLR.</w:t>
      </w:r>
    </w:p>
    <w:p w14:paraId="078CDDAC" w14:textId="77777777" w:rsidR="00AA235E" w:rsidRDefault="00AA235E" w:rsidP="00F41E5F">
      <w:pPr>
        <w:spacing w:after="60"/>
        <w:rPr>
          <w:color w:val="000000" w:themeColor="text1"/>
        </w:rPr>
      </w:pPr>
    </w:p>
    <w:p w14:paraId="6C8AD51A" w14:textId="77777777" w:rsidR="001A2DB2" w:rsidRPr="001A2DB2" w:rsidRDefault="00DB030B" w:rsidP="001A2DB2">
      <w:pPr>
        <w:spacing w:after="60"/>
        <w:rPr>
          <w:i/>
          <w:color w:val="000000" w:themeColor="text1"/>
        </w:rPr>
      </w:pPr>
      <w:r>
        <w:rPr>
          <w:color w:val="000000" w:themeColor="text1"/>
        </w:rPr>
        <w:t xml:space="preserve">c) </w:t>
      </w:r>
      <w:r w:rsidR="00AE4E73">
        <w:rPr>
          <w:color w:val="000000" w:themeColor="text1"/>
        </w:rPr>
        <w:t xml:space="preserve">i. </w:t>
      </w:r>
      <w:r w:rsidR="001A2DB2" w:rsidRPr="001A2DB2">
        <w:rPr>
          <w:i/>
          <w:color w:val="000000" w:themeColor="text1"/>
        </w:rPr>
        <w:t>The likely reasons for the reduction in excess assets are as follows:</w:t>
      </w:r>
    </w:p>
    <w:p w14:paraId="251E27DB" w14:textId="4382EDCD" w:rsidR="001A2DB2" w:rsidRPr="0088389E" w:rsidRDefault="0088389E" w:rsidP="00B3196A">
      <w:pPr>
        <w:pStyle w:val="ListParagraph"/>
        <w:numPr>
          <w:ilvl w:val="0"/>
          <w:numId w:val="4"/>
        </w:numPr>
        <w:spacing w:after="60"/>
        <w:rPr>
          <w:color w:val="C00000"/>
        </w:rPr>
      </w:pPr>
      <w:r>
        <w:rPr>
          <w:color w:val="C00000"/>
        </w:rPr>
        <w:t xml:space="preserve">[State the obvious] </w:t>
      </w:r>
      <w:r w:rsidR="001A2DB2" w:rsidRPr="0088389E">
        <w:rPr>
          <w:color w:val="C00000"/>
        </w:rPr>
        <w:t>Disability income claim payments have reduced the capital base, including claim payments made for those claims that came in and terminated during the year.</w:t>
      </w:r>
    </w:p>
    <w:p w14:paraId="4AFC836C" w14:textId="131B11D6" w:rsidR="00DB030B" w:rsidRPr="001A2DB2" w:rsidRDefault="00C37F5E" w:rsidP="00B3196A">
      <w:pPr>
        <w:pStyle w:val="ListParagraph"/>
        <w:numPr>
          <w:ilvl w:val="0"/>
          <w:numId w:val="4"/>
        </w:numPr>
        <w:spacing w:after="60"/>
        <w:rPr>
          <w:color w:val="000000" w:themeColor="text1"/>
        </w:rPr>
      </w:pPr>
      <w:r>
        <w:rPr>
          <w:color w:val="000000" w:themeColor="text1"/>
        </w:rPr>
        <w:lastRenderedPageBreak/>
        <w:t>[</w:t>
      </w:r>
      <w:r w:rsidRPr="00C37F5E">
        <w:rPr>
          <w:color w:val="00B050"/>
        </w:rPr>
        <w:t>Reduced profitability</w:t>
      </w:r>
      <w:r>
        <w:rPr>
          <w:color w:val="000000" w:themeColor="text1"/>
        </w:rPr>
        <w:t xml:space="preserve">] </w:t>
      </w:r>
      <w:r w:rsidR="001A2DB2" w:rsidRPr="001A2DB2">
        <w:rPr>
          <w:color w:val="000000" w:themeColor="text1"/>
        </w:rPr>
        <w:t>An increase in the number of active claimants and hence the disabled lives reserve has reduced the capital base.</w:t>
      </w:r>
    </w:p>
    <w:p w14:paraId="2E5AAD4F" w14:textId="068FE2D9" w:rsidR="001A2DB2" w:rsidRPr="001A2DB2" w:rsidRDefault="001A2DB2" w:rsidP="00B3196A">
      <w:pPr>
        <w:pStyle w:val="ListParagraph"/>
        <w:numPr>
          <w:ilvl w:val="0"/>
          <w:numId w:val="4"/>
        </w:numPr>
        <w:spacing w:after="60"/>
        <w:rPr>
          <w:color w:val="C00000"/>
        </w:rPr>
      </w:pPr>
      <w:r>
        <w:rPr>
          <w:color w:val="C00000"/>
        </w:rPr>
        <w:t>[Assumption change, PL</w:t>
      </w:r>
      <w:r w:rsidRPr="001A2DB2">
        <w:rPr>
          <w:rFonts w:hint="eastAsia"/>
          <w:i/>
          <w:color w:val="C00000"/>
        </w:rPr>
        <w:t>↑</w:t>
      </w:r>
      <w:r>
        <w:rPr>
          <w:color w:val="C00000"/>
        </w:rPr>
        <w:t xml:space="preserve">] </w:t>
      </w:r>
      <w:r w:rsidRPr="001A2DB2">
        <w:rPr>
          <w:color w:val="C00000"/>
        </w:rPr>
        <w:t>The poor claims experience has led to a strengthening of the termination rate assumptions leading to an increase in the disabled lives reserves and reduced the capital base.</w:t>
      </w:r>
    </w:p>
    <w:p w14:paraId="67B76AAA" w14:textId="4E08D291" w:rsidR="001A2DB2" w:rsidRPr="001A2DB2" w:rsidRDefault="0088389E" w:rsidP="00B3196A">
      <w:pPr>
        <w:pStyle w:val="ListParagraph"/>
        <w:numPr>
          <w:ilvl w:val="0"/>
          <w:numId w:val="4"/>
        </w:numPr>
        <w:spacing w:after="60"/>
        <w:rPr>
          <w:color w:val="000000" w:themeColor="text1"/>
        </w:rPr>
      </w:pPr>
      <w:r w:rsidRPr="0088389E">
        <w:rPr>
          <w:color w:val="C00000"/>
        </w:rPr>
        <w:t>[Increased PL results in increased required capital]</w:t>
      </w:r>
      <w:r>
        <w:rPr>
          <w:color w:val="000000" w:themeColor="text1"/>
        </w:rPr>
        <w:t xml:space="preserve"> </w:t>
      </w:r>
      <w:r w:rsidR="001A2DB2" w:rsidRPr="001A2DB2">
        <w:rPr>
          <w:color w:val="000000" w:themeColor="text1"/>
        </w:rPr>
        <w:t>Impact of the insurance risk margins on the larger disabled lives reserve has also increased the PCR.</w:t>
      </w:r>
    </w:p>
    <w:p w14:paraId="0283FA17" w14:textId="262FF55A" w:rsidR="001A2DB2" w:rsidRPr="001A2DB2" w:rsidRDefault="00C37F5E" w:rsidP="00B3196A">
      <w:pPr>
        <w:pStyle w:val="ListParagraph"/>
        <w:numPr>
          <w:ilvl w:val="0"/>
          <w:numId w:val="4"/>
        </w:numPr>
        <w:spacing w:after="60"/>
        <w:rPr>
          <w:color w:val="000000" w:themeColor="text1"/>
        </w:rPr>
      </w:pPr>
      <w:r>
        <w:rPr>
          <w:color w:val="C00000"/>
        </w:rPr>
        <w:t xml:space="preserve">[Required stress changes] </w:t>
      </w:r>
      <w:r w:rsidR="001A2DB2" w:rsidRPr="00C37F5E">
        <w:rPr>
          <w:color w:val="C00000"/>
        </w:rPr>
        <w:t>In addition, the increasing claims trends from recent years means that the future risk margin may have increased and increased the PCR further</w:t>
      </w:r>
      <w:r w:rsidR="001A2DB2" w:rsidRPr="001A2DB2">
        <w:rPr>
          <w:color w:val="000000" w:themeColor="text1"/>
        </w:rPr>
        <w:t>.</w:t>
      </w:r>
    </w:p>
    <w:p w14:paraId="1C1E0146" w14:textId="7EEEA69E" w:rsidR="001A2DB2" w:rsidRPr="00C37F5E" w:rsidRDefault="001A2DB2" w:rsidP="00B3196A">
      <w:pPr>
        <w:pStyle w:val="ListParagraph"/>
        <w:numPr>
          <w:ilvl w:val="0"/>
          <w:numId w:val="4"/>
        </w:numPr>
        <w:spacing w:after="60"/>
        <w:rPr>
          <w:color w:val="C00000"/>
        </w:rPr>
      </w:pPr>
      <w:r w:rsidRPr="00C37F5E">
        <w:rPr>
          <w:color w:val="C00000"/>
        </w:rPr>
        <w:t>There may have been poor investment returns on shareholder retained profits – particularly as it is invested largely in shorter term fixed interest securities or cash where the drop in yields will have reduced returns.</w:t>
      </w:r>
    </w:p>
    <w:p w14:paraId="4623A7C2" w14:textId="5E3271AE" w:rsidR="001A2DB2" w:rsidRPr="001A2DB2" w:rsidRDefault="00C37F5E" w:rsidP="00B3196A">
      <w:pPr>
        <w:pStyle w:val="ListParagraph"/>
        <w:numPr>
          <w:ilvl w:val="0"/>
          <w:numId w:val="4"/>
        </w:numPr>
        <w:spacing w:after="60"/>
        <w:rPr>
          <w:color w:val="000000" w:themeColor="text1"/>
        </w:rPr>
      </w:pPr>
      <w:r>
        <w:rPr>
          <w:color w:val="00B050"/>
        </w:rPr>
        <w:t xml:space="preserve">[ALM mismatch] </w:t>
      </w:r>
      <w:r w:rsidR="001A2DB2" w:rsidRPr="00C37F5E">
        <w:rPr>
          <w:color w:val="00B050"/>
        </w:rPr>
        <w:t>There may be a mismatch between the disabled lives reserves and the asset backing the reserves. The fall in the yield curve may have led to the increase in liabilities greater than the offsetting increase in the assets</w:t>
      </w:r>
      <w:r w:rsidR="001A2DB2" w:rsidRPr="001A2DB2">
        <w:rPr>
          <w:color w:val="000000" w:themeColor="text1"/>
        </w:rPr>
        <w:t>.</w:t>
      </w:r>
    </w:p>
    <w:p w14:paraId="60E79956" w14:textId="6980C93E" w:rsidR="001A2DB2" w:rsidRPr="00C37F5E" w:rsidRDefault="001A2DB2" w:rsidP="00B3196A">
      <w:pPr>
        <w:pStyle w:val="ListParagraph"/>
        <w:numPr>
          <w:ilvl w:val="0"/>
          <w:numId w:val="4"/>
        </w:numPr>
        <w:spacing w:after="60"/>
        <w:rPr>
          <w:color w:val="00B050"/>
        </w:rPr>
      </w:pPr>
      <w:r w:rsidRPr="00C37F5E">
        <w:rPr>
          <w:color w:val="00B050"/>
        </w:rPr>
        <w:t>Aggressive new business levels lead to capital strains from upfront commission and expenses</w:t>
      </w:r>
    </w:p>
    <w:p w14:paraId="3D909226" w14:textId="54A89F6B" w:rsidR="001A2DB2" w:rsidRDefault="00C37F5E" w:rsidP="00B3196A">
      <w:pPr>
        <w:pStyle w:val="ListParagraph"/>
        <w:numPr>
          <w:ilvl w:val="0"/>
          <w:numId w:val="4"/>
        </w:numPr>
        <w:spacing w:after="60"/>
        <w:rPr>
          <w:color w:val="C00000"/>
        </w:rPr>
      </w:pPr>
      <w:r>
        <w:rPr>
          <w:color w:val="C00000"/>
        </w:rPr>
        <w:t xml:space="preserve">[Australia specific] </w:t>
      </w:r>
      <w:r w:rsidR="001A2DB2" w:rsidRPr="00C37F5E">
        <w:rPr>
          <w:color w:val="C00000"/>
        </w:rPr>
        <w:t>Rapid sales growth also leads to increased operational risk charge</w:t>
      </w:r>
    </w:p>
    <w:p w14:paraId="641B2BB8" w14:textId="77777777" w:rsidR="00AA235E" w:rsidRDefault="00AA235E" w:rsidP="00C37F5E">
      <w:pPr>
        <w:spacing w:after="60"/>
      </w:pPr>
    </w:p>
    <w:p w14:paraId="65A344AB" w14:textId="77777777" w:rsidR="00905995" w:rsidRPr="00C37F5E" w:rsidRDefault="00905995" w:rsidP="00C37F5E">
      <w:pPr>
        <w:spacing w:after="60"/>
      </w:pPr>
    </w:p>
    <w:p w14:paraId="5B65D505" w14:textId="35443AB6" w:rsidR="00AA235E" w:rsidRPr="0063011B" w:rsidRDefault="00C37F5E" w:rsidP="00C37F5E">
      <w:pPr>
        <w:spacing w:after="60"/>
        <w:rPr>
          <w:i/>
        </w:rPr>
      </w:pPr>
      <w:r>
        <w:t xml:space="preserve">ii. </w:t>
      </w:r>
      <w:r w:rsidR="0063011B" w:rsidRPr="0063011B">
        <w:rPr>
          <w:i/>
        </w:rPr>
        <w:t>Actions could the company take to improve the capital position</w:t>
      </w:r>
      <w:r w:rsidR="0063011B">
        <w:rPr>
          <w:i/>
        </w:rPr>
        <w:t>:</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3150"/>
        <w:gridCol w:w="3510"/>
      </w:tblGrid>
      <w:tr w:rsidR="0063011B" w:rsidRPr="0063011B" w14:paraId="75DFC33A" w14:textId="77777777" w:rsidTr="00905995">
        <w:trPr>
          <w:trHeight w:val="142"/>
        </w:trPr>
        <w:tc>
          <w:tcPr>
            <w:tcW w:w="2808" w:type="dxa"/>
            <w:vAlign w:val="center"/>
          </w:tcPr>
          <w:p w14:paraId="582154EA" w14:textId="62293EA2" w:rsidR="0063011B" w:rsidRPr="0063011B" w:rsidRDefault="0063011B" w:rsidP="0063011B">
            <w:pPr>
              <w:autoSpaceDE w:val="0"/>
              <w:autoSpaceDN w:val="0"/>
              <w:adjustRightInd w:val="0"/>
              <w:spacing w:after="0" w:line="240" w:lineRule="auto"/>
              <w:jc w:val="center"/>
              <w:rPr>
                <w:rFonts w:cstheme="minorHAnsi"/>
                <w:color w:val="000000"/>
              </w:rPr>
            </w:pPr>
            <w:r w:rsidRPr="0063011B">
              <w:rPr>
                <w:rFonts w:cstheme="minorHAnsi"/>
                <w:b/>
                <w:bCs/>
                <w:color w:val="000000"/>
              </w:rPr>
              <w:t>Action</w:t>
            </w:r>
          </w:p>
        </w:tc>
        <w:tc>
          <w:tcPr>
            <w:tcW w:w="3150" w:type="dxa"/>
            <w:vAlign w:val="center"/>
          </w:tcPr>
          <w:p w14:paraId="11C37BE3" w14:textId="6354C58F" w:rsidR="0063011B" w:rsidRPr="0063011B" w:rsidRDefault="0063011B" w:rsidP="0063011B">
            <w:pPr>
              <w:autoSpaceDE w:val="0"/>
              <w:autoSpaceDN w:val="0"/>
              <w:adjustRightInd w:val="0"/>
              <w:spacing w:after="0" w:line="240" w:lineRule="auto"/>
              <w:jc w:val="center"/>
              <w:rPr>
                <w:rFonts w:cstheme="minorHAnsi"/>
                <w:color w:val="000000"/>
              </w:rPr>
            </w:pPr>
            <w:r w:rsidRPr="0063011B">
              <w:rPr>
                <w:rFonts w:cstheme="minorHAnsi"/>
                <w:b/>
                <w:bCs/>
                <w:color w:val="000000"/>
              </w:rPr>
              <w:t>Advantages</w:t>
            </w:r>
          </w:p>
        </w:tc>
        <w:tc>
          <w:tcPr>
            <w:tcW w:w="3510" w:type="dxa"/>
            <w:vAlign w:val="center"/>
          </w:tcPr>
          <w:p w14:paraId="13747601" w14:textId="462BF0B1" w:rsidR="0063011B" w:rsidRPr="0063011B" w:rsidRDefault="0063011B" w:rsidP="0063011B">
            <w:pPr>
              <w:autoSpaceDE w:val="0"/>
              <w:autoSpaceDN w:val="0"/>
              <w:adjustRightInd w:val="0"/>
              <w:spacing w:after="0" w:line="240" w:lineRule="auto"/>
              <w:jc w:val="center"/>
              <w:rPr>
                <w:rFonts w:cstheme="minorHAnsi"/>
                <w:color w:val="000000"/>
              </w:rPr>
            </w:pPr>
            <w:r w:rsidRPr="0063011B">
              <w:rPr>
                <w:rFonts w:cstheme="minorHAnsi"/>
                <w:b/>
                <w:bCs/>
                <w:color w:val="000000"/>
              </w:rPr>
              <w:t>Disadvantages</w:t>
            </w:r>
          </w:p>
        </w:tc>
      </w:tr>
      <w:tr w:rsidR="0063011B" w:rsidRPr="0063011B" w14:paraId="56ED654E" w14:textId="77777777" w:rsidTr="00905995">
        <w:trPr>
          <w:trHeight w:val="656"/>
        </w:trPr>
        <w:tc>
          <w:tcPr>
            <w:tcW w:w="2808" w:type="dxa"/>
            <w:vAlign w:val="center"/>
          </w:tcPr>
          <w:p w14:paraId="2451711F" w14:textId="3DC38BAE" w:rsidR="0063011B" w:rsidRPr="0063011B" w:rsidRDefault="0063011B" w:rsidP="0063011B">
            <w:pPr>
              <w:autoSpaceDE w:val="0"/>
              <w:autoSpaceDN w:val="0"/>
              <w:adjustRightInd w:val="0"/>
              <w:spacing w:after="0" w:line="240" w:lineRule="auto"/>
              <w:rPr>
                <w:rFonts w:cstheme="minorHAnsi"/>
                <w:color w:val="00B050"/>
              </w:rPr>
            </w:pPr>
            <w:r w:rsidRPr="0063011B">
              <w:rPr>
                <w:rFonts w:cstheme="minorHAnsi"/>
                <w:color w:val="00B050"/>
              </w:rPr>
              <w:t>Reduce levels of new business (e.g. through premium rate increases) – so that inforce capital rele</w:t>
            </w:r>
            <w:r w:rsidR="00AA235E">
              <w:rPr>
                <w:rFonts w:cstheme="minorHAnsi"/>
                <w:color w:val="00B050"/>
              </w:rPr>
              <w:t>ase exceeds new business strain.</w:t>
            </w:r>
          </w:p>
        </w:tc>
        <w:tc>
          <w:tcPr>
            <w:tcW w:w="3150" w:type="dxa"/>
            <w:vAlign w:val="center"/>
          </w:tcPr>
          <w:p w14:paraId="636D7F36" w14:textId="511DB5D3"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C00000"/>
              </w:rPr>
              <w:t>This would reduce operational risk charge as lower sales will reduce the increase in the siz</w:t>
            </w:r>
            <w:r w:rsidR="00AA235E">
              <w:rPr>
                <w:rFonts w:cstheme="minorHAnsi"/>
                <w:color w:val="C00000"/>
              </w:rPr>
              <w:t>e of the Disability Income book.</w:t>
            </w:r>
          </w:p>
        </w:tc>
        <w:tc>
          <w:tcPr>
            <w:tcW w:w="3510" w:type="dxa"/>
            <w:vAlign w:val="center"/>
          </w:tcPr>
          <w:p w14:paraId="7AB6295C" w14:textId="77777777"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000000"/>
              </w:rPr>
              <w:t xml:space="preserve">Reduction in market share </w:t>
            </w:r>
          </w:p>
          <w:p w14:paraId="395D9A18" w14:textId="279034E6"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000000"/>
              </w:rPr>
              <w:t>Likely to lead to higher lapses unless new premium series was introduced</w:t>
            </w:r>
            <w:r w:rsidR="00AA235E">
              <w:rPr>
                <w:rFonts w:cstheme="minorHAnsi"/>
                <w:color w:val="000000"/>
              </w:rPr>
              <w:t>.</w:t>
            </w:r>
            <w:r w:rsidRPr="0063011B">
              <w:rPr>
                <w:rFonts w:cstheme="minorHAnsi"/>
                <w:color w:val="000000"/>
              </w:rPr>
              <w:t xml:space="preserve"> </w:t>
            </w:r>
          </w:p>
        </w:tc>
      </w:tr>
      <w:tr w:rsidR="0063011B" w:rsidRPr="0063011B" w14:paraId="1774F838" w14:textId="77777777" w:rsidTr="00905995">
        <w:trPr>
          <w:trHeight w:val="916"/>
        </w:trPr>
        <w:tc>
          <w:tcPr>
            <w:tcW w:w="2808" w:type="dxa"/>
            <w:vAlign w:val="center"/>
          </w:tcPr>
          <w:p w14:paraId="6C545253" w14:textId="77777777"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C00000"/>
              </w:rPr>
              <w:t xml:space="preserve">Move out of equities and into fixed interest to reduce the asset risk charge. </w:t>
            </w:r>
          </w:p>
        </w:tc>
        <w:tc>
          <w:tcPr>
            <w:tcW w:w="3150" w:type="dxa"/>
            <w:vAlign w:val="center"/>
          </w:tcPr>
          <w:p w14:paraId="79E7370E" w14:textId="77777777" w:rsidR="0063011B" w:rsidRPr="0063011B" w:rsidRDefault="0063011B" w:rsidP="0063011B">
            <w:pPr>
              <w:autoSpaceDE w:val="0"/>
              <w:autoSpaceDN w:val="0"/>
              <w:adjustRightInd w:val="0"/>
              <w:spacing w:after="0" w:line="240" w:lineRule="auto"/>
              <w:rPr>
                <w:rFonts w:cstheme="minorHAnsi"/>
                <w:color w:val="C00000"/>
              </w:rPr>
            </w:pPr>
            <w:r w:rsidRPr="0063011B">
              <w:rPr>
                <w:rFonts w:cstheme="minorHAnsi"/>
                <w:color w:val="C00000"/>
              </w:rPr>
              <w:t xml:space="preserve">Will reduce asset risk charge. May also improve the level of matching to the liabilities (although they may have provided some inflation protection which might now be lost) </w:t>
            </w:r>
          </w:p>
        </w:tc>
        <w:tc>
          <w:tcPr>
            <w:tcW w:w="3510" w:type="dxa"/>
            <w:vAlign w:val="center"/>
          </w:tcPr>
          <w:p w14:paraId="36380C7F" w14:textId="77777777" w:rsidR="0063011B" w:rsidRPr="0063011B" w:rsidRDefault="0063011B" w:rsidP="0063011B">
            <w:pPr>
              <w:autoSpaceDE w:val="0"/>
              <w:autoSpaceDN w:val="0"/>
              <w:adjustRightInd w:val="0"/>
              <w:spacing w:after="0" w:line="240" w:lineRule="auto"/>
              <w:rPr>
                <w:rFonts w:cstheme="minorHAnsi"/>
                <w:color w:val="C00000"/>
              </w:rPr>
            </w:pPr>
            <w:r w:rsidRPr="0063011B">
              <w:rPr>
                <w:rFonts w:cstheme="minorHAnsi"/>
                <w:color w:val="C00000"/>
              </w:rPr>
              <w:t xml:space="preserve">Trading costs involved. </w:t>
            </w:r>
          </w:p>
          <w:p w14:paraId="1F443A15" w14:textId="77777777" w:rsidR="0063011B" w:rsidRPr="0063011B" w:rsidRDefault="0063011B" w:rsidP="0063011B">
            <w:pPr>
              <w:autoSpaceDE w:val="0"/>
              <w:autoSpaceDN w:val="0"/>
              <w:adjustRightInd w:val="0"/>
              <w:spacing w:after="0" w:line="240" w:lineRule="auto"/>
              <w:rPr>
                <w:rFonts w:cstheme="minorHAnsi"/>
                <w:color w:val="C00000"/>
              </w:rPr>
            </w:pPr>
            <w:r w:rsidRPr="0063011B">
              <w:rPr>
                <w:rFonts w:cstheme="minorHAnsi"/>
                <w:color w:val="C00000"/>
              </w:rPr>
              <w:t xml:space="preserve">Lower expected returns </w:t>
            </w:r>
          </w:p>
        </w:tc>
      </w:tr>
      <w:tr w:rsidR="0063011B" w:rsidRPr="0063011B" w14:paraId="16832DC8" w14:textId="77777777" w:rsidTr="00905995">
        <w:trPr>
          <w:trHeight w:val="266"/>
        </w:trPr>
        <w:tc>
          <w:tcPr>
            <w:tcW w:w="2808" w:type="dxa"/>
            <w:vAlign w:val="center"/>
          </w:tcPr>
          <w:p w14:paraId="7D6345D8" w14:textId="2F2C3EA1"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C00000"/>
              </w:rPr>
              <w:t>Invest in mo</w:t>
            </w:r>
            <w:r w:rsidRPr="00AA235E">
              <w:rPr>
                <w:rFonts w:cstheme="minorHAnsi"/>
                <w:color w:val="C00000"/>
              </w:rPr>
              <w:t>re equities to increase returns.</w:t>
            </w:r>
          </w:p>
        </w:tc>
        <w:tc>
          <w:tcPr>
            <w:tcW w:w="3150" w:type="dxa"/>
            <w:vAlign w:val="center"/>
          </w:tcPr>
          <w:p w14:paraId="647B76F0" w14:textId="77777777" w:rsidR="0063011B" w:rsidRPr="0063011B" w:rsidRDefault="0063011B" w:rsidP="0063011B">
            <w:pPr>
              <w:autoSpaceDE w:val="0"/>
              <w:autoSpaceDN w:val="0"/>
              <w:adjustRightInd w:val="0"/>
              <w:spacing w:after="0" w:line="240" w:lineRule="auto"/>
              <w:rPr>
                <w:rFonts w:cstheme="minorHAnsi"/>
                <w:color w:val="C00000"/>
              </w:rPr>
            </w:pPr>
            <w:r w:rsidRPr="0063011B">
              <w:rPr>
                <w:rFonts w:cstheme="minorHAnsi"/>
                <w:color w:val="C00000"/>
              </w:rPr>
              <w:t xml:space="preserve">Higher returns will improve asset position </w:t>
            </w:r>
          </w:p>
        </w:tc>
        <w:tc>
          <w:tcPr>
            <w:tcW w:w="3510" w:type="dxa"/>
            <w:vAlign w:val="center"/>
          </w:tcPr>
          <w:p w14:paraId="6F8EBE9C" w14:textId="77777777" w:rsidR="0063011B" w:rsidRPr="0063011B" w:rsidRDefault="0063011B" w:rsidP="0063011B">
            <w:pPr>
              <w:autoSpaceDE w:val="0"/>
              <w:autoSpaceDN w:val="0"/>
              <w:adjustRightInd w:val="0"/>
              <w:spacing w:after="0" w:line="240" w:lineRule="auto"/>
              <w:rPr>
                <w:rFonts w:cstheme="minorHAnsi"/>
                <w:color w:val="C00000"/>
              </w:rPr>
            </w:pPr>
            <w:r w:rsidRPr="0063011B">
              <w:rPr>
                <w:rFonts w:cstheme="minorHAnsi"/>
                <w:color w:val="C00000"/>
              </w:rPr>
              <w:t xml:space="preserve">Transaction costs </w:t>
            </w:r>
          </w:p>
          <w:p w14:paraId="52335650" w14:textId="77777777"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C00000"/>
              </w:rPr>
              <w:t xml:space="preserve">Increase in asset risk charge </w:t>
            </w:r>
          </w:p>
        </w:tc>
      </w:tr>
      <w:tr w:rsidR="0063011B" w:rsidRPr="0063011B" w14:paraId="0FB89ECC" w14:textId="77777777" w:rsidTr="00905995">
        <w:trPr>
          <w:trHeight w:val="655"/>
        </w:trPr>
        <w:tc>
          <w:tcPr>
            <w:tcW w:w="2808" w:type="dxa"/>
            <w:vAlign w:val="center"/>
          </w:tcPr>
          <w:p w14:paraId="418008A7" w14:textId="77777777"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000000"/>
              </w:rPr>
              <w:t xml:space="preserve">Move out of corporate bonds into government bonds or higher credit rates corporate bonds to reduce asset risk charge </w:t>
            </w:r>
          </w:p>
        </w:tc>
        <w:tc>
          <w:tcPr>
            <w:tcW w:w="3150" w:type="dxa"/>
            <w:vAlign w:val="center"/>
          </w:tcPr>
          <w:p w14:paraId="67D8D4F1" w14:textId="77777777"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000000"/>
              </w:rPr>
              <w:t xml:space="preserve">Will reduce asset risk charge </w:t>
            </w:r>
          </w:p>
        </w:tc>
        <w:tc>
          <w:tcPr>
            <w:tcW w:w="3510" w:type="dxa"/>
            <w:vAlign w:val="center"/>
          </w:tcPr>
          <w:p w14:paraId="046E1F6F" w14:textId="77777777"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000000"/>
              </w:rPr>
              <w:t xml:space="preserve">Investment returns may be lower going forward (which may offset over time the reduction in PCR from the lower asset risk charge) </w:t>
            </w:r>
          </w:p>
        </w:tc>
      </w:tr>
      <w:tr w:rsidR="0063011B" w:rsidRPr="0063011B" w14:paraId="03C2DF62" w14:textId="77777777" w:rsidTr="00905995">
        <w:trPr>
          <w:trHeight w:val="526"/>
        </w:trPr>
        <w:tc>
          <w:tcPr>
            <w:tcW w:w="2808" w:type="dxa"/>
            <w:vAlign w:val="center"/>
          </w:tcPr>
          <w:p w14:paraId="38B0B7CD" w14:textId="77777777"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C00000"/>
              </w:rPr>
              <w:lastRenderedPageBreak/>
              <w:t xml:space="preserve">Reduce holdings in single company – reduce asset concentrate risk charge </w:t>
            </w:r>
          </w:p>
        </w:tc>
        <w:tc>
          <w:tcPr>
            <w:tcW w:w="3150" w:type="dxa"/>
            <w:vAlign w:val="center"/>
          </w:tcPr>
          <w:p w14:paraId="6E87F615" w14:textId="77777777"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C00000"/>
              </w:rPr>
              <w:t xml:space="preserve">Will reduce the asset concentration risk charge </w:t>
            </w:r>
          </w:p>
        </w:tc>
        <w:tc>
          <w:tcPr>
            <w:tcW w:w="3510" w:type="dxa"/>
            <w:vAlign w:val="center"/>
          </w:tcPr>
          <w:p w14:paraId="70F86FD3" w14:textId="77777777"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000000"/>
              </w:rPr>
              <w:t xml:space="preserve">Trading costs. </w:t>
            </w:r>
          </w:p>
          <w:p w14:paraId="05E6D696" w14:textId="77777777"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000000"/>
              </w:rPr>
              <w:t xml:space="preserve">Lower investment returns if holding was tactical investment decision. </w:t>
            </w:r>
          </w:p>
        </w:tc>
      </w:tr>
      <w:tr w:rsidR="0063011B" w:rsidRPr="0063011B" w14:paraId="00DA662E" w14:textId="77777777" w:rsidTr="00905995">
        <w:trPr>
          <w:trHeight w:val="656"/>
        </w:trPr>
        <w:tc>
          <w:tcPr>
            <w:tcW w:w="2808" w:type="dxa"/>
            <w:vAlign w:val="center"/>
          </w:tcPr>
          <w:p w14:paraId="6600707E" w14:textId="351445B2"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00B050"/>
              </w:rPr>
              <w:t xml:space="preserve">Improve matching – inflation protection vs market value trade off </w:t>
            </w:r>
            <w:r w:rsidR="00AA235E">
              <w:rPr>
                <w:rFonts w:cstheme="minorHAnsi"/>
                <w:color w:val="00B050"/>
              </w:rPr>
              <w:t>(derivatives)</w:t>
            </w:r>
          </w:p>
        </w:tc>
        <w:tc>
          <w:tcPr>
            <w:tcW w:w="3150" w:type="dxa"/>
            <w:vAlign w:val="center"/>
          </w:tcPr>
          <w:p w14:paraId="39E86CF6" w14:textId="77777777"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C00000"/>
              </w:rPr>
              <w:t xml:space="preserve">Impact on asset risk charge could be up or down depending on different impacts of real return stress vs inflation stress </w:t>
            </w:r>
          </w:p>
        </w:tc>
        <w:tc>
          <w:tcPr>
            <w:tcW w:w="3510" w:type="dxa"/>
            <w:vAlign w:val="center"/>
          </w:tcPr>
          <w:p w14:paraId="24A8F562" w14:textId="77777777"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00B050"/>
              </w:rPr>
              <w:t xml:space="preserve">Trading costs. </w:t>
            </w:r>
          </w:p>
        </w:tc>
      </w:tr>
      <w:tr w:rsidR="0063011B" w:rsidRPr="0063011B" w14:paraId="0FBC018D" w14:textId="77777777" w:rsidTr="00905995">
        <w:trPr>
          <w:trHeight w:val="916"/>
        </w:trPr>
        <w:tc>
          <w:tcPr>
            <w:tcW w:w="2808" w:type="dxa"/>
            <w:vAlign w:val="center"/>
          </w:tcPr>
          <w:p w14:paraId="558EA151" w14:textId="77777777"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00B050"/>
              </w:rPr>
              <w:t xml:space="preserve">Take out reinsurance with a local reinsurer </w:t>
            </w:r>
          </w:p>
        </w:tc>
        <w:tc>
          <w:tcPr>
            <w:tcW w:w="3150" w:type="dxa"/>
            <w:vAlign w:val="center"/>
          </w:tcPr>
          <w:p w14:paraId="5BCF7984" w14:textId="77777777" w:rsidR="0063011B" w:rsidRPr="0063011B" w:rsidRDefault="0063011B" w:rsidP="0063011B">
            <w:pPr>
              <w:autoSpaceDE w:val="0"/>
              <w:autoSpaceDN w:val="0"/>
              <w:adjustRightInd w:val="0"/>
              <w:spacing w:after="0" w:line="240" w:lineRule="auto"/>
              <w:rPr>
                <w:rFonts w:cstheme="minorHAnsi"/>
                <w:color w:val="C00000"/>
              </w:rPr>
            </w:pPr>
            <w:r w:rsidRPr="0063011B">
              <w:rPr>
                <w:rFonts w:cstheme="minorHAnsi"/>
                <w:color w:val="C00000"/>
              </w:rPr>
              <w:t xml:space="preserve">Will improve capital position in the short term (but only up to the asset concentration risk limit). </w:t>
            </w:r>
          </w:p>
          <w:p w14:paraId="4175A122" w14:textId="77777777"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C00000"/>
              </w:rPr>
              <w:t xml:space="preserve">Reduced volatility of claims experience. </w:t>
            </w:r>
          </w:p>
        </w:tc>
        <w:tc>
          <w:tcPr>
            <w:tcW w:w="3510" w:type="dxa"/>
            <w:vAlign w:val="center"/>
          </w:tcPr>
          <w:p w14:paraId="58B36992" w14:textId="6E212F12" w:rsidR="0063011B" w:rsidRPr="0063011B" w:rsidRDefault="0063011B" w:rsidP="0063011B">
            <w:pPr>
              <w:autoSpaceDE w:val="0"/>
              <w:autoSpaceDN w:val="0"/>
              <w:adjustRightInd w:val="0"/>
              <w:spacing w:after="0" w:line="240" w:lineRule="auto"/>
              <w:rPr>
                <w:rFonts w:cstheme="minorHAnsi"/>
                <w:color w:val="00B050"/>
              </w:rPr>
            </w:pPr>
            <w:r w:rsidRPr="0063011B">
              <w:rPr>
                <w:rFonts w:cstheme="minorHAnsi"/>
                <w:color w:val="00B050"/>
              </w:rPr>
              <w:t>Reduction in profit as some of the p</w:t>
            </w:r>
            <w:r w:rsidR="00AA235E">
              <w:rPr>
                <w:rFonts w:cstheme="minorHAnsi"/>
                <w:color w:val="00B050"/>
              </w:rPr>
              <w:t>rofit is given to the reinsurer.</w:t>
            </w:r>
          </w:p>
          <w:p w14:paraId="75E5E62B" w14:textId="77777777"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C00000"/>
              </w:rPr>
              <w:t xml:space="preserve">Possible asset concentration risk charge </w:t>
            </w:r>
          </w:p>
        </w:tc>
      </w:tr>
      <w:tr w:rsidR="0063011B" w:rsidRPr="0063011B" w14:paraId="21533D38" w14:textId="77777777" w:rsidTr="00905995">
        <w:trPr>
          <w:trHeight w:val="916"/>
        </w:trPr>
        <w:tc>
          <w:tcPr>
            <w:tcW w:w="2808" w:type="dxa"/>
            <w:vAlign w:val="center"/>
          </w:tcPr>
          <w:p w14:paraId="3A943080" w14:textId="77777777"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C00000"/>
              </w:rPr>
              <w:t xml:space="preserve">Take out reinsurance with the parent. </w:t>
            </w:r>
          </w:p>
        </w:tc>
        <w:tc>
          <w:tcPr>
            <w:tcW w:w="3150" w:type="dxa"/>
            <w:vAlign w:val="center"/>
          </w:tcPr>
          <w:p w14:paraId="621573C4" w14:textId="77777777"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000000"/>
              </w:rPr>
              <w:t xml:space="preserve">Will improve capital position in the short term (but only up to the asset concentration risk limit). </w:t>
            </w:r>
          </w:p>
          <w:p w14:paraId="1EBD85CD" w14:textId="77777777" w:rsidR="0063011B" w:rsidRDefault="0063011B" w:rsidP="0063011B">
            <w:pPr>
              <w:autoSpaceDE w:val="0"/>
              <w:autoSpaceDN w:val="0"/>
              <w:adjustRightInd w:val="0"/>
              <w:spacing w:after="0" w:line="240" w:lineRule="auto"/>
              <w:rPr>
                <w:rFonts w:cstheme="minorHAnsi"/>
                <w:color w:val="000000"/>
              </w:rPr>
            </w:pPr>
            <w:r w:rsidRPr="0063011B">
              <w:rPr>
                <w:rFonts w:cstheme="minorHAnsi"/>
                <w:color w:val="000000"/>
              </w:rPr>
              <w:t xml:space="preserve">Reduced volatility of claims experience. </w:t>
            </w:r>
          </w:p>
          <w:p w14:paraId="6C071B2A" w14:textId="3F0E430E"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000000"/>
              </w:rPr>
              <w:t>Maintains profit within the Group</w:t>
            </w:r>
            <w:r>
              <w:rPr>
                <w:rFonts w:cstheme="minorHAnsi"/>
                <w:color w:val="000000"/>
              </w:rPr>
              <w:t>.</w:t>
            </w:r>
          </w:p>
        </w:tc>
        <w:tc>
          <w:tcPr>
            <w:tcW w:w="3510" w:type="dxa"/>
            <w:vAlign w:val="center"/>
          </w:tcPr>
          <w:p w14:paraId="67AA08DA" w14:textId="65C28A8A"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000000"/>
              </w:rPr>
              <w:t>Reduction in profit as some of the profit is given to the parent</w:t>
            </w:r>
            <w:r w:rsidR="00AA235E">
              <w:rPr>
                <w:rFonts w:cstheme="minorHAnsi"/>
                <w:color w:val="000000"/>
              </w:rPr>
              <w:t>.</w:t>
            </w:r>
            <w:r w:rsidRPr="0063011B">
              <w:rPr>
                <w:rFonts w:cstheme="minorHAnsi"/>
                <w:color w:val="000000"/>
              </w:rPr>
              <w:t xml:space="preserve"> </w:t>
            </w:r>
          </w:p>
          <w:p w14:paraId="012270EF" w14:textId="0A17C60B"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000000"/>
              </w:rPr>
              <w:t>Possible asset concentration risk charge</w:t>
            </w:r>
            <w:r w:rsidR="00AA235E">
              <w:rPr>
                <w:rFonts w:cstheme="minorHAnsi"/>
                <w:color w:val="000000"/>
              </w:rPr>
              <w:t>.</w:t>
            </w:r>
          </w:p>
        </w:tc>
      </w:tr>
      <w:tr w:rsidR="0063011B" w:rsidRPr="0063011B" w14:paraId="7248D19F" w14:textId="77777777" w:rsidTr="00905995">
        <w:trPr>
          <w:trHeight w:val="916"/>
        </w:trPr>
        <w:tc>
          <w:tcPr>
            <w:tcW w:w="2808" w:type="dxa"/>
            <w:vAlign w:val="center"/>
          </w:tcPr>
          <w:p w14:paraId="129456DB" w14:textId="4F4DA2B7"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00B050"/>
              </w:rPr>
              <w:t xml:space="preserve">Obtain Capital injection from parent </w:t>
            </w:r>
          </w:p>
        </w:tc>
        <w:tc>
          <w:tcPr>
            <w:tcW w:w="3150" w:type="dxa"/>
            <w:vAlign w:val="center"/>
          </w:tcPr>
          <w:p w14:paraId="5FD4BF23" w14:textId="706826C3" w:rsidR="0063011B" w:rsidRPr="00AA235E" w:rsidRDefault="0063011B" w:rsidP="0063011B">
            <w:pPr>
              <w:autoSpaceDE w:val="0"/>
              <w:autoSpaceDN w:val="0"/>
              <w:adjustRightInd w:val="0"/>
              <w:spacing w:after="0" w:line="240" w:lineRule="auto"/>
              <w:rPr>
                <w:rFonts w:cstheme="minorHAnsi"/>
                <w:color w:val="C00000"/>
              </w:rPr>
            </w:pPr>
            <w:r w:rsidRPr="00AA235E">
              <w:rPr>
                <w:rFonts w:cstheme="minorHAnsi"/>
                <w:color w:val="C00000"/>
              </w:rPr>
              <w:t xml:space="preserve">Will immediately improve the Capital Base (although for sub debt limits will apply) </w:t>
            </w:r>
          </w:p>
        </w:tc>
        <w:tc>
          <w:tcPr>
            <w:tcW w:w="3510" w:type="dxa"/>
            <w:vAlign w:val="center"/>
          </w:tcPr>
          <w:p w14:paraId="7FB588AA" w14:textId="66A3F056" w:rsidR="0063011B" w:rsidRPr="00AA235E" w:rsidRDefault="0063011B" w:rsidP="0063011B">
            <w:pPr>
              <w:autoSpaceDE w:val="0"/>
              <w:autoSpaceDN w:val="0"/>
              <w:adjustRightInd w:val="0"/>
              <w:spacing w:after="0" w:line="240" w:lineRule="auto"/>
              <w:rPr>
                <w:rFonts w:cstheme="minorHAnsi"/>
                <w:b/>
                <w:color w:val="C00000"/>
              </w:rPr>
            </w:pPr>
            <w:r w:rsidRPr="00AA235E">
              <w:rPr>
                <w:rFonts w:cstheme="minorHAnsi"/>
                <w:b/>
                <w:color w:val="C00000"/>
              </w:rPr>
              <w:t xml:space="preserve">Parent may not have the appetite to invest in the Australian business if better returns can be achieved elsewhere </w:t>
            </w:r>
          </w:p>
        </w:tc>
      </w:tr>
      <w:tr w:rsidR="0063011B" w:rsidRPr="0063011B" w14:paraId="57CFD646" w14:textId="77777777" w:rsidTr="00905995">
        <w:trPr>
          <w:trHeight w:val="916"/>
        </w:trPr>
        <w:tc>
          <w:tcPr>
            <w:tcW w:w="2808" w:type="dxa"/>
            <w:vAlign w:val="center"/>
          </w:tcPr>
          <w:p w14:paraId="019492F4" w14:textId="375E758A" w:rsidR="0063011B" w:rsidRPr="00AA235E" w:rsidRDefault="0063011B" w:rsidP="0063011B">
            <w:pPr>
              <w:autoSpaceDE w:val="0"/>
              <w:autoSpaceDN w:val="0"/>
              <w:adjustRightInd w:val="0"/>
              <w:spacing w:after="0" w:line="240" w:lineRule="auto"/>
              <w:rPr>
                <w:rFonts w:cstheme="minorHAnsi"/>
                <w:color w:val="C00000"/>
              </w:rPr>
            </w:pPr>
            <w:r w:rsidRPr="00AA235E">
              <w:rPr>
                <w:rFonts w:cstheme="minorHAnsi"/>
                <w:color w:val="C00000"/>
              </w:rPr>
              <w:t>Obtain Capital injection by other means - e.g. issue sub-ordinated debt</w:t>
            </w:r>
          </w:p>
        </w:tc>
        <w:tc>
          <w:tcPr>
            <w:tcW w:w="3150" w:type="dxa"/>
            <w:vAlign w:val="center"/>
          </w:tcPr>
          <w:p w14:paraId="3BD63D68" w14:textId="6B09F775" w:rsidR="0063011B" w:rsidRPr="00AA235E" w:rsidRDefault="0063011B" w:rsidP="0063011B">
            <w:pPr>
              <w:autoSpaceDE w:val="0"/>
              <w:autoSpaceDN w:val="0"/>
              <w:adjustRightInd w:val="0"/>
              <w:spacing w:after="0" w:line="240" w:lineRule="auto"/>
              <w:rPr>
                <w:rFonts w:cstheme="minorHAnsi"/>
                <w:color w:val="C00000"/>
              </w:rPr>
            </w:pPr>
            <w:r w:rsidRPr="00AA235E">
              <w:rPr>
                <w:rFonts w:cstheme="minorHAnsi"/>
                <w:color w:val="C00000"/>
              </w:rPr>
              <w:t>Will immediately improve the Capital Base (although for sub debt limits will apply)</w:t>
            </w:r>
          </w:p>
        </w:tc>
        <w:tc>
          <w:tcPr>
            <w:tcW w:w="3510" w:type="dxa"/>
            <w:vAlign w:val="center"/>
          </w:tcPr>
          <w:p w14:paraId="24FEA36A" w14:textId="1DC32C2B" w:rsidR="0063011B" w:rsidRPr="00AA235E" w:rsidRDefault="0063011B" w:rsidP="0063011B">
            <w:pPr>
              <w:autoSpaceDE w:val="0"/>
              <w:autoSpaceDN w:val="0"/>
              <w:adjustRightInd w:val="0"/>
              <w:spacing w:after="0" w:line="240" w:lineRule="auto"/>
              <w:rPr>
                <w:rFonts w:cstheme="minorHAnsi"/>
                <w:color w:val="C00000"/>
              </w:rPr>
            </w:pPr>
            <w:r w:rsidRPr="00AA235E">
              <w:rPr>
                <w:rFonts w:cstheme="minorHAnsi"/>
                <w:color w:val="C00000"/>
              </w:rPr>
              <w:t>May not get the amount of funding intended or a higher price than expected</w:t>
            </w:r>
          </w:p>
        </w:tc>
      </w:tr>
      <w:tr w:rsidR="0063011B" w:rsidRPr="0063011B" w14:paraId="63D5848A" w14:textId="77777777" w:rsidTr="00905995">
        <w:trPr>
          <w:trHeight w:val="916"/>
        </w:trPr>
        <w:tc>
          <w:tcPr>
            <w:tcW w:w="2808" w:type="dxa"/>
            <w:vAlign w:val="center"/>
          </w:tcPr>
          <w:p w14:paraId="5FDC5E30" w14:textId="35965DC6" w:rsidR="0063011B" w:rsidRPr="00AA235E" w:rsidRDefault="0063011B" w:rsidP="0063011B">
            <w:pPr>
              <w:autoSpaceDE w:val="0"/>
              <w:autoSpaceDN w:val="0"/>
              <w:adjustRightInd w:val="0"/>
              <w:spacing w:after="0" w:line="240" w:lineRule="auto"/>
              <w:rPr>
                <w:rFonts w:cstheme="minorHAnsi"/>
                <w:color w:val="C00000"/>
              </w:rPr>
            </w:pPr>
            <w:r w:rsidRPr="00AA235E">
              <w:rPr>
                <w:rFonts w:cstheme="minorHAnsi"/>
                <w:color w:val="C00000"/>
              </w:rPr>
              <w:t>Reduce management expenses</w:t>
            </w:r>
          </w:p>
        </w:tc>
        <w:tc>
          <w:tcPr>
            <w:tcW w:w="3150" w:type="dxa"/>
            <w:vAlign w:val="center"/>
          </w:tcPr>
          <w:p w14:paraId="241632B4" w14:textId="43E67BC0" w:rsidR="0063011B" w:rsidRPr="00AA235E" w:rsidRDefault="0063011B" w:rsidP="0063011B">
            <w:pPr>
              <w:autoSpaceDE w:val="0"/>
              <w:autoSpaceDN w:val="0"/>
              <w:adjustRightInd w:val="0"/>
              <w:spacing w:after="0" w:line="240" w:lineRule="auto"/>
              <w:rPr>
                <w:rFonts w:cstheme="minorHAnsi"/>
                <w:color w:val="C00000"/>
              </w:rPr>
            </w:pPr>
            <w:r w:rsidRPr="00AA235E">
              <w:rPr>
                <w:rFonts w:cstheme="minorHAnsi"/>
                <w:color w:val="C00000"/>
              </w:rPr>
              <w:t>a reduction in the Capital Base</w:t>
            </w:r>
          </w:p>
        </w:tc>
        <w:tc>
          <w:tcPr>
            <w:tcW w:w="3510" w:type="dxa"/>
            <w:vAlign w:val="center"/>
          </w:tcPr>
          <w:p w14:paraId="0CC53D86" w14:textId="77777777" w:rsidR="0063011B" w:rsidRPr="00AA235E" w:rsidRDefault="0063011B" w:rsidP="0063011B">
            <w:pPr>
              <w:autoSpaceDE w:val="0"/>
              <w:autoSpaceDN w:val="0"/>
              <w:adjustRightInd w:val="0"/>
              <w:spacing w:after="0" w:line="240" w:lineRule="auto"/>
              <w:rPr>
                <w:rFonts w:cstheme="minorHAnsi"/>
                <w:color w:val="C00000"/>
              </w:rPr>
            </w:pPr>
            <w:r w:rsidRPr="00AA235E">
              <w:rPr>
                <w:rFonts w:cstheme="minorHAnsi"/>
                <w:color w:val="C00000"/>
              </w:rPr>
              <w:t>Hard to manage.</w:t>
            </w:r>
          </w:p>
          <w:p w14:paraId="02A3E003" w14:textId="05D5EF10" w:rsidR="0063011B" w:rsidRPr="0063011B" w:rsidRDefault="0063011B" w:rsidP="0063011B">
            <w:pPr>
              <w:autoSpaceDE w:val="0"/>
              <w:autoSpaceDN w:val="0"/>
              <w:adjustRightInd w:val="0"/>
              <w:spacing w:after="0" w:line="240" w:lineRule="auto"/>
              <w:rPr>
                <w:rFonts w:cstheme="minorHAnsi"/>
                <w:color w:val="000000"/>
              </w:rPr>
            </w:pPr>
            <w:r w:rsidRPr="0063011B">
              <w:rPr>
                <w:rFonts w:cstheme="minorHAnsi"/>
                <w:color w:val="000000"/>
              </w:rPr>
              <w:t>If reduction in management expenses is achieved by redundancies then these will be costly in the short term (due to redundancy packages), which will reduce excess assets.</w:t>
            </w:r>
          </w:p>
        </w:tc>
      </w:tr>
      <w:tr w:rsidR="0063011B" w:rsidRPr="0063011B" w14:paraId="43AA40B2" w14:textId="77777777" w:rsidTr="00905995">
        <w:trPr>
          <w:trHeight w:val="916"/>
        </w:trPr>
        <w:tc>
          <w:tcPr>
            <w:tcW w:w="2808" w:type="dxa"/>
          </w:tcPr>
          <w:p w14:paraId="32252518" w14:textId="6C6C1A22" w:rsidR="0063011B" w:rsidRPr="00AA235E" w:rsidRDefault="0063011B" w:rsidP="0063011B">
            <w:pPr>
              <w:autoSpaceDE w:val="0"/>
              <w:autoSpaceDN w:val="0"/>
              <w:adjustRightInd w:val="0"/>
              <w:spacing w:after="0" w:line="240" w:lineRule="auto"/>
              <w:rPr>
                <w:rFonts w:cstheme="minorHAnsi"/>
                <w:color w:val="C00000"/>
              </w:rPr>
            </w:pPr>
            <w:r w:rsidRPr="00AA235E">
              <w:rPr>
                <w:color w:val="C00000"/>
              </w:rPr>
              <w:t>Reduce commissions – move to level commission model – but risk of churning.</w:t>
            </w:r>
          </w:p>
        </w:tc>
        <w:tc>
          <w:tcPr>
            <w:tcW w:w="3150" w:type="dxa"/>
          </w:tcPr>
          <w:p w14:paraId="560CDE63" w14:textId="44B2A2C0" w:rsidR="0063011B" w:rsidRPr="00AA235E" w:rsidRDefault="0063011B" w:rsidP="0063011B">
            <w:pPr>
              <w:autoSpaceDE w:val="0"/>
              <w:autoSpaceDN w:val="0"/>
              <w:adjustRightInd w:val="0"/>
              <w:spacing w:after="0" w:line="240" w:lineRule="auto"/>
              <w:rPr>
                <w:rFonts w:cstheme="minorHAnsi"/>
                <w:color w:val="C00000"/>
              </w:rPr>
            </w:pPr>
            <w:r w:rsidRPr="00AA235E">
              <w:rPr>
                <w:color w:val="C00000"/>
              </w:rPr>
              <w:t>Reduces new business strain and hence less of a reduction in the Capital Base from selling new business</w:t>
            </w:r>
          </w:p>
        </w:tc>
        <w:tc>
          <w:tcPr>
            <w:tcW w:w="3510" w:type="dxa"/>
          </w:tcPr>
          <w:p w14:paraId="46BC5F8B" w14:textId="6FFEB10A" w:rsidR="0063011B" w:rsidRPr="00AA235E" w:rsidRDefault="0063011B" w:rsidP="0063011B">
            <w:pPr>
              <w:autoSpaceDE w:val="0"/>
              <w:autoSpaceDN w:val="0"/>
              <w:adjustRightInd w:val="0"/>
              <w:spacing w:after="0" w:line="240" w:lineRule="auto"/>
              <w:rPr>
                <w:rFonts w:cstheme="minorHAnsi"/>
                <w:color w:val="C00000"/>
              </w:rPr>
            </w:pPr>
            <w:r w:rsidRPr="00AA235E">
              <w:rPr>
                <w:color w:val="C00000"/>
              </w:rPr>
              <w:t>Reduction in sales (although that will help Capital position)</w:t>
            </w:r>
          </w:p>
        </w:tc>
      </w:tr>
      <w:tr w:rsidR="0063011B" w:rsidRPr="0063011B" w14:paraId="40638649" w14:textId="77777777" w:rsidTr="00905995">
        <w:trPr>
          <w:trHeight w:val="916"/>
        </w:trPr>
        <w:tc>
          <w:tcPr>
            <w:tcW w:w="2808" w:type="dxa"/>
            <w:vAlign w:val="center"/>
          </w:tcPr>
          <w:p w14:paraId="330B3160" w14:textId="568C7E0E" w:rsidR="0063011B" w:rsidRPr="0063011B" w:rsidRDefault="0063011B" w:rsidP="0063011B">
            <w:pPr>
              <w:spacing w:after="60"/>
            </w:pPr>
            <w:r w:rsidRPr="00AA235E">
              <w:rPr>
                <w:color w:val="C00000"/>
              </w:rPr>
              <w:t>Reduce claims by working with the claims management team via claims initiatives such as focusing on getting people back to work</w:t>
            </w:r>
          </w:p>
        </w:tc>
        <w:tc>
          <w:tcPr>
            <w:tcW w:w="3150" w:type="dxa"/>
            <w:vAlign w:val="center"/>
          </w:tcPr>
          <w:p w14:paraId="4F71F974" w14:textId="01947117" w:rsidR="0063011B" w:rsidRPr="00AA235E" w:rsidRDefault="00AA235E" w:rsidP="00AA235E">
            <w:pPr>
              <w:spacing w:after="60"/>
              <w:rPr>
                <w:color w:val="C00000"/>
              </w:rPr>
            </w:pPr>
            <w:r w:rsidRPr="00AA235E">
              <w:rPr>
                <w:color w:val="C00000"/>
              </w:rPr>
              <w:t xml:space="preserve">Will reduce claims costs and </w:t>
            </w:r>
            <w:r w:rsidR="0063011B" w:rsidRPr="00AA235E">
              <w:rPr>
                <w:color w:val="C00000"/>
              </w:rPr>
              <w:t xml:space="preserve">reduce </w:t>
            </w:r>
            <w:r w:rsidRPr="00AA235E">
              <w:rPr>
                <w:color w:val="C00000"/>
              </w:rPr>
              <w:t>DLR</w:t>
            </w:r>
            <w:r w:rsidR="0063011B" w:rsidRPr="00AA235E">
              <w:rPr>
                <w:color w:val="C00000"/>
              </w:rPr>
              <w:t xml:space="preserve"> hence increased capital base, and also lower PCR due to lower impact of stresses</w:t>
            </w:r>
          </w:p>
        </w:tc>
        <w:tc>
          <w:tcPr>
            <w:tcW w:w="3510" w:type="dxa"/>
            <w:vAlign w:val="center"/>
          </w:tcPr>
          <w:p w14:paraId="4FAB6A39" w14:textId="77777777" w:rsidR="0063011B" w:rsidRPr="00AA235E" w:rsidRDefault="0063011B" w:rsidP="0063011B">
            <w:pPr>
              <w:spacing w:after="60"/>
              <w:rPr>
                <w:color w:val="C00000"/>
              </w:rPr>
            </w:pPr>
            <w:r w:rsidRPr="00AA235E">
              <w:rPr>
                <w:color w:val="C00000"/>
              </w:rPr>
              <w:t>Should be doing this anyway due to profitability concerns.</w:t>
            </w:r>
          </w:p>
          <w:p w14:paraId="627BBF37" w14:textId="527DDFDC" w:rsidR="0063011B" w:rsidRPr="00AA235E" w:rsidRDefault="0063011B" w:rsidP="0063011B">
            <w:pPr>
              <w:spacing w:after="60"/>
              <w:rPr>
                <w:color w:val="C00000"/>
              </w:rPr>
            </w:pPr>
            <w:r w:rsidRPr="00AA235E">
              <w:rPr>
                <w:color w:val="C00000"/>
              </w:rPr>
              <w:t>May increase claims expenses as this will involve working with rehabilitation consultants or hiring more claims staff.</w:t>
            </w:r>
          </w:p>
        </w:tc>
      </w:tr>
      <w:tr w:rsidR="0063011B" w:rsidRPr="0063011B" w14:paraId="3FAAB812" w14:textId="77777777" w:rsidTr="00905995">
        <w:trPr>
          <w:trHeight w:val="916"/>
        </w:trPr>
        <w:tc>
          <w:tcPr>
            <w:tcW w:w="2808" w:type="dxa"/>
            <w:vAlign w:val="center"/>
          </w:tcPr>
          <w:p w14:paraId="2156C9AD" w14:textId="1A1D2675" w:rsidR="0063011B" w:rsidRPr="0063011B" w:rsidRDefault="0063011B" w:rsidP="0063011B">
            <w:pPr>
              <w:spacing w:after="60"/>
            </w:pPr>
            <w:r w:rsidRPr="00AA235E">
              <w:rPr>
                <w:color w:val="C00000"/>
              </w:rPr>
              <w:lastRenderedPageBreak/>
              <w:t>Diversify into different product lines such as lump sum business.</w:t>
            </w:r>
          </w:p>
        </w:tc>
        <w:tc>
          <w:tcPr>
            <w:tcW w:w="3150" w:type="dxa"/>
            <w:vAlign w:val="center"/>
          </w:tcPr>
          <w:p w14:paraId="615FDE46" w14:textId="77777777" w:rsidR="0063011B" w:rsidRDefault="0063011B" w:rsidP="0063011B">
            <w:pPr>
              <w:spacing w:after="60"/>
            </w:pPr>
            <w:r>
              <w:t>Diversification should improve capital position over time.</w:t>
            </w:r>
          </w:p>
          <w:p w14:paraId="1983BDFA" w14:textId="3EF98DAD" w:rsidR="0063011B" w:rsidRPr="0063011B" w:rsidRDefault="0063011B" w:rsidP="0063011B">
            <w:pPr>
              <w:spacing w:after="60"/>
            </w:pPr>
            <w:r w:rsidRPr="00AA235E">
              <w:rPr>
                <w:color w:val="C00000"/>
              </w:rPr>
              <w:t>Additional product lines will help to absorb overheads</w:t>
            </w:r>
          </w:p>
        </w:tc>
        <w:tc>
          <w:tcPr>
            <w:tcW w:w="3510" w:type="dxa"/>
            <w:vAlign w:val="center"/>
          </w:tcPr>
          <w:p w14:paraId="6E1BE846" w14:textId="5DA8C1BE" w:rsidR="0063011B" w:rsidRPr="00AA235E" w:rsidRDefault="0063011B" w:rsidP="0063011B">
            <w:pPr>
              <w:spacing w:after="60"/>
              <w:rPr>
                <w:color w:val="C00000"/>
              </w:rPr>
            </w:pPr>
            <w:r w:rsidRPr="00AA235E">
              <w:rPr>
                <w:color w:val="C00000"/>
              </w:rPr>
              <w:t>Increased sales on new product will lead to short term capital strains.</w:t>
            </w:r>
          </w:p>
        </w:tc>
      </w:tr>
    </w:tbl>
    <w:p w14:paraId="09278692" w14:textId="77777777" w:rsidR="001937FE" w:rsidRDefault="001937FE" w:rsidP="00F41E5F">
      <w:pPr>
        <w:spacing w:after="60"/>
      </w:pPr>
    </w:p>
    <w:p w14:paraId="4E2A044E" w14:textId="77777777" w:rsidR="00D474DB" w:rsidRPr="00C37F5E" w:rsidRDefault="00D474DB" w:rsidP="00F41E5F">
      <w:pPr>
        <w:spacing w:after="60"/>
      </w:pPr>
    </w:p>
    <w:p w14:paraId="4EE09F87" w14:textId="557D838D" w:rsidR="003D23D7" w:rsidRDefault="007401ED" w:rsidP="003D23D7">
      <w:pPr>
        <w:spacing w:after="60"/>
        <w:rPr>
          <w:color w:val="000000" w:themeColor="text1"/>
        </w:rPr>
      </w:pPr>
      <w:r w:rsidRPr="00125723">
        <w:rPr>
          <w:b/>
          <w:color w:val="000000" w:themeColor="text1"/>
        </w:rPr>
        <w:t>Q</w:t>
      </w:r>
      <w:r>
        <w:rPr>
          <w:b/>
          <w:color w:val="000000" w:themeColor="text1"/>
        </w:rPr>
        <w:t xml:space="preserve">3 </w:t>
      </w:r>
      <w:r>
        <w:rPr>
          <w:color w:val="000000" w:themeColor="text1"/>
        </w:rPr>
        <w:t xml:space="preserve">a) </w:t>
      </w:r>
      <w:r w:rsidR="008D1D2F" w:rsidRPr="008D1D2F">
        <w:rPr>
          <w:color w:val="000000" w:themeColor="text1"/>
          <w:shd w:val="pct15" w:color="auto" w:fill="FFFFFF"/>
        </w:rPr>
        <w:t>[Australia specific]</w:t>
      </w:r>
    </w:p>
    <w:p w14:paraId="6B34EB26" w14:textId="4432A78A" w:rsidR="003D23D7" w:rsidRPr="003D23D7" w:rsidRDefault="003D23D7" w:rsidP="003D23D7">
      <w:pPr>
        <w:spacing w:after="60"/>
        <w:rPr>
          <w:color w:val="000000" w:themeColor="text1"/>
        </w:rPr>
      </w:pPr>
      <w:r w:rsidRPr="003D23D7">
        <w:rPr>
          <w:color w:val="000000" w:themeColor="text1"/>
        </w:rPr>
        <w:t xml:space="preserve">Policy Liability rolled forward = 283,664k + 983k = $284,647k (1) </w:t>
      </w:r>
    </w:p>
    <w:p w14:paraId="682E1008" w14:textId="77777777" w:rsidR="003D23D7" w:rsidRPr="003D23D7" w:rsidRDefault="003D23D7" w:rsidP="003D23D7">
      <w:pPr>
        <w:spacing w:after="60"/>
        <w:rPr>
          <w:color w:val="000000" w:themeColor="text1"/>
        </w:rPr>
      </w:pPr>
      <w:r w:rsidRPr="003D23D7">
        <w:rPr>
          <w:color w:val="000000" w:themeColor="text1"/>
        </w:rPr>
        <w:t>Net cash flows = 12,499k – 8,744k – 30,779k - 3,037k + 6,336k = -$23,725k (2)</w:t>
      </w:r>
    </w:p>
    <w:p w14:paraId="4A29ED3B" w14:textId="77777777" w:rsidR="003D23D7" w:rsidRPr="003D23D7" w:rsidRDefault="003D23D7" w:rsidP="003D23D7">
      <w:pPr>
        <w:spacing w:after="60"/>
        <w:rPr>
          <w:color w:val="000000" w:themeColor="text1"/>
        </w:rPr>
      </w:pPr>
      <w:r w:rsidRPr="003D23D7">
        <w:rPr>
          <w:color w:val="000000" w:themeColor="text1"/>
        </w:rPr>
        <w:t>Non-Investment Experience Profit/Loss = -1,534k + 642k – 391k = -$1,283k (3)</w:t>
      </w:r>
    </w:p>
    <w:p w14:paraId="457EC09B" w14:textId="78FB37DF" w:rsidR="003D23D7" w:rsidRPr="003D23D7" w:rsidRDefault="003D23D7" w:rsidP="003D23D7">
      <w:pPr>
        <w:spacing w:after="60"/>
        <w:rPr>
          <w:color w:val="000000" w:themeColor="text1"/>
        </w:rPr>
      </w:pPr>
      <w:r w:rsidRPr="003D23D7">
        <w:rPr>
          <w:color w:val="000000" w:themeColor="text1"/>
        </w:rPr>
        <w:t>VSA = (</w:t>
      </w:r>
      <w:r>
        <w:rPr>
          <w:color w:val="000000" w:themeColor="text1"/>
        </w:rPr>
        <w:t xml:space="preserve">1) + (2) - (3) = $262,205k (4) </w:t>
      </w:r>
    </w:p>
    <w:p w14:paraId="55DF139B" w14:textId="77777777" w:rsidR="003D23D7" w:rsidRPr="003D23D7" w:rsidRDefault="003D23D7" w:rsidP="003D23D7">
      <w:pPr>
        <w:spacing w:after="60"/>
        <w:rPr>
          <w:color w:val="000000" w:themeColor="text1"/>
          <w:sz w:val="8"/>
        </w:rPr>
      </w:pPr>
    </w:p>
    <w:p w14:paraId="2AAFE1C9" w14:textId="77777777" w:rsidR="003D23D7" w:rsidRPr="003D23D7" w:rsidRDefault="003D23D7" w:rsidP="003D23D7">
      <w:pPr>
        <w:spacing w:after="60"/>
        <w:rPr>
          <w:color w:val="000000" w:themeColor="text1"/>
        </w:rPr>
      </w:pPr>
      <w:r w:rsidRPr="003D23D7">
        <w:rPr>
          <w:color w:val="000000" w:themeColor="text1"/>
        </w:rPr>
        <w:t>BEL = 361,602k + 30,248k – 137,491k = $254,359k (5)</w:t>
      </w:r>
    </w:p>
    <w:p w14:paraId="651C1AAD" w14:textId="77777777" w:rsidR="003D23D7" w:rsidRDefault="003D23D7" w:rsidP="003D23D7">
      <w:pPr>
        <w:spacing w:after="60"/>
        <w:rPr>
          <w:color w:val="000000" w:themeColor="text1"/>
        </w:rPr>
      </w:pPr>
      <w:r w:rsidRPr="003D23D7">
        <w:rPr>
          <w:color w:val="000000" w:themeColor="text1"/>
        </w:rPr>
        <w:t>Cost of Current Year &amp; Future Year Bonuses + Current Year &amp; Future Year Shareholder Pr</w:t>
      </w:r>
      <w:r>
        <w:rPr>
          <w:color w:val="000000" w:themeColor="text1"/>
        </w:rPr>
        <w:t xml:space="preserve">ofit </w:t>
      </w:r>
    </w:p>
    <w:p w14:paraId="3875AFF1" w14:textId="02384188" w:rsidR="003D23D7" w:rsidRDefault="003D23D7" w:rsidP="003D23D7">
      <w:pPr>
        <w:spacing w:after="60"/>
        <w:rPr>
          <w:color w:val="000000" w:themeColor="text1"/>
        </w:rPr>
      </w:pPr>
      <w:r>
        <w:rPr>
          <w:color w:val="000000" w:themeColor="text1"/>
        </w:rPr>
        <w:t xml:space="preserve">= (4) – (5) = $7,846k (6) </w:t>
      </w:r>
    </w:p>
    <w:p w14:paraId="76271F0C" w14:textId="77777777" w:rsidR="003D23D7" w:rsidRPr="003D23D7" w:rsidRDefault="003D23D7" w:rsidP="003D23D7">
      <w:pPr>
        <w:spacing w:after="60"/>
        <w:rPr>
          <w:color w:val="000000" w:themeColor="text1"/>
          <w:sz w:val="8"/>
        </w:rPr>
      </w:pPr>
    </w:p>
    <w:p w14:paraId="15EB74D0" w14:textId="77777777" w:rsidR="003D23D7" w:rsidRPr="003D23D7" w:rsidRDefault="003D23D7" w:rsidP="003D23D7">
      <w:pPr>
        <w:spacing w:after="60"/>
        <w:rPr>
          <w:i/>
          <w:color w:val="000000" w:themeColor="text1"/>
        </w:rPr>
      </w:pPr>
      <w:r w:rsidRPr="003D23D7">
        <w:rPr>
          <w:i/>
          <w:color w:val="000000" w:themeColor="text1"/>
        </w:rPr>
        <w:t>Approximate the split of current year and future year bonus/profit</w:t>
      </w:r>
    </w:p>
    <w:p w14:paraId="04ED1540" w14:textId="77777777" w:rsidR="003D23D7" w:rsidRPr="003D23D7" w:rsidRDefault="003D23D7" w:rsidP="003D23D7">
      <w:pPr>
        <w:spacing w:after="60"/>
        <w:rPr>
          <w:color w:val="000000" w:themeColor="text1"/>
        </w:rPr>
      </w:pPr>
      <w:r w:rsidRPr="003D23D7">
        <w:rPr>
          <w:color w:val="000000" w:themeColor="text1"/>
        </w:rPr>
        <w:t>Current year bonus/profit = 869 / (869 + 6,952) * 7,846 = $872k</w:t>
      </w:r>
    </w:p>
    <w:p w14:paraId="1654E8E2" w14:textId="74E451E8" w:rsidR="003D23D7" w:rsidRDefault="003D23D7" w:rsidP="003D23D7">
      <w:pPr>
        <w:spacing w:after="60"/>
        <w:rPr>
          <w:color w:val="000000" w:themeColor="text1"/>
        </w:rPr>
      </w:pPr>
      <w:r w:rsidRPr="003D23D7">
        <w:rPr>
          <w:color w:val="000000" w:themeColor="text1"/>
        </w:rPr>
        <w:t>Future year bonus/profit = 6,952 / (869 + 6,952) * 7,84</w:t>
      </w:r>
      <w:r>
        <w:rPr>
          <w:color w:val="000000" w:themeColor="text1"/>
        </w:rPr>
        <w:t>6 = $6,974k</w:t>
      </w:r>
    </w:p>
    <w:p w14:paraId="0A3D8357" w14:textId="77777777" w:rsidR="003D23D7" w:rsidRPr="003D23D7" w:rsidRDefault="003D23D7" w:rsidP="003D23D7">
      <w:pPr>
        <w:spacing w:after="60"/>
        <w:rPr>
          <w:color w:val="000000" w:themeColor="text1"/>
          <w:sz w:val="8"/>
        </w:rPr>
      </w:pPr>
    </w:p>
    <w:p w14:paraId="5276D528" w14:textId="77777777" w:rsidR="003D23D7" w:rsidRPr="003D23D7" w:rsidRDefault="003D23D7" w:rsidP="003D23D7">
      <w:pPr>
        <w:spacing w:after="60"/>
        <w:rPr>
          <w:color w:val="000000" w:themeColor="text1"/>
        </w:rPr>
      </w:pPr>
      <w:r w:rsidRPr="003D23D7">
        <w:rPr>
          <w:color w:val="000000" w:themeColor="text1"/>
        </w:rPr>
        <w:t>Current Year Bonus = 80% x 872k = $697k (7)</w:t>
      </w:r>
    </w:p>
    <w:p w14:paraId="33DC3C12" w14:textId="77777777" w:rsidR="003D23D7" w:rsidRPr="003D23D7" w:rsidRDefault="003D23D7" w:rsidP="003D23D7">
      <w:pPr>
        <w:spacing w:after="60"/>
        <w:rPr>
          <w:color w:val="000000" w:themeColor="text1"/>
        </w:rPr>
      </w:pPr>
      <w:r w:rsidRPr="003D23D7">
        <w:rPr>
          <w:color w:val="000000" w:themeColor="text1"/>
        </w:rPr>
        <w:t>Current Year Shareholder Profit Release = 20% x 872k = $174k (8)</w:t>
      </w:r>
    </w:p>
    <w:p w14:paraId="4C3AEB46" w14:textId="22F93E88" w:rsidR="0007699A" w:rsidRDefault="003D23D7" w:rsidP="003D23D7">
      <w:pPr>
        <w:spacing w:after="60"/>
        <w:rPr>
          <w:color w:val="000000" w:themeColor="text1"/>
        </w:rPr>
      </w:pPr>
      <w:r w:rsidRPr="003D23D7">
        <w:rPr>
          <w:color w:val="000000" w:themeColor="text1"/>
        </w:rPr>
        <w:t>Policy Liability at 31/12/2014 = (4) – (7) – (8) = $261,333k</w:t>
      </w:r>
    </w:p>
    <w:p w14:paraId="4B2C99DB" w14:textId="77777777" w:rsidR="008D1D2F" w:rsidRDefault="008D1D2F" w:rsidP="003D23D7">
      <w:pPr>
        <w:spacing w:after="60"/>
        <w:rPr>
          <w:color w:val="000000" w:themeColor="text1"/>
        </w:rPr>
      </w:pPr>
    </w:p>
    <w:p w14:paraId="0917340A" w14:textId="42DDEB2E" w:rsidR="008D1D2F" w:rsidRDefault="008D1D2F" w:rsidP="003D23D7">
      <w:pPr>
        <w:spacing w:after="60"/>
        <w:rPr>
          <w:color w:val="000000" w:themeColor="text1"/>
        </w:rPr>
      </w:pPr>
      <w:r>
        <w:rPr>
          <w:color w:val="000000" w:themeColor="text1"/>
        </w:rPr>
        <w:t xml:space="preserve">b) </w:t>
      </w:r>
      <w:r w:rsidR="00127CD0">
        <w:rPr>
          <w:color w:val="000000" w:themeColor="text1"/>
        </w:rPr>
        <w:t>Issues:</w:t>
      </w:r>
    </w:p>
    <w:p w14:paraId="7D367A94" w14:textId="77777777" w:rsidR="00D05271" w:rsidRPr="00D05271" w:rsidRDefault="00127CD0" w:rsidP="00B3196A">
      <w:pPr>
        <w:pStyle w:val="ListParagraph"/>
        <w:numPr>
          <w:ilvl w:val="0"/>
          <w:numId w:val="18"/>
        </w:numPr>
        <w:spacing w:after="0"/>
        <w:rPr>
          <w:color w:val="000000" w:themeColor="text1"/>
        </w:rPr>
      </w:pPr>
      <w:r w:rsidRPr="00D05271">
        <w:rPr>
          <w:color w:val="000000" w:themeColor="text1"/>
        </w:rPr>
        <w:t>lower NB</w:t>
      </w:r>
      <w:r w:rsidR="0085510C" w:rsidRPr="00D05271">
        <w:rPr>
          <w:color w:val="000000" w:themeColor="text1"/>
        </w:rPr>
        <w:t xml:space="preserve"> as bad reputation</w:t>
      </w:r>
    </w:p>
    <w:p w14:paraId="4E99E3C2" w14:textId="2E09800B" w:rsidR="00D05271" w:rsidRPr="00D05271" w:rsidRDefault="00D05271" w:rsidP="00B3196A">
      <w:pPr>
        <w:pStyle w:val="ListParagraph"/>
        <w:numPr>
          <w:ilvl w:val="0"/>
          <w:numId w:val="18"/>
        </w:numPr>
        <w:spacing w:after="0"/>
        <w:rPr>
          <w:color w:val="000000" w:themeColor="text1"/>
        </w:rPr>
      </w:pPr>
      <w:r w:rsidRPr="00D05271">
        <w:rPr>
          <w:color w:val="000000" w:themeColor="text1"/>
        </w:rPr>
        <w:t>lower dividend to shareholders</w:t>
      </w:r>
    </w:p>
    <w:p w14:paraId="3F12887C" w14:textId="77777777" w:rsidR="00D05271" w:rsidRPr="00D05271" w:rsidRDefault="00127CD0" w:rsidP="00B3196A">
      <w:pPr>
        <w:pStyle w:val="ListParagraph"/>
        <w:numPr>
          <w:ilvl w:val="0"/>
          <w:numId w:val="18"/>
        </w:numPr>
        <w:spacing w:after="0"/>
        <w:rPr>
          <w:color w:val="000000" w:themeColor="text1"/>
        </w:rPr>
      </w:pPr>
      <w:r w:rsidRPr="00D05271">
        <w:rPr>
          <w:color w:val="000000" w:themeColor="text1"/>
        </w:rPr>
        <w:t>lower bonus to policyholders</w:t>
      </w:r>
      <w:r w:rsidR="00E90FDB" w:rsidRPr="00D05271">
        <w:rPr>
          <w:color w:val="000000" w:themeColor="text1"/>
        </w:rPr>
        <w:t xml:space="preserve"> (</w:t>
      </w:r>
      <w:r w:rsidR="00E90FDB" w:rsidRPr="00D05271">
        <w:rPr>
          <w:color w:val="C00000"/>
        </w:rPr>
        <w:t xml:space="preserve">redistribute </w:t>
      </w:r>
      <w:r w:rsidR="00E90FDB" w:rsidRPr="00D05271">
        <w:rPr>
          <w:color w:val="C00000"/>
        </w:rPr>
        <w:t>with allowance for interest income</w:t>
      </w:r>
      <w:r w:rsidR="00E90FDB" w:rsidRPr="00D05271">
        <w:rPr>
          <w:color w:val="000000" w:themeColor="text1"/>
        </w:rPr>
        <w:t>)</w:t>
      </w:r>
      <w:r w:rsidR="00D05271" w:rsidRPr="00D05271">
        <w:rPr>
          <w:color w:val="000000" w:themeColor="text1"/>
        </w:rPr>
        <w:t xml:space="preserve"> </w:t>
      </w:r>
    </w:p>
    <w:p w14:paraId="4473F465" w14:textId="77777777" w:rsidR="00D05271" w:rsidRPr="00D05271" w:rsidRDefault="00D05271" w:rsidP="00B3196A">
      <w:pPr>
        <w:pStyle w:val="ListParagraph"/>
        <w:numPr>
          <w:ilvl w:val="0"/>
          <w:numId w:val="18"/>
        </w:numPr>
        <w:spacing w:after="0"/>
        <w:rPr>
          <w:color w:val="000000" w:themeColor="text1"/>
        </w:rPr>
      </w:pPr>
      <w:r w:rsidRPr="00D05271">
        <w:rPr>
          <w:color w:val="000000" w:themeColor="text1"/>
        </w:rPr>
        <w:t xml:space="preserve">higher lapse rate / </w:t>
      </w:r>
      <w:r w:rsidR="00127CD0" w:rsidRPr="00D05271">
        <w:rPr>
          <w:color w:val="000000" w:themeColor="text1"/>
        </w:rPr>
        <w:t xml:space="preserve">potential loss </w:t>
      </w:r>
      <w:r w:rsidR="00127CD0" w:rsidRPr="00D05271">
        <w:rPr>
          <w:strike/>
          <w:color w:val="000000" w:themeColor="text1"/>
        </w:rPr>
        <w:t>as bonus is reversionary and cannot be reversed.</w:t>
      </w:r>
      <w:r w:rsidR="00D94600" w:rsidRPr="00D05271">
        <w:rPr>
          <w:color w:val="C00000"/>
        </w:rPr>
        <w:t xml:space="preserve"> Loss only for non-Par</w:t>
      </w:r>
      <w:r w:rsidRPr="00D05271">
        <w:rPr>
          <w:color w:val="000000" w:themeColor="text1"/>
        </w:rPr>
        <w:t xml:space="preserve"> </w:t>
      </w:r>
    </w:p>
    <w:p w14:paraId="1C0549B7" w14:textId="77777777" w:rsidR="00D05271" w:rsidRPr="00D05271" w:rsidRDefault="00127CD0" w:rsidP="00B3196A">
      <w:pPr>
        <w:pStyle w:val="ListParagraph"/>
        <w:numPr>
          <w:ilvl w:val="0"/>
          <w:numId w:val="18"/>
        </w:numPr>
        <w:spacing w:after="0"/>
        <w:rPr>
          <w:color w:val="000000" w:themeColor="text1"/>
        </w:rPr>
      </w:pPr>
      <w:r w:rsidRPr="00D05271">
        <w:rPr>
          <w:color w:val="000000" w:themeColor="text1"/>
        </w:rPr>
        <w:t>Litigated issue for previous lower bonus</w:t>
      </w:r>
      <w:r w:rsidR="00D05271" w:rsidRPr="00D05271">
        <w:rPr>
          <w:color w:val="000000" w:themeColor="text1"/>
        </w:rPr>
        <w:t xml:space="preserve"> </w:t>
      </w:r>
    </w:p>
    <w:p w14:paraId="1F433522" w14:textId="11E9B538" w:rsidR="00D05271" w:rsidRPr="00D05271" w:rsidRDefault="006170A0" w:rsidP="00B3196A">
      <w:pPr>
        <w:pStyle w:val="ListParagraph"/>
        <w:numPr>
          <w:ilvl w:val="0"/>
          <w:numId w:val="18"/>
        </w:numPr>
        <w:spacing w:after="0"/>
        <w:rPr>
          <w:color w:val="000000" w:themeColor="text1"/>
        </w:rPr>
      </w:pPr>
      <w:r w:rsidRPr="00D05271">
        <w:rPr>
          <w:color w:val="C00000"/>
        </w:rPr>
        <w:t>Revaluation of Policy Liabilities, both Par and non-Par</w:t>
      </w:r>
      <w:r w:rsidR="00D05271" w:rsidRPr="00D05271">
        <w:rPr>
          <w:color w:val="000000" w:themeColor="text1"/>
        </w:rPr>
        <w:t xml:space="preserve"> </w:t>
      </w:r>
    </w:p>
    <w:p w14:paraId="0E44E1AD" w14:textId="705A2806" w:rsidR="00D05271" w:rsidRPr="00D05271" w:rsidRDefault="002E71A5" w:rsidP="00B3196A">
      <w:pPr>
        <w:pStyle w:val="ListParagraph"/>
        <w:numPr>
          <w:ilvl w:val="0"/>
          <w:numId w:val="18"/>
        </w:numPr>
        <w:spacing w:after="0"/>
        <w:rPr>
          <w:color w:val="000000" w:themeColor="text1"/>
        </w:rPr>
      </w:pPr>
      <w:r w:rsidRPr="00D05271">
        <w:rPr>
          <w:color w:val="C00000"/>
        </w:rPr>
        <w:t>Restatements in Financial Statements and other Statutory Reports</w:t>
      </w:r>
      <w:r w:rsidR="00D05271" w:rsidRPr="00D05271">
        <w:rPr>
          <w:color w:val="000000" w:themeColor="text1"/>
        </w:rPr>
        <w:t xml:space="preserve"> </w:t>
      </w:r>
    </w:p>
    <w:p w14:paraId="1BBAF274" w14:textId="77777777" w:rsidR="00D05271" w:rsidRPr="00D05271" w:rsidRDefault="0085510C" w:rsidP="00B3196A">
      <w:pPr>
        <w:pStyle w:val="ListParagraph"/>
        <w:numPr>
          <w:ilvl w:val="0"/>
          <w:numId w:val="18"/>
        </w:numPr>
        <w:spacing w:after="0"/>
        <w:rPr>
          <w:color w:val="C00000"/>
        </w:rPr>
      </w:pPr>
      <w:r w:rsidRPr="00D05271">
        <w:rPr>
          <w:color w:val="C00000"/>
        </w:rPr>
        <w:t>Risk Management and Controls</w:t>
      </w:r>
      <w:r w:rsidR="00D05271" w:rsidRPr="00D05271">
        <w:rPr>
          <w:color w:val="C00000"/>
        </w:rPr>
        <w:t xml:space="preserve"> </w:t>
      </w:r>
    </w:p>
    <w:p w14:paraId="24270301" w14:textId="77777777" w:rsidR="00D05271" w:rsidRPr="00D05271" w:rsidRDefault="00D05271" w:rsidP="00B3196A">
      <w:pPr>
        <w:pStyle w:val="ListParagraph"/>
        <w:numPr>
          <w:ilvl w:val="0"/>
          <w:numId w:val="18"/>
        </w:numPr>
        <w:spacing w:after="0"/>
        <w:rPr>
          <w:color w:val="C00000"/>
        </w:rPr>
      </w:pPr>
      <w:r w:rsidRPr="00D05271">
        <w:rPr>
          <w:color w:val="C00000"/>
        </w:rPr>
        <w:t xml:space="preserve">Capital </w:t>
      </w:r>
    </w:p>
    <w:p w14:paraId="748D11E0" w14:textId="07AB0599" w:rsidR="002E71A5" w:rsidRPr="00D05271" w:rsidRDefault="00D05271" w:rsidP="00B3196A">
      <w:pPr>
        <w:pStyle w:val="ListParagraph"/>
        <w:numPr>
          <w:ilvl w:val="0"/>
          <w:numId w:val="18"/>
        </w:numPr>
        <w:spacing w:after="0"/>
        <w:rPr>
          <w:color w:val="000000" w:themeColor="text1"/>
        </w:rPr>
      </w:pPr>
      <w:r w:rsidRPr="00D05271">
        <w:rPr>
          <w:color w:val="C00000"/>
        </w:rPr>
        <w:t>Reinsurance</w:t>
      </w:r>
    </w:p>
    <w:p w14:paraId="4F12761C" w14:textId="77777777" w:rsidR="0085510C" w:rsidRPr="0085510C" w:rsidRDefault="0085510C" w:rsidP="003D23D7">
      <w:pPr>
        <w:spacing w:after="60"/>
        <w:rPr>
          <w:color w:val="C00000"/>
        </w:rPr>
      </w:pPr>
      <w:bookmarkStart w:id="0" w:name="_GoBack"/>
      <w:bookmarkEnd w:id="0"/>
    </w:p>
    <w:p w14:paraId="66C2B54A" w14:textId="77777777" w:rsidR="00127CD0" w:rsidRPr="00127CD0" w:rsidRDefault="00127CD0" w:rsidP="00127CD0">
      <w:pPr>
        <w:spacing w:after="0"/>
        <w:rPr>
          <w:b/>
          <w:color w:val="000000" w:themeColor="text1"/>
        </w:rPr>
      </w:pPr>
      <w:r w:rsidRPr="00127CD0">
        <w:rPr>
          <w:b/>
          <w:color w:val="000000" w:themeColor="text1"/>
        </w:rPr>
        <w:t>Parloss’ Claims Data Error – Implications and Recommendations</w:t>
      </w:r>
    </w:p>
    <w:p w14:paraId="56B1CB59" w14:textId="77777777" w:rsidR="00127CD0" w:rsidRDefault="00127CD0" w:rsidP="00127CD0">
      <w:pPr>
        <w:spacing w:after="0"/>
        <w:rPr>
          <w:color w:val="000000" w:themeColor="text1"/>
        </w:rPr>
      </w:pPr>
      <w:r w:rsidRPr="00127CD0">
        <w:rPr>
          <w:color w:val="000000" w:themeColor="text1"/>
        </w:rPr>
        <w:lastRenderedPageBreak/>
        <w:t>From: Appointed Actuary, Parloss</w:t>
      </w:r>
    </w:p>
    <w:p w14:paraId="22FAC2E7" w14:textId="77777777" w:rsidR="00127CD0" w:rsidRPr="00127CD0" w:rsidRDefault="00127CD0" w:rsidP="00127CD0">
      <w:pPr>
        <w:spacing w:after="0"/>
        <w:rPr>
          <w:color w:val="000000" w:themeColor="text1"/>
        </w:rPr>
      </w:pPr>
    </w:p>
    <w:p w14:paraId="7DD2EBA5" w14:textId="77777777" w:rsidR="00127CD0" w:rsidRPr="00127CD0" w:rsidRDefault="00127CD0" w:rsidP="00127CD0">
      <w:pPr>
        <w:spacing w:after="0"/>
        <w:rPr>
          <w:b/>
          <w:color w:val="000000" w:themeColor="text1"/>
        </w:rPr>
      </w:pPr>
      <w:r w:rsidRPr="00127CD0">
        <w:rPr>
          <w:b/>
          <w:color w:val="000000" w:themeColor="text1"/>
        </w:rPr>
        <w:t>Background</w:t>
      </w:r>
    </w:p>
    <w:p w14:paraId="1FA722BD" w14:textId="5C065E78" w:rsidR="00127CD0" w:rsidRPr="00127CD0" w:rsidRDefault="00127CD0" w:rsidP="00127CD0">
      <w:pPr>
        <w:spacing w:after="0"/>
        <w:rPr>
          <w:color w:val="000000" w:themeColor="text1"/>
        </w:rPr>
      </w:pPr>
      <w:r w:rsidRPr="00127CD0">
        <w:rPr>
          <w:color w:val="000000" w:themeColor="text1"/>
        </w:rPr>
        <w:t>Parloss have recently identified an error in its claims data, where claims arising from a particular non-participating product have been misclassified as belongi</w:t>
      </w:r>
      <w:r>
        <w:rPr>
          <w:color w:val="000000" w:themeColor="text1"/>
        </w:rPr>
        <w:t xml:space="preserve">ng to the participating product </w:t>
      </w:r>
      <w:r w:rsidRPr="00127CD0">
        <w:rPr>
          <w:color w:val="000000" w:themeColor="text1"/>
        </w:rPr>
        <w:t>group. This has resulted in some of the claims costs arising from the non-participating portfolio since the year 2011 being allocated to the participating portfolio instead in the administration system and the general ledger.</w:t>
      </w:r>
    </w:p>
    <w:p w14:paraId="57A2E650" w14:textId="77777777" w:rsidR="00127CD0" w:rsidRPr="00127CD0" w:rsidRDefault="00127CD0" w:rsidP="00127CD0">
      <w:pPr>
        <w:spacing w:after="0"/>
        <w:rPr>
          <w:color w:val="000000" w:themeColor="text1"/>
        </w:rPr>
      </w:pPr>
      <w:r w:rsidRPr="00127CD0">
        <w:rPr>
          <w:color w:val="000000" w:themeColor="text1"/>
        </w:rPr>
        <w:t>This error has multiple ramifications, particularly due to its relatively high degree of materiality.</w:t>
      </w:r>
    </w:p>
    <w:p w14:paraId="4B49ACE1" w14:textId="1F6A7BC2" w:rsidR="00127CD0" w:rsidRDefault="00127CD0" w:rsidP="00127CD0">
      <w:pPr>
        <w:spacing w:after="0"/>
        <w:rPr>
          <w:color w:val="000000" w:themeColor="text1"/>
        </w:rPr>
      </w:pPr>
      <w:r w:rsidRPr="00127CD0">
        <w:rPr>
          <w:color w:val="000000" w:themeColor="text1"/>
        </w:rPr>
        <w:t>This paper sets out the issues that would arise from this error, options for handling the issues and my recommendations.</w:t>
      </w:r>
    </w:p>
    <w:p w14:paraId="1FA23F82" w14:textId="77777777" w:rsidR="00127CD0" w:rsidRDefault="00127CD0" w:rsidP="00127CD0">
      <w:pPr>
        <w:spacing w:after="0"/>
        <w:rPr>
          <w:color w:val="000000" w:themeColor="text1"/>
        </w:rPr>
      </w:pPr>
    </w:p>
    <w:p w14:paraId="462263F7" w14:textId="77777777" w:rsidR="00127CD0" w:rsidRPr="00127CD0" w:rsidRDefault="00127CD0" w:rsidP="00127CD0">
      <w:pPr>
        <w:spacing w:after="0"/>
        <w:rPr>
          <w:b/>
          <w:color w:val="000000" w:themeColor="text1"/>
        </w:rPr>
      </w:pPr>
      <w:r w:rsidRPr="00127CD0">
        <w:rPr>
          <w:b/>
          <w:color w:val="000000" w:themeColor="text1"/>
        </w:rPr>
        <w:t>Revaluation of Policy Liabilities</w:t>
      </w:r>
    </w:p>
    <w:p w14:paraId="3061CEE0" w14:textId="33D3B22D" w:rsidR="00127CD0" w:rsidRPr="006170A0" w:rsidRDefault="00127CD0" w:rsidP="00B3196A">
      <w:pPr>
        <w:pStyle w:val="ListParagraph"/>
        <w:numPr>
          <w:ilvl w:val="0"/>
          <w:numId w:val="5"/>
        </w:numPr>
        <w:spacing w:after="0"/>
        <w:rPr>
          <w:color w:val="000000" w:themeColor="text1"/>
        </w:rPr>
      </w:pPr>
      <w:r w:rsidRPr="006170A0">
        <w:rPr>
          <w:color w:val="000000" w:themeColor="text1"/>
        </w:rPr>
        <w:t xml:space="preserve">The claims data error would affect policy liability results since 2011 for both the participating and non-participating portfolios. The participating policy liability would be directly impacted by the assumptions (in line with more favourable mortality experience) but will also be impacted indirectly by the changes to historical cashflows (due to second order impact on investment returns and also potentially due to different number of policies inforce). The non-participating liability would be impacted by the changes to mortality assumptions (in line with the less favourable mortality experience). </w:t>
      </w:r>
    </w:p>
    <w:p w14:paraId="334A408A" w14:textId="04B5F1E6" w:rsidR="00127CD0" w:rsidRPr="006170A0" w:rsidRDefault="00127CD0" w:rsidP="00B3196A">
      <w:pPr>
        <w:pStyle w:val="ListParagraph"/>
        <w:numPr>
          <w:ilvl w:val="0"/>
          <w:numId w:val="5"/>
        </w:numPr>
        <w:spacing w:after="0"/>
        <w:rPr>
          <w:color w:val="000000" w:themeColor="text1"/>
        </w:rPr>
      </w:pPr>
      <w:r w:rsidRPr="006170A0">
        <w:rPr>
          <w:color w:val="000000" w:themeColor="text1"/>
        </w:rPr>
        <w:t xml:space="preserve">If the non-participating portfolio did not fall into loss recognition as a result of the strengthened mortality assumption, then while policy liability would not change, its best estimate liability and present </w:t>
      </w:r>
      <w:r w:rsidR="006170A0">
        <w:rPr>
          <w:color w:val="000000" w:themeColor="text1"/>
        </w:rPr>
        <w:t>value of profit margins would.</w:t>
      </w:r>
    </w:p>
    <w:p w14:paraId="429ACDD1" w14:textId="2D5144DD" w:rsidR="00127CD0" w:rsidRPr="006170A0" w:rsidRDefault="00127CD0" w:rsidP="00B3196A">
      <w:pPr>
        <w:pStyle w:val="ListParagraph"/>
        <w:numPr>
          <w:ilvl w:val="0"/>
          <w:numId w:val="5"/>
        </w:numPr>
        <w:spacing w:after="0"/>
        <w:rPr>
          <w:color w:val="000000" w:themeColor="text1"/>
        </w:rPr>
      </w:pPr>
      <w:r w:rsidRPr="006170A0">
        <w:rPr>
          <w:color w:val="000000" w:themeColor="text1"/>
        </w:rPr>
        <w:t xml:space="preserve">The extent of the revaluation would depend on the varying degree of the impact to the policy liabilities across the years. For example, the error would more materially impact the participating policy liability position in 2014 than in 2011. It is acknowledged that the undertaking of historical revaluation of policy liabilities for both the participating and non-participating portfolios would require a significant amount of time and resources. </w:t>
      </w:r>
    </w:p>
    <w:p w14:paraId="47D6A30B" w14:textId="77777777" w:rsidR="00127CD0" w:rsidRPr="002E71A5" w:rsidRDefault="00127CD0" w:rsidP="00127CD0">
      <w:pPr>
        <w:spacing w:after="0"/>
        <w:rPr>
          <w:i/>
          <w:color w:val="000000" w:themeColor="text1"/>
        </w:rPr>
      </w:pPr>
      <w:r w:rsidRPr="002E71A5">
        <w:rPr>
          <w:i/>
          <w:color w:val="000000" w:themeColor="text1"/>
        </w:rPr>
        <w:t>Recommendation:</w:t>
      </w:r>
    </w:p>
    <w:p w14:paraId="1039A7DA" w14:textId="77777777" w:rsidR="00127CD0" w:rsidRPr="006170A0" w:rsidRDefault="00127CD0" w:rsidP="00B3196A">
      <w:pPr>
        <w:pStyle w:val="ListParagraph"/>
        <w:numPr>
          <w:ilvl w:val="0"/>
          <w:numId w:val="6"/>
        </w:numPr>
        <w:spacing w:after="0"/>
        <w:rPr>
          <w:color w:val="000000" w:themeColor="text1"/>
        </w:rPr>
      </w:pPr>
      <w:r w:rsidRPr="006170A0">
        <w:rPr>
          <w:color w:val="000000" w:themeColor="text1"/>
        </w:rPr>
        <w:t xml:space="preserve">Parloss should dedicate resources to revalue the policy liabilities for the participating and non-participating book, taking into account the </w:t>
      </w:r>
      <w:r w:rsidRPr="002E71A5">
        <w:rPr>
          <w:color w:val="C00000"/>
        </w:rPr>
        <w:t>degree of materiality of the impacts</w:t>
      </w:r>
      <w:r w:rsidRPr="006170A0">
        <w:rPr>
          <w:color w:val="000000" w:themeColor="text1"/>
        </w:rPr>
        <w:t>. As such, Parloss should conduct a high level analysis in the earlier years of the error to determine whether a detailed revaluation of policy liabilities in those years is warranted.</w:t>
      </w:r>
    </w:p>
    <w:p w14:paraId="2E6B1527" w14:textId="25EA6C81" w:rsidR="00127CD0" w:rsidRDefault="00127CD0" w:rsidP="00B3196A">
      <w:pPr>
        <w:pStyle w:val="ListParagraph"/>
        <w:numPr>
          <w:ilvl w:val="0"/>
          <w:numId w:val="6"/>
        </w:numPr>
        <w:spacing w:after="0"/>
        <w:rPr>
          <w:color w:val="000000" w:themeColor="text1"/>
        </w:rPr>
      </w:pPr>
      <w:r w:rsidRPr="006170A0">
        <w:rPr>
          <w:color w:val="000000" w:themeColor="text1"/>
        </w:rPr>
        <w:t xml:space="preserve">Parloss should also engage its auditor throughout this process so as to mitigate the risk of changing the approach of the revaluation either mid-way through or at the end of the process. </w:t>
      </w:r>
    </w:p>
    <w:p w14:paraId="4E336D06" w14:textId="77777777" w:rsidR="006170A0" w:rsidRPr="006170A0" w:rsidRDefault="006170A0" w:rsidP="006170A0">
      <w:pPr>
        <w:pStyle w:val="ListParagraph"/>
        <w:spacing w:after="0"/>
        <w:rPr>
          <w:color w:val="000000" w:themeColor="text1"/>
        </w:rPr>
      </w:pPr>
    </w:p>
    <w:p w14:paraId="54054D09" w14:textId="77777777" w:rsidR="00127CD0" w:rsidRPr="006170A0" w:rsidRDefault="00127CD0" w:rsidP="00127CD0">
      <w:pPr>
        <w:spacing w:after="0"/>
        <w:rPr>
          <w:b/>
          <w:color w:val="000000" w:themeColor="text1"/>
        </w:rPr>
      </w:pPr>
      <w:r w:rsidRPr="006170A0">
        <w:rPr>
          <w:b/>
          <w:color w:val="000000" w:themeColor="text1"/>
        </w:rPr>
        <w:t>Restatements in Financial Statements and other Statutory Reports</w:t>
      </w:r>
    </w:p>
    <w:p w14:paraId="6A6946A2" w14:textId="77777777" w:rsidR="00127CD0" w:rsidRPr="002E71A5" w:rsidRDefault="00127CD0" w:rsidP="00B3196A">
      <w:pPr>
        <w:pStyle w:val="ListParagraph"/>
        <w:numPr>
          <w:ilvl w:val="0"/>
          <w:numId w:val="7"/>
        </w:numPr>
        <w:spacing w:after="0"/>
        <w:rPr>
          <w:color w:val="000000" w:themeColor="text1"/>
        </w:rPr>
      </w:pPr>
      <w:r w:rsidRPr="002E71A5">
        <w:rPr>
          <w:color w:val="000000" w:themeColor="text1"/>
        </w:rPr>
        <w:t xml:space="preserve">As a result of the revision to historical policy liability/projection results for both the participating and non-participating portfolios, the policy liability figures in the Financial </w:t>
      </w:r>
      <w:r w:rsidRPr="002E71A5">
        <w:rPr>
          <w:color w:val="000000" w:themeColor="text1"/>
        </w:rPr>
        <w:lastRenderedPageBreak/>
        <w:t>Statements would need to be restated, depending on the extent of the revision. For similar reasons, the P&amp;L of both portfolios may also need to be restated.</w:t>
      </w:r>
    </w:p>
    <w:p w14:paraId="7A3B4826" w14:textId="77777777" w:rsidR="00127CD0" w:rsidRPr="002E71A5" w:rsidRDefault="00127CD0" w:rsidP="00B3196A">
      <w:pPr>
        <w:pStyle w:val="ListParagraph"/>
        <w:numPr>
          <w:ilvl w:val="0"/>
          <w:numId w:val="7"/>
        </w:numPr>
        <w:spacing w:after="0"/>
        <w:rPr>
          <w:color w:val="000000" w:themeColor="text1"/>
        </w:rPr>
      </w:pPr>
      <w:r w:rsidRPr="002E71A5">
        <w:rPr>
          <w:color w:val="000000" w:themeColor="text1"/>
        </w:rPr>
        <w:t>Apart from the Financial Statements, other statutory reports would also be impacted, such as regulatory reporting forms, the Valuation Report, and the Financial Condition Report.</w:t>
      </w:r>
    </w:p>
    <w:p w14:paraId="2CDA6655" w14:textId="77777777" w:rsidR="00127CD0" w:rsidRPr="002E71A5" w:rsidRDefault="00127CD0" w:rsidP="00B3196A">
      <w:pPr>
        <w:pStyle w:val="ListParagraph"/>
        <w:numPr>
          <w:ilvl w:val="0"/>
          <w:numId w:val="7"/>
        </w:numPr>
        <w:spacing w:after="0"/>
        <w:rPr>
          <w:color w:val="000000" w:themeColor="text1"/>
        </w:rPr>
      </w:pPr>
      <w:r w:rsidRPr="002E71A5">
        <w:rPr>
          <w:color w:val="000000" w:themeColor="text1"/>
        </w:rPr>
        <w:t>It is acknowledged here also that such restatements would require significant time and resources.</w:t>
      </w:r>
    </w:p>
    <w:p w14:paraId="51949F8C" w14:textId="77777777" w:rsidR="00127CD0" w:rsidRPr="002E71A5" w:rsidRDefault="00127CD0" w:rsidP="00127CD0">
      <w:pPr>
        <w:spacing w:after="0"/>
        <w:rPr>
          <w:i/>
          <w:color w:val="000000" w:themeColor="text1"/>
        </w:rPr>
      </w:pPr>
      <w:r w:rsidRPr="002E71A5">
        <w:rPr>
          <w:i/>
          <w:color w:val="000000" w:themeColor="text1"/>
        </w:rPr>
        <w:t>Recommendation:</w:t>
      </w:r>
    </w:p>
    <w:p w14:paraId="4DB9A170" w14:textId="356E0895" w:rsidR="00127CD0" w:rsidRPr="002E71A5" w:rsidRDefault="00127CD0" w:rsidP="00B3196A">
      <w:pPr>
        <w:pStyle w:val="ListParagraph"/>
        <w:numPr>
          <w:ilvl w:val="0"/>
          <w:numId w:val="8"/>
        </w:numPr>
        <w:spacing w:after="0"/>
        <w:rPr>
          <w:color w:val="000000" w:themeColor="text1"/>
        </w:rPr>
      </w:pPr>
      <w:r w:rsidRPr="002E71A5">
        <w:rPr>
          <w:color w:val="000000" w:themeColor="text1"/>
        </w:rPr>
        <w:t>Parloss should look to restate its historical financial positions and performances with respect to its policy liabilities and their components (best estimate liability, value of future profits, etc.) in the Financial Statements and other statutory reports, to the extent that they are materially differ</w:t>
      </w:r>
      <w:r w:rsidR="002E71A5">
        <w:rPr>
          <w:color w:val="000000" w:themeColor="text1"/>
        </w:rPr>
        <w:t>ent after correcting the error.</w:t>
      </w:r>
    </w:p>
    <w:p w14:paraId="65732EE3" w14:textId="25F53948" w:rsidR="00127CD0" w:rsidRDefault="00127CD0" w:rsidP="00B3196A">
      <w:pPr>
        <w:pStyle w:val="ListParagraph"/>
        <w:numPr>
          <w:ilvl w:val="0"/>
          <w:numId w:val="8"/>
        </w:numPr>
        <w:spacing w:after="0"/>
        <w:rPr>
          <w:color w:val="000000" w:themeColor="text1"/>
        </w:rPr>
      </w:pPr>
      <w:r w:rsidRPr="002E71A5">
        <w:rPr>
          <w:color w:val="000000" w:themeColor="text1"/>
        </w:rPr>
        <w:t>Other departments, such as Accounting, Tax and Corporate Governance, should be engaged throughout this process to account for any other financial, reporti</w:t>
      </w:r>
      <w:r w:rsidR="002E71A5">
        <w:rPr>
          <w:color w:val="000000" w:themeColor="text1"/>
        </w:rPr>
        <w:t>ng and compliance implications.</w:t>
      </w:r>
    </w:p>
    <w:p w14:paraId="594C0329" w14:textId="77777777" w:rsidR="002E71A5" w:rsidRPr="002E71A5" w:rsidRDefault="002E71A5" w:rsidP="002E71A5">
      <w:pPr>
        <w:pStyle w:val="ListParagraph"/>
        <w:spacing w:after="0"/>
        <w:rPr>
          <w:color w:val="000000" w:themeColor="text1"/>
        </w:rPr>
      </w:pPr>
    </w:p>
    <w:p w14:paraId="0EDA9535" w14:textId="77777777" w:rsidR="00127CD0" w:rsidRPr="002E71A5" w:rsidRDefault="00127CD0" w:rsidP="00127CD0">
      <w:pPr>
        <w:spacing w:after="0"/>
        <w:rPr>
          <w:b/>
          <w:color w:val="000000" w:themeColor="text1"/>
        </w:rPr>
      </w:pPr>
      <w:r w:rsidRPr="002E71A5">
        <w:rPr>
          <w:b/>
          <w:color w:val="000000" w:themeColor="text1"/>
        </w:rPr>
        <w:t>Bonus Distribution for Existing Participating Policyholders</w:t>
      </w:r>
    </w:p>
    <w:p w14:paraId="729AC474" w14:textId="77777777" w:rsidR="00127CD0" w:rsidRPr="00E90FDB" w:rsidRDefault="00127CD0" w:rsidP="00B3196A">
      <w:pPr>
        <w:pStyle w:val="ListParagraph"/>
        <w:numPr>
          <w:ilvl w:val="0"/>
          <w:numId w:val="9"/>
        </w:numPr>
        <w:spacing w:after="0"/>
        <w:rPr>
          <w:color w:val="000000" w:themeColor="text1"/>
        </w:rPr>
      </w:pPr>
      <w:r w:rsidRPr="00E90FDB">
        <w:rPr>
          <w:color w:val="000000" w:themeColor="text1"/>
        </w:rPr>
        <w:t xml:space="preserve">As the error has effectively understated the profit emerging from the participating portfolio, it would also </w:t>
      </w:r>
      <w:r w:rsidRPr="00E90FDB">
        <w:rPr>
          <w:color w:val="00B050"/>
        </w:rPr>
        <w:t>understate the bonus that have been allocated and declared to existing policyholders in the period from 2011 to 2014</w:t>
      </w:r>
      <w:r w:rsidRPr="00E90FDB">
        <w:rPr>
          <w:color w:val="000000" w:themeColor="text1"/>
        </w:rPr>
        <w:t xml:space="preserve">. </w:t>
      </w:r>
      <w:r w:rsidRPr="00E90FDB">
        <w:rPr>
          <w:color w:val="00B050"/>
        </w:rPr>
        <w:t>Parloss must redistribute this additional bonus to existing policyholders to be consistent with the equitable principles</w:t>
      </w:r>
      <w:r w:rsidRPr="00E90FDB">
        <w:rPr>
          <w:color w:val="000000" w:themeColor="text1"/>
        </w:rPr>
        <w:t>.</w:t>
      </w:r>
    </w:p>
    <w:p w14:paraId="702CD3A1" w14:textId="77777777" w:rsidR="00127CD0" w:rsidRPr="00E90FDB" w:rsidRDefault="00127CD0" w:rsidP="00127CD0">
      <w:pPr>
        <w:spacing w:after="0"/>
        <w:rPr>
          <w:i/>
          <w:color w:val="000000" w:themeColor="text1"/>
        </w:rPr>
      </w:pPr>
      <w:r w:rsidRPr="00E90FDB">
        <w:rPr>
          <w:i/>
          <w:color w:val="000000" w:themeColor="text1"/>
        </w:rPr>
        <w:t>Recommendation:</w:t>
      </w:r>
    </w:p>
    <w:p w14:paraId="02BFBCAE" w14:textId="40C3DB1E" w:rsidR="00127CD0" w:rsidRPr="00E90FDB" w:rsidRDefault="00127CD0" w:rsidP="00B3196A">
      <w:pPr>
        <w:pStyle w:val="ListParagraph"/>
        <w:numPr>
          <w:ilvl w:val="0"/>
          <w:numId w:val="9"/>
        </w:numPr>
        <w:spacing w:after="0"/>
        <w:rPr>
          <w:color w:val="000000" w:themeColor="text1"/>
        </w:rPr>
      </w:pPr>
      <w:r w:rsidRPr="00E90FDB">
        <w:rPr>
          <w:color w:val="000000" w:themeColor="text1"/>
        </w:rPr>
        <w:t xml:space="preserve">Parloss should calculate the additional bonuses that would have been declared to date without the error and redistribute them to existing policyholders, with allowance for interest income on those. </w:t>
      </w:r>
    </w:p>
    <w:p w14:paraId="10B615FD" w14:textId="741DFEBE" w:rsidR="00127CD0" w:rsidRPr="00E90FDB" w:rsidRDefault="00127CD0" w:rsidP="00B3196A">
      <w:pPr>
        <w:pStyle w:val="ListParagraph"/>
        <w:numPr>
          <w:ilvl w:val="0"/>
          <w:numId w:val="9"/>
        </w:numPr>
        <w:spacing w:after="0"/>
        <w:rPr>
          <w:color w:val="000000" w:themeColor="text1"/>
        </w:rPr>
      </w:pPr>
      <w:r w:rsidRPr="00E90FDB">
        <w:rPr>
          <w:color w:val="000000" w:themeColor="text1"/>
        </w:rPr>
        <w:t>The method of distributing the additional bonuses could take the form of a one-off cash dividend or additional reversio</w:t>
      </w:r>
      <w:r w:rsidR="003F64B9">
        <w:rPr>
          <w:color w:val="000000" w:themeColor="text1"/>
        </w:rPr>
        <w:t>nary bonus to the sum insured.</w:t>
      </w:r>
    </w:p>
    <w:p w14:paraId="347635EC" w14:textId="5ADCE4FD" w:rsidR="00127CD0" w:rsidRPr="00E90FDB" w:rsidRDefault="00127CD0" w:rsidP="00B3196A">
      <w:pPr>
        <w:pStyle w:val="ListParagraph"/>
        <w:numPr>
          <w:ilvl w:val="0"/>
          <w:numId w:val="9"/>
        </w:numPr>
        <w:spacing w:after="0"/>
        <w:rPr>
          <w:color w:val="000000" w:themeColor="text1"/>
        </w:rPr>
      </w:pPr>
      <w:r w:rsidRPr="003F64B9">
        <w:rPr>
          <w:color w:val="C00000"/>
        </w:rPr>
        <w:t>Consideration should be given to the different cohorts of policyholders</w:t>
      </w:r>
      <w:r w:rsidRPr="00E90FDB">
        <w:rPr>
          <w:color w:val="000000" w:themeColor="text1"/>
        </w:rPr>
        <w:t>. For example, those who have only commenced their policies with Parloss in 2014 should not be subject to a significant additional bonus as the additional profit was attributable to cla</w:t>
      </w:r>
      <w:r w:rsidR="003F64B9">
        <w:rPr>
          <w:color w:val="000000" w:themeColor="text1"/>
        </w:rPr>
        <w:t>ims experience before 2014.</w:t>
      </w:r>
    </w:p>
    <w:p w14:paraId="22A52914" w14:textId="0AAFDB0D" w:rsidR="00E90FDB" w:rsidRPr="003F64B9" w:rsidRDefault="00127CD0" w:rsidP="00B3196A">
      <w:pPr>
        <w:pStyle w:val="ListParagraph"/>
        <w:numPr>
          <w:ilvl w:val="0"/>
          <w:numId w:val="9"/>
        </w:numPr>
        <w:spacing w:after="0"/>
        <w:rPr>
          <w:b/>
          <w:color w:val="000000" w:themeColor="text1"/>
        </w:rPr>
      </w:pPr>
      <w:r w:rsidRPr="003F64B9">
        <w:rPr>
          <w:color w:val="000000" w:themeColor="text1"/>
        </w:rPr>
        <w:t>Due to the complexity of this aspect of the allocation (particularly since Parloss has historically only used a single bonus rate), a reasonably broad approach of distributing to the different cohorts should be applied.</w:t>
      </w:r>
    </w:p>
    <w:p w14:paraId="177325FE" w14:textId="77777777" w:rsidR="003F64B9" w:rsidRPr="003F64B9" w:rsidRDefault="003F64B9" w:rsidP="003F64B9">
      <w:pPr>
        <w:pStyle w:val="ListParagraph"/>
        <w:spacing w:after="0"/>
        <w:rPr>
          <w:b/>
          <w:color w:val="000000" w:themeColor="text1"/>
        </w:rPr>
      </w:pPr>
    </w:p>
    <w:p w14:paraId="23F55A42" w14:textId="77777777" w:rsidR="00127CD0" w:rsidRPr="00E90FDB" w:rsidRDefault="00127CD0" w:rsidP="00127CD0">
      <w:pPr>
        <w:spacing w:after="0"/>
        <w:rPr>
          <w:b/>
          <w:color w:val="000000" w:themeColor="text1"/>
        </w:rPr>
      </w:pPr>
      <w:r w:rsidRPr="00E90FDB">
        <w:rPr>
          <w:b/>
          <w:color w:val="000000" w:themeColor="text1"/>
        </w:rPr>
        <w:t>Bonus distribution for Policyholders No Longer In Force</w:t>
      </w:r>
    </w:p>
    <w:p w14:paraId="64E8553A" w14:textId="1694610F" w:rsidR="00127CD0" w:rsidRPr="00160B31" w:rsidRDefault="00127CD0" w:rsidP="00B3196A">
      <w:pPr>
        <w:pStyle w:val="ListParagraph"/>
        <w:numPr>
          <w:ilvl w:val="0"/>
          <w:numId w:val="10"/>
        </w:numPr>
        <w:spacing w:after="0"/>
        <w:rPr>
          <w:color w:val="00B050"/>
        </w:rPr>
      </w:pPr>
      <w:r w:rsidRPr="00160B31">
        <w:rPr>
          <w:color w:val="00B050"/>
        </w:rPr>
        <w:t>To uphold the principles of equity, policyholders who are no longer in force (either through surrender or death) would also need to be compensated for the additional bonuses.</w:t>
      </w:r>
    </w:p>
    <w:p w14:paraId="1EE4CEFC" w14:textId="380A9D0A" w:rsidR="00127CD0" w:rsidRPr="003F64B9" w:rsidRDefault="00127CD0" w:rsidP="00B3196A">
      <w:pPr>
        <w:pStyle w:val="ListParagraph"/>
        <w:numPr>
          <w:ilvl w:val="0"/>
          <w:numId w:val="10"/>
        </w:numPr>
        <w:spacing w:after="0"/>
        <w:rPr>
          <w:color w:val="000000" w:themeColor="text1"/>
        </w:rPr>
      </w:pPr>
      <w:r w:rsidRPr="003F64B9">
        <w:rPr>
          <w:color w:val="000000" w:themeColor="text1"/>
        </w:rPr>
        <w:lastRenderedPageBreak/>
        <w:t xml:space="preserve">This would likely be a </w:t>
      </w:r>
      <w:r w:rsidRPr="00160B31">
        <w:rPr>
          <w:color w:val="C00000"/>
        </w:rPr>
        <w:t>difficult and costly exercise</w:t>
      </w:r>
      <w:r w:rsidRPr="003F64B9">
        <w:rPr>
          <w:color w:val="000000" w:themeColor="text1"/>
        </w:rPr>
        <w:t xml:space="preserve">, due to practical reasons such as engaging with the administrators of the </w:t>
      </w:r>
      <w:r w:rsidRPr="00160B31">
        <w:rPr>
          <w:color w:val="C00000"/>
        </w:rPr>
        <w:t>estate of deceased policyholders</w:t>
      </w:r>
      <w:r w:rsidRPr="003F64B9">
        <w:rPr>
          <w:color w:val="000000" w:themeColor="text1"/>
        </w:rPr>
        <w:t xml:space="preserve">, and </w:t>
      </w:r>
      <w:r w:rsidRPr="00160B31">
        <w:rPr>
          <w:color w:val="C00000"/>
        </w:rPr>
        <w:t xml:space="preserve">former policyholders </w:t>
      </w:r>
      <w:r w:rsidR="00160B31" w:rsidRPr="00160B31">
        <w:rPr>
          <w:color w:val="C00000"/>
        </w:rPr>
        <w:t>who have changed their address</w:t>
      </w:r>
      <w:r w:rsidR="00160B31">
        <w:rPr>
          <w:color w:val="000000" w:themeColor="text1"/>
        </w:rPr>
        <w:t>.</w:t>
      </w:r>
    </w:p>
    <w:p w14:paraId="4AE5667F" w14:textId="77777777" w:rsidR="00127CD0" w:rsidRPr="003F64B9" w:rsidRDefault="00127CD0" w:rsidP="00127CD0">
      <w:pPr>
        <w:spacing w:after="0"/>
        <w:rPr>
          <w:i/>
          <w:color w:val="000000" w:themeColor="text1"/>
        </w:rPr>
      </w:pPr>
      <w:r w:rsidRPr="003F64B9">
        <w:rPr>
          <w:i/>
          <w:color w:val="000000" w:themeColor="text1"/>
        </w:rPr>
        <w:t>Recommendation:</w:t>
      </w:r>
    </w:p>
    <w:p w14:paraId="5D9A04E1" w14:textId="77777777" w:rsidR="00127CD0" w:rsidRPr="00160B31" w:rsidRDefault="00127CD0" w:rsidP="00B3196A">
      <w:pPr>
        <w:pStyle w:val="ListParagraph"/>
        <w:numPr>
          <w:ilvl w:val="0"/>
          <w:numId w:val="11"/>
        </w:numPr>
        <w:spacing w:after="0"/>
        <w:rPr>
          <w:color w:val="000000" w:themeColor="text1"/>
        </w:rPr>
      </w:pPr>
      <w:r w:rsidRPr="00160B31">
        <w:rPr>
          <w:color w:val="000000" w:themeColor="text1"/>
        </w:rPr>
        <w:t xml:space="preserve">Parloss </w:t>
      </w:r>
      <w:r w:rsidRPr="00160B31">
        <w:rPr>
          <w:color w:val="00B050"/>
        </w:rPr>
        <w:t>should look to compensate former policyholders in an equitable manner</w:t>
      </w:r>
      <w:r w:rsidRPr="00160B31">
        <w:rPr>
          <w:color w:val="000000" w:themeColor="text1"/>
        </w:rPr>
        <w:t>, with allowance for interest income.</w:t>
      </w:r>
    </w:p>
    <w:p w14:paraId="78BA1768" w14:textId="6F0C06CE" w:rsidR="00127CD0" w:rsidRPr="00160B31" w:rsidRDefault="00127CD0" w:rsidP="00B3196A">
      <w:pPr>
        <w:pStyle w:val="ListParagraph"/>
        <w:numPr>
          <w:ilvl w:val="0"/>
          <w:numId w:val="11"/>
        </w:numPr>
        <w:spacing w:after="0"/>
        <w:rPr>
          <w:color w:val="000000" w:themeColor="text1"/>
        </w:rPr>
      </w:pPr>
      <w:r w:rsidRPr="00160B31">
        <w:rPr>
          <w:color w:val="000000" w:themeColor="text1"/>
        </w:rPr>
        <w:t>Due to the complexity of this exercise, it is recommended that a dedicated working group is set up</w:t>
      </w:r>
      <w:r w:rsidR="00160B31">
        <w:rPr>
          <w:color w:val="000000" w:themeColor="text1"/>
        </w:rPr>
        <w:t xml:space="preserve"> to coordinate and execute it.</w:t>
      </w:r>
    </w:p>
    <w:p w14:paraId="1620F1A9" w14:textId="1A380706" w:rsidR="00127CD0" w:rsidRPr="00160B31" w:rsidRDefault="00127CD0" w:rsidP="00B3196A">
      <w:pPr>
        <w:pStyle w:val="ListParagraph"/>
        <w:numPr>
          <w:ilvl w:val="0"/>
          <w:numId w:val="11"/>
        </w:numPr>
        <w:spacing w:after="0"/>
        <w:rPr>
          <w:color w:val="000000" w:themeColor="text1"/>
        </w:rPr>
      </w:pPr>
      <w:r w:rsidRPr="00160B31">
        <w:rPr>
          <w:color w:val="000000" w:themeColor="text1"/>
        </w:rPr>
        <w:t xml:space="preserve">Again, consideration should be given to the different cohorts of policyholders, where policyholders who either claimed or surrendered in the earlier years should not be awarded profit that arose </w:t>
      </w:r>
      <w:r w:rsidR="00160B31">
        <w:rPr>
          <w:color w:val="000000" w:themeColor="text1"/>
        </w:rPr>
        <w:t>after their came out of force.</w:t>
      </w:r>
    </w:p>
    <w:p w14:paraId="57897894" w14:textId="77777777" w:rsidR="00160B31" w:rsidRDefault="00160B31" w:rsidP="00127CD0">
      <w:pPr>
        <w:spacing w:after="0"/>
        <w:rPr>
          <w:b/>
          <w:color w:val="000000" w:themeColor="text1"/>
        </w:rPr>
      </w:pPr>
    </w:p>
    <w:p w14:paraId="08E3A40F" w14:textId="77777777" w:rsidR="00127CD0" w:rsidRPr="00160B31" w:rsidRDefault="00127CD0" w:rsidP="00127CD0">
      <w:pPr>
        <w:spacing w:after="0"/>
        <w:rPr>
          <w:b/>
          <w:color w:val="000000" w:themeColor="text1"/>
        </w:rPr>
      </w:pPr>
      <w:r w:rsidRPr="00160B31">
        <w:rPr>
          <w:b/>
          <w:color w:val="000000" w:themeColor="text1"/>
        </w:rPr>
        <w:t>Participating Portfolio Profitability</w:t>
      </w:r>
    </w:p>
    <w:p w14:paraId="201987C0" w14:textId="3404E3A6" w:rsidR="00127CD0" w:rsidRPr="00160B31" w:rsidRDefault="00127CD0" w:rsidP="00B3196A">
      <w:pPr>
        <w:pStyle w:val="ListParagraph"/>
        <w:numPr>
          <w:ilvl w:val="0"/>
          <w:numId w:val="12"/>
        </w:numPr>
        <w:spacing w:after="0"/>
        <w:rPr>
          <w:color w:val="000000" w:themeColor="text1"/>
        </w:rPr>
      </w:pPr>
      <w:r w:rsidRPr="00160B31">
        <w:rPr>
          <w:color w:val="000000" w:themeColor="text1"/>
        </w:rPr>
        <w:t xml:space="preserve">The error may have had a material impact on both historical and outlook on the </w:t>
      </w:r>
      <w:r w:rsidRPr="00BA60E0">
        <w:rPr>
          <w:color w:val="00B050"/>
        </w:rPr>
        <w:t xml:space="preserve">profitability </w:t>
      </w:r>
      <w:r w:rsidRPr="00160B31">
        <w:rPr>
          <w:color w:val="000000" w:themeColor="text1"/>
        </w:rPr>
        <w:t xml:space="preserve">of the participating portfolios. </w:t>
      </w:r>
    </w:p>
    <w:p w14:paraId="0E79A25A" w14:textId="0836057B" w:rsidR="00127CD0" w:rsidRPr="00160B31" w:rsidRDefault="00127CD0" w:rsidP="00B3196A">
      <w:pPr>
        <w:pStyle w:val="ListParagraph"/>
        <w:numPr>
          <w:ilvl w:val="0"/>
          <w:numId w:val="12"/>
        </w:numPr>
        <w:spacing w:after="0"/>
        <w:rPr>
          <w:color w:val="000000" w:themeColor="text1"/>
        </w:rPr>
      </w:pPr>
      <w:r w:rsidRPr="00160B31">
        <w:rPr>
          <w:color w:val="000000" w:themeColor="text1"/>
        </w:rPr>
        <w:t xml:space="preserve">The poor profitability/low bonus rates on the participating book for a number of years may have been attributed to this overstatement in claims (adversely affecting both the yearly profits and mortality assumptions), which in turn made the product unattractive and uncompetitive. Indeed, the profit margin of the participating portfolio is relatively low as at the December 2014 valuation (around 6% by doing the cost of current year + future year bonuses divided by </w:t>
      </w:r>
      <w:r w:rsidR="00BA60E0">
        <w:rPr>
          <w:color w:val="000000" w:themeColor="text1"/>
        </w:rPr>
        <w:t>the present value of premium).</w:t>
      </w:r>
    </w:p>
    <w:p w14:paraId="6B5602C0" w14:textId="1F70FC51" w:rsidR="00127CD0" w:rsidRPr="00160B31" w:rsidRDefault="00127CD0" w:rsidP="00B3196A">
      <w:pPr>
        <w:pStyle w:val="ListParagraph"/>
        <w:numPr>
          <w:ilvl w:val="0"/>
          <w:numId w:val="12"/>
        </w:numPr>
        <w:spacing w:after="0"/>
        <w:rPr>
          <w:color w:val="000000" w:themeColor="text1"/>
        </w:rPr>
      </w:pPr>
      <w:r w:rsidRPr="00BA60E0">
        <w:rPr>
          <w:color w:val="C00000"/>
        </w:rPr>
        <w:t>Revaluing the participating business would be expected to improve the profitability of the participating portfolio, with higher bonus rates. There may also be opportunities to re-price the product to make it more competitive, given the improved morbidity assumptions</w:t>
      </w:r>
      <w:r w:rsidRPr="00160B31">
        <w:rPr>
          <w:color w:val="000000" w:themeColor="text1"/>
        </w:rPr>
        <w:t xml:space="preserve">. </w:t>
      </w:r>
      <w:r w:rsidRPr="00BA60E0">
        <w:rPr>
          <w:color w:val="C00000"/>
        </w:rPr>
        <w:t>This would make the product more competitive in the market and improving the volume of new business in the future.</w:t>
      </w:r>
    </w:p>
    <w:p w14:paraId="5DB47875" w14:textId="77777777" w:rsidR="00127CD0" w:rsidRPr="00160B31" w:rsidRDefault="00127CD0" w:rsidP="00127CD0">
      <w:pPr>
        <w:spacing w:after="0"/>
        <w:rPr>
          <w:i/>
          <w:color w:val="000000" w:themeColor="text1"/>
        </w:rPr>
      </w:pPr>
      <w:r w:rsidRPr="00160B31">
        <w:rPr>
          <w:i/>
          <w:color w:val="000000" w:themeColor="text1"/>
        </w:rPr>
        <w:t>Recommendation:</w:t>
      </w:r>
    </w:p>
    <w:p w14:paraId="6F7E1251" w14:textId="77777777" w:rsidR="00127CD0" w:rsidRPr="00BA60E0" w:rsidRDefault="00127CD0" w:rsidP="00B3196A">
      <w:pPr>
        <w:pStyle w:val="ListParagraph"/>
        <w:numPr>
          <w:ilvl w:val="0"/>
          <w:numId w:val="13"/>
        </w:numPr>
        <w:spacing w:after="0"/>
        <w:rPr>
          <w:color w:val="000000" w:themeColor="text1"/>
        </w:rPr>
      </w:pPr>
      <w:r w:rsidRPr="00BA60E0">
        <w:rPr>
          <w:color w:val="000000" w:themeColor="text1"/>
        </w:rPr>
        <w:t>Parloss should, in the process of revaluing its participating business, consider the strategic implications of this portfolio. This is given that its future position in the market may improve after the error is corrected, in light of the lower mortality experience and assumptions. The strategic implications would include its competitive position in the market with respect to the revised bonus rates as well as pricing.</w:t>
      </w:r>
    </w:p>
    <w:p w14:paraId="393D7121" w14:textId="77777777" w:rsidR="00127CD0" w:rsidRPr="00BA60E0" w:rsidRDefault="00127CD0" w:rsidP="00B3196A">
      <w:pPr>
        <w:pStyle w:val="ListParagraph"/>
        <w:numPr>
          <w:ilvl w:val="0"/>
          <w:numId w:val="13"/>
        </w:numPr>
        <w:spacing w:after="0"/>
        <w:rPr>
          <w:color w:val="000000" w:themeColor="text1"/>
        </w:rPr>
      </w:pPr>
      <w:r w:rsidRPr="00BA60E0">
        <w:rPr>
          <w:color w:val="000000" w:themeColor="text1"/>
        </w:rPr>
        <w:t>This benefit should be considered when weighing the costs of the remediation.</w:t>
      </w:r>
    </w:p>
    <w:p w14:paraId="690B3BC2" w14:textId="77777777" w:rsidR="00BA60E0" w:rsidRDefault="00BA60E0" w:rsidP="00127CD0">
      <w:pPr>
        <w:spacing w:after="0"/>
        <w:rPr>
          <w:b/>
          <w:color w:val="000000" w:themeColor="text1"/>
        </w:rPr>
      </w:pPr>
    </w:p>
    <w:p w14:paraId="0529DFF3" w14:textId="77777777" w:rsidR="00127CD0" w:rsidRPr="00BA60E0" w:rsidRDefault="00127CD0" w:rsidP="00127CD0">
      <w:pPr>
        <w:spacing w:after="0"/>
        <w:rPr>
          <w:b/>
          <w:color w:val="000000" w:themeColor="text1"/>
        </w:rPr>
      </w:pPr>
      <w:r w:rsidRPr="00BA60E0">
        <w:rPr>
          <w:b/>
          <w:color w:val="000000" w:themeColor="text1"/>
        </w:rPr>
        <w:t>Non-Participating Portfolio Profitability</w:t>
      </w:r>
    </w:p>
    <w:p w14:paraId="32812267" w14:textId="3ECA5EE2" w:rsidR="00127CD0" w:rsidRPr="00D94600" w:rsidRDefault="00127CD0" w:rsidP="00B3196A">
      <w:pPr>
        <w:pStyle w:val="ListParagraph"/>
        <w:numPr>
          <w:ilvl w:val="0"/>
          <w:numId w:val="14"/>
        </w:numPr>
        <w:spacing w:after="0"/>
        <w:rPr>
          <w:color w:val="000000" w:themeColor="text1"/>
        </w:rPr>
      </w:pPr>
      <w:r w:rsidRPr="00D94600">
        <w:rPr>
          <w:color w:val="00B050"/>
        </w:rPr>
        <w:t xml:space="preserve">Conversely to the above, the profitability of the non-participating portfolio would suffer after the correction of the error, </w:t>
      </w:r>
      <w:r w:rsidRPr="00D94600">
        <w:rPr>
          <w:color w:val="000000" w:themeColor="text1"/>
        </w:rPr>
        <w:t>though it would have less administrative complexities and compliance issues to manage compared t</w:t>
      </w:r>
      <w:r w:rsidR="00D94600">
        <w:rPr>
          <w:color w:val="000000" w:themeColor="text1"/>
        </w:rPr>
        <w:t xml:space="preserve">o the participating portfolio. </w:t>
      </w:r>
    </w:p>
    <w:p w14:paraId="112B3892" w14:textId="77777777" w:rsidR="00127CD0" w:rsidRPr="00D94600" w:rsidRDefault="00127CD0" w:rsidP="00B3196A">
      <w:pPr>
        <w:pStyle w:val="ListParagraph"/>
        <w:numPr>
          <w:ilvl w:val="0"/>
          <w:numId w:val="14"/>
        </w:numPr>
        <w:spacing w:after="0"/>
        <w:rPr>
          <w:color w:val="000000" w:themeColor="text1"/>
        </w:rPr>
      </w:pPr>
      <w:r w:rsidRPr="00D94600">
        <w:rPr>
          <w:color w:val="000000" w:themeColor="text1"/>
        </w:rPr>
        <w:t xml:space="preserve">Nevertheless, its profitability and pricing would need to be re-assessed in light of the worse-than-expected claims experience and assumptions. </w:t>
      </w:r>
      <w:r w:rsidRPr="00D94600">
        <w:rPr>
          <w:color w:val="C00000"/>
        </w:rPr>
        <w:t xml:space="preserve">One question is whether this </w:t>
      </w:r>
      <w:r w:rsidRPr="00D94600">
        <w:rPr>
          <w:color w:val="C00000"/>
        </w:rPr>
        <w:lastRenderedPageBreak/>
        <w:t>portfolio could go into loss recognition after the revaluation of its policy liability</w:t>
      </w:r>
      <w:r w:rsidRPr="00D94600">
        <w:rPr>
          <w:color w:val="000000" w:themeColor="text1"/>
        </w:rPr>
        <w:t>. A loss recognition</w:t>
      </w:r>
      <w:r w:rsidRPr="00D94600">
        <w:rPr>
          <w:color w:val="000000" w:themeColor="text1"/>
        </w:rPr>
        <w:t xml:space="preserve"> </w:t>
      </w:r>
      <w:r w:rsidRPr="00D94600">
        <w:rPr>
          <w:color w:val="000000" w:themeColor="text1"/>
        </w:rPr>
        <w:t>could potentially result in Parloss incurring significant losses in a single year.</w:t>
      </w:r>
    </w:p>
    <w:p w14:paraId="47285082" w14:textId="77777777" w:rsidR="00127CD0" w:rsidRPr="00D94600" w:rsidRDefault="00127CD0" w:rsidP="00127CD0">
      <w:pPr>
        <w:spacing w:after="0"/>
        <w:rPr>
          <w:i/>
          <w:color w:val="000000" w:themeColor="text1"/>
        </w:rPr>
      </w:pPr>
      <w:r w:rsidRPr="00D94600">
        <w:rPr>
          <w:i/>
          <w:color w:val="000000" w:themeColor="text1"/>
        </w:rPr>
        <w:t>Recommendation:</w:t>
      </w:r>
    </w:p>
    <w:p w14:paraId="70A56B22" w14:textId="187A700E" w:rsidR="00127CD0" w:rsidRPr="00D94600" w:rsidRDefault="00127CD0" w:rsidP="00B3196A">
      <w:pPr>
        <w:pStyle w:val="ListParagraph"/>
        <w:numPr>
          <w:ilvl w:val="0"/>
          <w:numId w:val="15"/>
        </w:numPr>
        <w:spacing w:after="0"/>
        <w:rPr>
          <w:color w:val="000000" w:themeColor="text1"/>
        </w:rPr>
      </w:pPr>
      <w:r w:rsidRPr="00D94600">
        <w:rPr>
          <w:color w:val="000000" w:themeColor="text1"/>
        </w:rPr>
        <w:t xml:space="preserve">Parloss should consider the strategic implications of this portfolio, in light of the worse-than-expected claims experience and assumptions. These implications would include the need to </w:t>
      </w:r>
      <w:r w:rsidRPr="00D94600">
        <w:rPr>
          <w:color w:val="C00000"/>
        </w:rPr>
        <w:t>re-price this portfolio</w:t>
      </w:r>
      <w:r w:rsidRPr="00D94600">
        <w:rPr>
          <w:color w:val="000000" w:themeColor="text1"/>
        </w:rPr>
        <w:t>, if any, given Parloss’ current position in the non-participating market. The possibility of loss recognition should also be investigated further.</w:t>
      </w:r>
      <w:r w:rsidR="00D94600">
        <w:rPr>
          <w:color w:val="000000" w:themeColor="text1"/>
        </w:rPr>
        <w:t xml:space="preserve"> </w:t>
      </w:r>
    </w:p>
    <w:p w14:paraId="74A6C789" w14:textId="77777777" w:rsidR="00D94600" w:rsidRDefault="00D94600" w:rsidP="00127CD0">
      <w:pPr>
        <w:spacing w:after="0"/>
        <w:rPr>
          <w:color w:val="000000" w:themeColor="text1"/>
        </w:rPr>
      </w:pPr>
    </w:p>
    <w:p w14:paraId="0444F572" w14:textId="77777777" w:rsidR="00127CD0" w:rsidRPr="00D94600" w:rsidRDefault="00127CD0" w:rsidP="00127CD0">
      <w:pPr>
        <w:spacing w:after="0"/>
        <w:rPr>
          <w:b/>
          <w:color w:val="000000" w:themeColor="text1"/>
        </w:rPr>
      </w:pPr>
      <w:r w:rsidRPr="00D94600">
        <w:rPr>
          <w:b/>
          <w:color w:val="000000" w:themeColor="text1"/>
        </w:rPr>
        <w:t>Risk Management and Controls</w:t>
      </w:r>
    </w:p>
    <w:p w14:paraId="6488BD3A" w14:textId="77777777" w:rsidR="00127CD0" w:rsidRPr="00D94600" w:rsidRDefault="00127CD0" w:rsidP="00B3196A">
      <w:pPr>
        <w:pStyle w:val="ListParagraph"/>
        <w:numPr>
          <w:ilvl w:val="0"/>
          <w:numId w:val="15"/>
        </w:numPr>
        <w:spacing w:after="0"/>
        <w:rPr>
          <w:color w:val="000000" w:themeColor="text1"/>
        </w:rPr>
      </w:pPr>
      <w:r w:rsidRPr="00D94600">
        <w:rPr>
          <w:color w:val="000000" w:themeColor="text1"/>
        </w:rPr>
        <w:t>The incident has raised questions about how such a material error could have occurred over a number of years. Clearly controls in a number of areas have not been successful in identifying the error earlier, including:</w:t>
      </w:r>
    </w:p>
    <w:p w14:paraId="6CD0375B" w14:textId="138EF1B4" w:rsidR="00127CD0" w:rsidRPr="00D94600" w:rsidRDefault="00127CD0" w:rsidP="00B3196A">
      <w:pPr>
        <w:pStyle w:val="ListParagraph"/>
        <w:numPr>
          <w:ilvl w:val="1"/>
          <w:numId w:val="1"/>
        </w:numPr>
        <w:spacing w:after="0"/>
        <w:rPr>
          <w:color w:val="000000" w:themeColor="text1"/>
        </w:rPr>
      </w:pPr>
      <w:r w:rsidRPr="00D94600">
        <w:rPr>
          <w:color w:val="000000" w:themeColor="text1"/>
        </w:rPr>
        <w:t>administration system / claims database</w:t>
      </w:r>
    </w:p>
    <w:p w14:paraId="0AE87D5F" w14:textId="679CF556" w:rsidR="00127CD0" w:rsidRPr="00D94600" w:rsidRDefault="00127CD0" w:rsidP="00B3196A">
      <w:pPr>
        <w:pStyle w:val="ListParagraph"/>
        <w:numPr>
          <w:ilvl w:val="1"/>
          <w:numId w:val="1"/>
        </w:numPr>
        <w:spacing w:after="0"/>
        <w:rPr>
          <w:color w:val="000000" w:themeColor="text1"/>
        </w:rPr>
      </w:pPr>
      <w:r w:rsidRPr="00D94600">
        <w:rPr>
          <w:color w:val="000000" w:themeColor="text1"/>
        </w:rPr>
        <w:t>general ledger reconciliations</w:t>
      </w:r>
    </w:p>
    <w:p w14:paraId="141E5ACA" w14:textId="00EFF0E3" w:rsidR="00127CD0" w:rsidRPr="00D94600" w:rsidRDefault="00127CD0" w:rsidP="00B3196A">
      <w:pPr>
        <w:pStyle w:val="ListParagraph"/>
        <w:numPr>
          <w:ilvl w:val="1"/>
          <w:numId w:val="1"/>
        </w:numPr>
        <w:spacing w:after="0"/>
        <w:rPr>
          <w:color w:val="000000" w:themeColor="text1"/>
        </w:rPr>
      </w:pPr>
      <w:r w:rsidRPr="00D94600">
        <w:rPr>
          <w:color w:val="000000" w:themeColor="text1"/>
        </w:rPr>
        <w:t>analysis of profit</w:t>
      </w:r>
    </w:p>
    <w:p w14:paraId="6B8DB07A" w14:textId="3A3B37B7" w:rsidR="00127CD0" w:rsidRPr="00D94600" w:rsidRDefault="00127CD0" w:rsidP="00B3196A">
      <w:pPr>
        <w:pStyle w:val="ListParagraph"/>
        <w:numPr>
          <w:ilvl w:val="1"/>
          <w:numId w:val="1"/>
        </w:numPr>
        <w:spacing w:after="0"/>
        <w:rPr>
          <w:color w:val="000000" w:themeColor="text1"/>
        </w:rPr>
      </w:pPr>
      <w:r w:rsidRPr="00D94600">
        <w:rPr>
          <w:color w:val="000000" w:themeColor="text1"/>
        </w:rPr>
        <w:t>past audit</w:t>
      </w:r>
    </w:p>
    <w:p w14:paraId="73F9257B" w14:textId="77777777" w:rsidR="00127CD0" w:rsidRPr="00D94600" w:rsidRDefault="00127CD0" w:rsidP="00B3196A">
      <w:pPr>
        <w:pStyle w:val="ListParagraph"/>
        <w:numPr>
          <w:ilvl w:val="0"/>
          <w:numId w:val="15"/>
        </w:numPr>
        <w:spacing w:after="0"/>
        <w:rPr>
          <w:color w:val="000000" w:themeColor="text1"/>
        </w:rPr>
      </w:pPr>
      <w:r w:rsidRPr="00D94600">
        <w:rPr>
          <w:color w:val="000000" w:themeColor="text1"/>
        </w:rPr>
        <w:t>While remediation is critical, it is also equally critical to identify the underlying cause of the error and manage the relevant risk so that it does not repeat.</w:t>
      </w:r>
    </w:p>
    <w:p w14:paraId="381FD0FA" w14:textId="77777777" w:rsidR="00127CD0" w:rsidRPr="00D94600" w:rsidRDefault="00127CD0" w:rsidP="00127CD0">
      <w:pPr>
        <w:spacing w:after="0"/>
        <w:rPr>
          <w:i/>
          <w:color w:val="000000" w:themeColor="text1"/>
        </w:rPr>
      </w:pPr>
      <w:r w:rsidRPr="00D94600">
        <w:rPr>
          <w:i/>
          <w:color w:val="000000" w:themeColor="text1"/>
        </w:rPr>
        <w:t>Recommendation:</w:t>
      </w:r>
    </w:p>
    <w:p w14:paraId="37A0D2E0" w14:textId="6695B62B" w:rsidR="00127CD0" w:rsidRPr="00D94600" w:rsidRDefault="00127CD0" w:rsidP="00B3196A">
      <w:pPr>
        <w:pStyle w:val="ListParagraph"/>
        <w:numPr>
          <w:ilvl w:val="0"/>
          <w:numId w:val="15"/>
        </w:numPr>
        <w:spacing w:after="0"/>
        <w:rPr>
          <w:color w:val="000000" w:themeColor="text1"/>
        </w:rPr>
      </w:pPr>
      <w:r w:rsidRPr="00D94600">
        <w:rPr>
          <w:color w:val="000000" w:themeColor="text1"/>
        </w:rPr>
        <w:t xml:space="preserve">Parloss should </w:t>
      </w:r>
      <w:r w:rsidRPr="00D05271">
        <w:rPr>
          <w:color w:val="C00000"/>
        </w:rPr>
        <w:t>identify the core cause of the error</w:t>
      </w:r>
      <w:r w:rsidRPr="00D94600">
        <w:rPr>
          <w:color w:val="000000" w:themeColor="text1"/>
        </w:rPr>
        <w:t xml:space="preserve">, and correspondingly </w:t>
      </w:r>
      <w:r w:rsidRPr="00D05271">
        <w:rPr>
          <w:color w:val="C00000"/>
        </w:rPr>
        <w:t>review and improve all the relevant controls in p</w:t>
      </w:r>
      <w:r w:rsidR="00D94600" w:rsidRPr="00D05271">
        <w:rPr>
          <w:color w:val="C00000"/>
        </w:rPr>
        <w:t>lace to mitigate such an error</w:t>
      </w:r>
      <w:r w:rsidR="00D94600">
        <w:rPr>
          <w:color w:val="000000" w:themeColor="text1"/>
        </w:rPr>
        <w:t>.</w:t>
      </w:r>
    </w:p>
    <w:p w14:paraId="2FC69CDD" w14:textId="210D9E34" w:rsidR="00127CD0" w:rsidRPr="00D94600" w:rsidRDefault="00127CD0" w:rsidP="00B3196A">
      <w:pPr>
        <w:pStyle w:val="ListParagraph"/>
        <w:numPr>
          <w:ilvl w:val="0"/>
          <w:numId w:val="15"/>
        </w:numPr>
        <w:spacing w:after="0"/>
        <w:rPr>
          <w:color w:val="000000" w:themeColor="text1"/>
        </w:rPr>
      </w:pPr>
      <w:r w:rsidRPr="00D94600">
        <w:rPr>
          <w:color w:val="000000" w:themeColor="text1"/>
        </w:rPr>
        <w:t xml:space="preserve">It would also be worthwhile, once the core cause has been identified, to conduct an </w:t>
      </w:r>
      <w:r w:rsidRPr="00D05271">
        <w:rPr>
          <w:color w:val="C00000"/>
        </w:rPr>
        <w:t>audit on other transactions</w:t>
      </w:r>
      <w:r w:rsidRPr="00D94600">
        <w:rPr>
          <w:color w:val="000000" w:themeColor="text1"/>
        </w:rPr>
        <w:t xml:space="preserve"> to ensure an error of this nature is isolated to claims only and not systemic, affecting othe</w:t>
      </w:r>
      <w:r w:rsidR="00D94600">
        <w:rPr>
          <w:color w:val="000000" w:themeColor="text1"/>
        </w:rPr>
        <w:t>r lines of the P&amp;L.</w:t>
      </w:r>
    </w:p>
    <w:p w14:paraId="6505E259" w14:textId="77777777" w:rsidR="00D94600" w:rsidRDefault="00D94600" w:rsidP="00127CD0">
      <w:pPr>
        <w:spacing w:after="0"/>
        <w:rPr>
          <w:b/>
          <w:color w:val="000000" w:themeColor="text1"/>
        </w:rPr>
      </w:pPr>
    </w:p>
    <w:p w14:paraId="717C9AAE" w14:textId="77777777" w:rsidR="00127CD0" w:rsidRPr="00D94600" w:rsidRDefault="00127CD0" w:rsidP="00127CD0">
      <w:pPr>
        <w:spacing w:after="0"/>
        <w:rPr>
          <w:b/>
          <w:color w:val="000000" w:themeColor="text1"/>
        </w:rPr>
      </w:pPr>
      <w:r w:rsidRPr="00D94600">
        <w:rPr>
          <w:b/>
          <w:color w:val="000000" w:themeColor="text1"/>
        </w:rPr>
        <w:t>Resourcing</w:t>
      </w:r>
    </w:p>
    <w:p w14:paraId="54470197" w14:textId="6FF716DC" w:rsidR="00127CD0" w:rsidRPr="00D05271" w:rsidRDefault="00127CD0" w:rsidP="00B3196A">
      <w:pPr>
        <w:pStyle w:val="ListParagraph"/>
        <w:numPr>
          <w:ilvl w:val="0"/>
          <w:numId w:val="16"/>
        </w:numPr>
        <w:spacing w:after="0"/>
        <w:rPr>
          <w:color w:val="000000" w:themeColor="text1"/>
        </w:rPr>
      </w:pPr>
      <w:r w:rsidRPr="00D05271">
        <w:rPr>
          <w:color w:val="000000" w:themeColor="text1"/>
        </w:rPr>
        <w:t>As alluded to above, there will be a need for significant resources to both remediate and resolve all relevant and outstanding issues. Poor allocation of resources would not only result in prolonged costs and management distraction, but also give rise to the risk of more errors (as well as other issues such as low staff morale) during the remediation and revaluation processes (wh</w:t>
      </w:r>
      <w:r w:rsidR="00D94600" w:rsidRPr="00D05271">
        <w:rPr>
          <w:color w:val="000000" w:themeColor="text1"/>
        </w:rPr>
        <w:t>ich had further ramifications).</w:t>
      </w:r>
    </w:p>
    <w:p w14:paraId="4314EBC7" w14:textId="77777777" w:rsidR="00127CD0" w:rsidRPr="00D94600" w:rsidRDefault="00127CD0" w:rsidP="00127CD0">
      <w:pPr>
        <w:spacing w:after="0"/>
        <w:rPr>
          <w:i/>
          <w:color w:val="000000" w:themeColor="text1"/>
        </w:rPr>
      </w:pPr>
      <w:r w:rsidRPr="00D94600">
        <w:rPr>
          <w:i/>
          <w:color w:val="000000" w:themeColor="text1"/>
        </w:rPr>
        <w:t>Recommendation:</w:t>
      </w:r>
    </w:p>
    <w:p w14:paraId="14A5F6AE" w14:textId="77777777" w:rsidR="00127CD0" w:rsidRPr="00D05271" w:rsidRDefault="00127CD0" w:rsidP="00B3196A">
      <w:pPr>
        <w:pStyle w:val="ListParagraph"/>
        <w:numPr>
          <w:ilvl w:val="0"/>
          <w:numId w:val="16"/>
        </w:numPr>
        <w:spacing w:after="0"/>
        <w:rPr>
          <w:color w:val="000000" w:themeColor="text1"/>
        </w:rPr>
      </w:pPr>
      <w:r w:rsidRPr="00D05271">
        <w:rPr>
          <w:color w:val="000000" w:themeColor="text1"/>
        </w:rPr>
        <w:t>Parloss should allocate and invest in dedicated resources to carry out the recommendations outlined above.</w:t>
      </w:r>
    </w:p>
    <w:p w14:paraId="3DF52C54" w14:textId="77777777" w:rsidR="00127CD0" w:rsidRPr="00D05271" w:rsidRDefault="00127CD0" w:rsidP="00B3196A">
      <w:pPr>
        <w:pStyle w:val="ListParagraph"/>
        <w:numPr>
          <w:ilvl w:val="0"/>
          <w:numId w:val="16"/>
        </w:numPr>
        <w:spacing w:after="0"/>
        <w:rPr>
          <w:color w:val="000000" w:themeColor="text1"/>
        </w:rPr>
      </w:pPr>
      <w:r w:rsidRPr="00D05271">
        <w:rPr>
          <w:color w:val="000000" w:themeColor="text1"/>
        </w:rPr>
        <w:t>This may take the form of setting up a special working group or committee, and/or hiring external consultants. Areas that may need to be covered include Actuarial, Accounting, Tax, Corporate Governance, Product Development, and Business Administration/Operations.</w:t>
      </w:r>
    </w:p>
    <w:p w14:paraId="691453C3" w14:textId="77777777" w:rsidR="00D05271" w:rsidRDefault="00D05271" w:rsidP="00127CD0">
      <w:pPr>
        <w:spacing w:after="0"/>
        <w:rPr>
          <w:color w:val="000000" w:themeColor="text1"/>
        </w:rPr>
      </w:pPr>
    </w:p>
    <w:p w14:paraId="36C27BE9" w14:textId="77777777" w:rsidR="00127CD0" w:rsidRPr="00D05271" w:rsidRDefault="00127CD0" w:rsidP="00127CD0">
      <w:pPr>
        <w:spacing w:after="0"/>
        <w:rPr>
          <w:b/>
          <w:color w:val="000000" w:themeColor="text1"/>
        </w:rPr>
      </w:pPr>
      <w:r w:rsidRPr="00D05271">
        <w:rPr>
          <w:b/>
          <w:color w:val="000000" w:themeColor="text1"/>
        </w:rPr>
        <w:t>Other issues</w:t>
      </w:r>
    </w:p>
    <w:p w14:paraId="16DAAF47" w14:textId="16DF7F0E" w:rsidR="00127CD0" w:rsidRPr="00D05271" w:rsidRDefault="00127CD0" w:rsidP="00B3196A">
      <w:pPr>
        <w:pStyle w:val="ListParagraph"/>
        <w:numPr>
          <w:ilvl w:val="0"/>
          <w:numId w:val="17"/>
        </w:numPr>
        <w:spacing w:after="0"/>
        <w:rPr>
          <w:color w:val="000000" w:themeColor="text1"/>
        </w:rPr>
      </w:pPr>
      <w:r w:rsidRPr="00D05271">
        <w:rPr>
          <w:color w:val="C00000"/>
        </w:rPr>
        <w:lastRenderedPageBreak/>
        <w:t xml:space="preserve">Reinsurance </w:t>
      </w:r>
      <w:r w:rsidRPr="00D05271">
        <w:rPr>
          <w:color w:val="000000" w:themeColor="text1"/>
        </w:rPr>
        <w:t>– The non-participating business may have reinsurance arrangements</w:t>
      </w:r>
      <w:r w:rsidRPr="00D05271">
        <w:rPr>
          <w:color w:val="000000" w:themeColor="text1"/>
        </w:rPr>
        <w:t xml:space="preserve"> </w:t>
      </w:r>
      <w:r w:rsidRPr="00D05271">
        <w:rPr>
          <w:color w:val="000000" w:themeColor="text1"/>
        </w:rPr>
        <w:t>whereas the participating business may not. Need to check whether recoveries can be claims for th</w:t>
      </w:r>
      <w:r w:rsidR="00D05271">
        <w:rPr>
          <w:color w:val="000000" w:themeColor="text1"/>
        </w:rPr>
        <w:t>ese claims from the reinsurer.</w:t>
      </w:r>
    </w:p>
    <w:p w14:paraId="5E82E6F8" w14:textId="0D823AB3" w:rsidR="00127CD0" w:rsidRPr="00D05271" w:rsidRDefault="00127CD0" w:rsidP="00B3196A">
      <w:pPr>
        <w:pStyle w:val="ListParagraph"/>
        <w:numPr>
          <w:ilvl w:val="0"/>
          <w:numId w:val="17"/>
        </w:numPr>
        <w:spacing w:after="0"/>
        <w:rPr>
          <w:color w:val="000000" w:themeColor="text1"/>
        </w:rPr>
      </w:pPr>
      <w:r w:rsidRPr="00D05271">
        <w:rPr>
          <w:color w:val="C00000"/>
        </w:rPr>
        <w:t xml:space="preserve">Capital </w:t>
      </w:r>
      <w:r w:rsidRPr="00D05271">
        <w:rPr>
          <w:color w:val="000000" w:themeColor="text1"/>
        </w:rPr>
        <w:t>– Need to consider the Capital implications of the correction to this error – in particular the restatement of the policy liabilities and additional bonuses paid wi</w:t>
      </w:r>
      <w:r w:rsidR="00D05271">
        <w:rPr>
          <w:color w:val="000000" w:themeColor="text1"/>
        </w:rPr>
        <w:t>ll impact the Capital position.</w:t>
      </w:r>
    </w:p>
    <w:p w14:paraId="34F24FCC" w14:textId="304ED8D6" w:rsidR="00127CD0" w:rsidRPr="00D05271" w:rsidRDefault="00127CD0" w:rsidP="00B3196A">
      <w:pPr>
        <w:pStyle w:val="ListParagraph"/>
        <w:numPr>
          <w:ilvl w:val="0"/>
          <w:numId w:val="17"/>
        </w:numPr>
        <w:spacing w:after="0"/>
        <w:rPr>
          <w:b/>
          <w:color w:val="000000" w:themeColor="text1"/>
        </w:rPr>
      </w:pPr>
      <w:r w:rsidRPr="00D05271">
        <w:rPr>
          <w:color w:val="C00000"/>
        </w:rPr>
        <w:t xml:space="preserve">APRA </w:t>
      </w:r>
      <w:r w:rsidRPr="00D05271">
        <w:rPr>
          <w:color w:val="000000" w:themeColor="text1"/>
        </w:rPr>
        <w:t>– May be necess</w:t>
      </w:r>
      <w:r w:rsidR="00D05271" w:rsidRPr="00D05271">
        <w:rPr>
          <w:color w:val="000000" w:themeColor="text1"/>
        </w:rPr>
        <w:t>ary to advise APRA of the error</w:t>
      </w:r>
      <w:r w:rsidR="00D05271">
        <w:rPr>
          <w:color w:val="000000" w:themeColor="text1"/>
        </w:rPr>
        <w:t>.</w:t>
      </w:r>
    </w:p>
    <w:p w14:paraId="5BE161B5" w14:textId="77777777" w:rsidR="00D05271" w:rsidRDefault="00D05271" w:rsidP="00127CD0">
      <w:pPr>
        <w:spacing w:after="0"/>
        <w:rPr>
          <w:b/>
          <w:color w:val="000000" w:themeColor="text1"/>
        </w:rPr>
      </w:pPr>
    </w:p>
    <w:p w14:paraId="5FF43ADC" w14:textId="77777777" w:rsidR="00127CD0" w:rsidRPr="00127CD0" w:rsidRDefault="00127CD0" w:rsidP="00127CD0">
      <w:pPr>
        <w:spacing w:after="0"/>
        <w:rPr>
          <w:b/>
          <w:color w:val="000000" w:themeColor="text1"/>
        </w:rPr>
      </w:pPr>
      <w:r w:rsidRPr="00127CD0">
        <w:rPr>
          <w:b/>
          <w:color w:val="000000" w:themeColor="text1"/>
        </w:rPr>
        <w:t>Conclusion</w:t>
      </w:r>
    </w:p>
    <w:p w14:paraId="555C3013" w14:textId="3782EE07" w:rsidR="00127CD0" w:rsidRPr="00F41E5F" w:rsidRDefault="00127CD0" w:rsidP="00127CD0">
      <w:pPr>
        <w:spacing w:after="0"/>
        <w:rPr>
          <w:color w:val="000000" w:themeColor="text1"/>
        </w:rPr>
      </w:pPr>
      <w:r w:rsidRPr="00127CD0">
        <w:rPr>
          <w:color w:val="000000" w:themeColor="text1"/>
        </w:rPr>
        <w:t>The error in claims data has resulted in a number of significant and numerous ramifications, from the statutory to the strategic. As such, it is critical that Parloss remediates the issues as soon as possible and improves the management of risks in these areas. The remediation may also present some strategic opportunities, in particular with respect to the potentially improved competitiveness of the participating portfolio.</w:t>
      </w:r>
    </w:p>
    <w:sectPr w:rsidR="00127CD0" w:rsidRPr="00F41E5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C6A10" w14:textId="77777777" w:rsidR="00B3196A" w:rsidRDefault="00B3196A" w:rsidP="00565DE9">
      <w:pPr>
        <w:spacing w:after="0" w:line="240" w:lineRule="auto"/>
      </w:pPr>
      <w:r>
        <w:separator/>
      </w:r>
    </w:p>
  </w:endnote>
  <w:endnote w:type="continuationSeparator" w:id="0">
    <w:p w14:paraId="3061FEB6" w14:textId="77777777" w:rsidR="00B3196A" w:rsidRDefault="00B3196A"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2FEE3" w14:textId="77777777" w:rsidR="00B3196A" w:rsidRDefault="00B3196A" w:rsidP="00565DE9">
      <w:pPr>
        <w:spacing w:after="0" w:line="240" w:lineRule="auto"/>
      </w:pPr>
      <w:r>
        <w:separator/>
      </w:r>
    </w:p>
  </w:footnote>
  <w:footnote w:type="continuationSeparator" w:id="0">
    <w:p w14:paraId="7EE42619" w14:textId="77777777" w:rsidR="00B3196A" w:rsidRDefault="00B3196A" w:rsidP="0056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6092"/>
    <w:multiLevelType w:val="hybridMultilevel"/>
    <w:tmpl w:val="FC6A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10DF1"/>
    <w:multiLevelType w:val="hybridMultilevel"/>
    <w:tmpl w:val="1AF0C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049EC"/>
    <w:multiLevelType w:val="hybridMultilevel"/>
    <w:tmpl w:val="3A96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90E1E"/>
    <w:multiLevelType w:val="hybridMultilevel"/>
    <w:tmpl w:val="6A4A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673CA"/>
    <w:multiLevelType w:val="hybridMultilevel"/>
    <w:tmpl w:val="C334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12C6F"/>
    <w:multiLevelType w:val="hybridMultilevel"/>
    <w:tmpl w:val="920A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40BC6"/>
    <w:multiLevelType w:val="hybridMultilevel"/>
    <w:tmpl w:val="D902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11E44"/>
    <w:multiLevelType w:val="hybridMultilevel"/>
    <w:tmpl w:val="1074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A6239"/>
    <w:multiLevelType w:val="hybridMultilevel"/>
    <w:tmpl w:val="0050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9E3C4A"/>
    <w:multiLevelType w:val="hybridMultilevel"/>
    <w:tmpl w:val="36C6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CE6E5B"/>
    <w:multiLevelType w:val="hybridMultilevel"/>
    <w:tmpl w:val="D610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D2D56"/>
    <w:multiLevelType w:val="hybridMultilevel"/>
    <w:tmpl w:val="DB2E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8B4044"/>
    <w:multiLevelType w:val="hybridMultilevel"/>
    <w:tmpl w:val="724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1B4D19"/>
    <w:multiLevelType w:val="hybridMultilevel"/>
    <w:tmpl w:val="ED8C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61FB1"/>
    <w:multiLevelType w:val="hybridMultilevel"/>
    <w:tmpl w:val="DE2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464661"/>
    <w:multiLevelType w:val="hybridMultilevel"/>
    <w:tmpl w:val="C4464CB2"/>
    <w:lvl w:ilvl="0" w:tplc="04090001">
      <w:start w:val="1"/>
      <w:numFmt w:val="bullet"/>
      <w:lvlText w:val=""/>
      <w:lvlJc w:val="left"/>
      <w:pPr>
        <w:ind w:left="720" w:hanging="360"/>
      </w:pPr>
      <w:rPr>
        <w:rFonts w:ascii="Symbol" w:hAnsi="Symbol" w:hint="default"/>
      </w:rPr>
    </w:lvl>
    <w:lvl w:ilvl="1" w:tplc="B4387148">
      <w:start w:val="3"/>
      <w:numFmt w:val="bullet"/>
      <w:lvlText w:val="•"/>
      <w:lvlJc w:val="left"/>
      <w:pPr>
        <w:ind w:left="1440" w:hanging="360"/>
      </w:pPr>
      <w:rPr>
        <w:rFonts w:ascii="宋体" w:eastAsia="宋体" w:hAnsi="宋体"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8353BC"/>
    <w:multiLevelType w:val="hybridMultilevel"/>
    <w:tmpl w:val="4FBE7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712267"/>
    <w:multiLevelType w:val="hybridMultilevel"/>
    <w:tmpl w:val="FFA0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6"/>
  </w:num>
  <w:num w:numId="4">
    <w:abstractNumId w:val="1"/>
  </w:num>
  <w:num w:numId="5">
    <w:abstractNumId w:val="14"/>
  </w:num>
  <w:num w:numId="6">
    <w:abstractNumId w:val="8"/>
  </w:num>
  <w:num w:numId="7">
    <w:abstractNumId w:val="9"/>
  </w:num>
  <w:num w:numId="8">
    <w:abstractNumId w:val="13"/>
  </w:num>
  <w:num w:numId="9">
    <w:abstractNumId w:val="3"/>
  </w:num>
  <w:num w:numId="10">
    <w:abstractNumId w:val="6"/>
  </w:num>
  <w:num w:numId="11">
    <w:abstractNumId w:val="2"/>
  </w:num>
  <w:num w:numId="12">
    <w:abstractNumId w:val="17"/>
  </w:num>
  <w:num w:numId="13">
    <w:abstractNumId w:val="12"/>
  </w:num>
  <w:num w:numId="14">
    <w:abstractNumId w:val="5"/>
  </w:num>
  <w:num w:numId="15">
    <w:abstractNumId w:val="7"/>
  </w:num>
  <w:num w:numId="16">
    <w:abstractNumId w:val="0"/>
  </w:num>
  <w:num w:numId="17">
    <w:abstractNumId w:val="11"/>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0747"/>
    <w:rsid w:val="000020A8"/>
    <w:rsid w:val="00002E6C"/>
    <w:rsid w:val="00003053"/>
    <w:rsid w:val="00011056"/>
    <w:rsid w:val="00012792"/>
    <w:rsid w:val="00012C43"/>
    <w:rsid w:val="000131AB"/>
    <w:rsid w:val="00014A11"/>
    <w:rsid w:val="000167FC"/>
    <w:rsid w:val="00016D97"/>
    <w:rsid w:val="00020D17"/>
    <w:rsid w:val="00021598"/>
    <w:rsid w:val="000224A3"/>
    <w:rsid w:val="000224D6"/>
    <w:rsid w:val="00022A6F"/>
    <w:rsid w:val="000249E2"/>
    <w:rsid w:val="00025BF7"/>
    <w:rsid w:val="00026F9E"/>
    <w:rsid w:val="000270E7"/>
    <w:rsid w:val="0003016D"/>
    <w:rsid w:val="00030932"/>
    <w:rsid w:val="000310A4"/>
    <w:rsid w:val="00031B92"/>
    <w:rsid w:val="00031F6C"/>
    <w:rsid w:val="00034C5F"/>
    <w:rsid w:val="00035492"/>
    <w:rsid w:val="00035A51"/>
    <w:rsid w:val="00035E24"/>
    <w:rsid w:val="00035E50"/>
    <w:rsid w:val="00042A3B"/>
    <w:rsid w:val="00042CAA"/>
    <w:rsid w:val="00044B71"/>
    <w:rsid w:val="00045CCD"/>
    <w:rsid w:val="0005178A"/>
    <w:rsid w:val="00051D92"/>
    <w:rsid w:val="00051EDA"/>
    <w:rsid w:val="00052A09"/>
    <w:rsid w:val="00053328"/>
    <w:rsid w:val="00053DAB"/>
    <w:rsid w:val="00054186"/>
    <w:rsid w:val="000553A4"/>
    <w:rsid w:val="00055D2F"/>
    <w:rsid w:val="000572AF"/>
    <w:rsid w:val="000579D9"/>
    <w:rsid w:val="00061E9E"/>
    <w:rsid w:val="000620A3"/>
    <w:rsid w:val="00062C98"/>
    <w:rsid w:val="00062ECC"/>
    <w:rsid w:val="0006510B"/>
    <w:rsid w:val="00065C37"/>
    <w:rsid w:val="0006735F"/>
    <w:rsid w:val="000710F8"/>
    <w:rsid w:val="0007159A"/>
    <w:rsid w:val="00071C28"/>
    <w:rsid w:val="00074012"/>
    <w:rsid w:val="000740CC"/>
    <w:rsid w:val="00074B05"/>
    <w:rsid w:val="000760DF"/>
    <w:rsid w:val="000764FF"/>
    <w:rsid w:val="0007699A"/>
    <w:rsid w:val="00077E88"/>
    <w:rsid w:val="000807BE"/>
    <w:rsid w:val="00080DFA"/>
    <w:rsid w:val="000811EB"/>
    <w:rsid w:val="00083E3D"/>
    <w:rsid w:val="000874FD"/>
    <w:rsid w:val="00092372"/>
    <w:rsid w:val="00093A90"/>
    <w:rsid w:val="00093F69"/>
    <w:rsid w:val="00094261"/>
    <w:rsid w:val="000963F9"/>
    <w:rsid w:val="000969FC"/>
    <w:rsid w:val="00096FD3"/>
    <w:rsid w:val="000971FB"/>
    <w:rsid w:val="000A10CF"/>
    <w:rsid w:val="000A1F46"/>
    <w:rsid w:val="000A3AD5"/>
    <w:rsid w:val="000A3B26"/>
    <w:rsid w:val="000A6E4E"/>
    <w:rsid w:val="000A6EFF"/>
    <w:rsid w:val="000A7AC2"/>
    <w:rsid w:val="000B22C7"/>
    <w:rsid w:val="000B252A"/>
    <w:rsid w:val="000B6580"/>
    <w:rsid w:val="000B7552"/>
    <w:rsid w:val="000B7850"/>
    <w:rsid w:val="000C0255"/>
    <w:rsid w:val="000C0D3D"/>
    <w:rsid w:val="000C2BA8"/>
    <w:rsid w:val="000C377D"/>
    <w:rsid w:val="000C3886"/>
    <w:rsid w:val="000C4B35"/>
    <w:rsid w:val="000C6222"/>
    <w:rsid w:val="000C764C"/>
    <w:rsid w:val="000D0132"/>
    <w:rsid w:val="000D1349"/>
    <w:rsid w:val="000D23C3"/>
    <w:rsid w:val="000D2B62"/>
    <w:rsid w:val="000D33CA"/>
    <w:rsid w:val="000D4C8D"/>
    <w:rsid w:val="000D4DE0"/>
    <w:rsid w:val="000D4E30"/>
    <w:rsid w:val="000D5226"/>
    <w:rsid w:val="000D5C83"/>
    <w:rsid w:val="000D650E"/>
    <w:rsid w:val="000D66EA"/>
    <w:rsid w:val="000D6D93"/>
    <w:rsid w:val="000E00D1"/>
    <w:rsid w:val="000E1930"/>
    <w:rsid w:val="000E3D0C"/>
    <w:rsid w:val="000E470E"/>
    <w:rsid w:val="000E57DE"/>
    <w:rsid w:val="000E59D7"/>
    <w:rsid w:val="000F04CC"/>
    <w:rsid w:val="000F1189"/>
    <w:rsid w:val="000F1F68"/>
    <w:rsid w:val="000F2BD7"/>
    <w:rsid w:val="000F359F"/>
    <w:rsid w:val="000F521F"/>
    <w:rsid w:val="000F6A44"/>
    <w:rsid w:val="000F743E"/>
    <w:rsid w:val="000F79E7"/>
    <w:rsid w:val="00100D63"/>
    <w:rsid w:val="0010141C"/>
    <w:rsid w:val="00102728"/>
    <w:rsid w:val="00103C6A"/>
    <w:rsid w:val="00104EF8"/>
    <w:rsid w:val="001055FA"/>
    <w:rsid w:val="00106A8A"/>
    <w:rsid w:val="00107E2A"/>
    <w:rsid w:val="0011313D"/>
    <w:rsid w:val="00113F8B"/>
    <w:rsid w:val="00114361"/>
    <w:rsid w:val="001143DD"/>
    <w:rsid w:val="00114C7E"/>
    <w:rsid w:val="001151FD"/>
    <w:rsid w:val="0011556F"/>
    <w:rsid w:val="00115583"/>
    <w:rsid w:val="00117411"/>
    <w:rsid w:val="001176D2"/>
    <w:rsid w:val="0012171E"/>
    <w:rsid w:val="00121D93"/>
    <w:rsid w:val="0012358B"/>
    <w:rsid w:val="00123FFB"/>
    <w:rsid w:val="00124601"/>
    <w:rsid w:val="0012521F"/>
    <w:rsid w:val="00125320"/>
    <w:rsid w:val="00125440"/>
    <w:rsid w:val="00125723"/>
    <w:rsid w:val="00125E00"/>
    <w:rsid w:val="00126652"/>
    <w:rsid w:val="0012693E"/>
    <w:rsid w:val="00126A01"/>
    <w:rsid w:val="00127CD0"/>
    <w:rsid w:val="00130283"/>
    <w:rsid w:val="001302A7"/>
    <w:rsid w:val="00131CD1"/>
    <w:rsid w:val="00132A6F"/>
    <w:rsid w:val="001366F3"/>
    <w:rsid w:val="00137C86"/>
    <w:rsid w:val="00137E1E"/>
    <w:rsid w:val="001424FA"/>
    <w:rsid w:val="00142945"/>
    <w:rsid w:val="001430CE"/>
    <w:rsid w:val="00143429"/>
    <w:rsid w:val="00144C98"/>
    <w:rsid w:val="00145332"/>
    <w:rsid w:val="00146811"/>
    <w:rsid w:val="00151769"/>
    <w:rsid w:val="00151E84"/>
    <w:rsid w:val="00152031"/>
    <w:rsid w:val="00155049"/>
    <w:rsid w:val="001555AB"/>
    <w:rsid w:val="001555D0"/>
    <w:rsid w:val="00156131"/>
    <w:rsid w:val="00160B31"/>
    <w:rsid w:val="00161061"/>
    <w:rsid w:val="00161174"/>
    <w:rsid w:val="001623E2"/>
    <w:rsid w:val="00162975"/>
    <w:rsid w:val="00163CB0"/>
    <w:rsid w:val="001645F1"/>
    <w:rsid w:val="001646F0"/>
    <w:rsid w:val="00164A64"/>
    <w:rsid w:val="0016576F"/>
    <w:rsid w:val="00165977"/>
    <w:rsid w:val="00165AC8"/>
    <w:rsid w:val="00166577"/>
    <w:rsid w:val="001669A0"/>
    <w:rsid w:val="00167390"/>
    <w:rsid w:val="0016779A"/>
    <w:rsid w:val="00167844"/>
    <w:rsid w:val="00174DF7"/>
    <w:rsid w:val="00181984"/>
    <w:rsid w:val="00182934"/>
    <w:rsid w:val="00183218"/>
    <w:rsid w:val="0018339E"/>
    <w:rsid w:val="00183A4C"/>
    <w:rsid w:val="0018457F"/>
    <w:rsid w:val="00184833"/>
    <w:rsid w:val="001853A5"/>
    <w:rsid w:val="001860DE"/>
    <w:rsid w:val="001868AA"/>
    <w:rsid w:val="0018718B"/>
    <w:rsid w:val="00192E4A"/>
    <w:rsid w:val="00193607"/>
    <w:rsid w:val="001937FE"/>
    <w:rsid w:val="001954ED"/>
    <w:rsid w:val="00195F3F"/>
    <w:rsid w:val="001965F7"/>
    <w:rsid w:val="001969E8"/>
    <w:rsid w:val="00197244"/>
    <w:rsid w:val="0019724F"/>
    <w:rsid w:val="001A04B2"/>
    <w:rsid w:val="001A23D6"/>
    <w:rsid w:val="001A2DB2"/>
    <w:rsid w:val="001A353B"/>
    <w:rsid w:val="001A3953"/>
    <w:rsid w:val="001A47A8"/>
    <w:rsid w:val="001A4F0F"/>
    <w:rsid w:val="001A50D4"/>
    <w:rsid w:val="001A61C7"/>
    <w:rsid w:val="001A64EE"/>
    <w:rsid w:val="001A763A"/>
    <w:rsid w:val="001A7B2B"/>
    <w:rsid w:val="001B0C5B"/>
    <w:rsid w:val="001B0F52"/>
    <w:rsid w:val="001B1A96"/>
    <w:rsid w:val="001B2676"/>
    <w:rsid w:val="001B2ECF"/>
    <w:rsid w:val="001B3E3F"/>
    <w:rsid w:val="001B4897"/>
    <w:rsid w:val="001B499D"/>
    <w:rsid w:val="001B565E"/>
    <w:rsid w:val="001B577B"/>
    <w:rsid w:val="001B6301"/>
    <w:rsid w:val="001B6A08"/>
    <w:rsid w:val="001B728F"/>
    <w:rsid w:val="001C1DCE"/>
    <w:rsid w:val="001C2AEB"/>
    <w:rsid w:val="001C2D28"/>
    <w:rsid w:val="001C3817"/>
    <w:rsid w:val="001C3970"/>
    <w:rsid w:val="001C3BB4"/>
    <w:rsid w:val="001C431D"/>
    <w:rsid w:val="001C5785"/>
    <w:rsid w:val="001C70ED"/>
    <w:rsid w:val="001C7E5F"/>
    <w:rsid w:val="001D03A8"/>
    <w:rsid w:val="001D07F5"/>
    <w:rsid w:val="001D1585"/>
    <w:rsid w:val="001D1B4F"/>
    <w:rsid w:val="001D2026"/>
    <w:rsid w:val="001D202D"/>
    <w:rsid w:val="001D254D"/>
    <w:rsid w:val="001D3ED2"/>
    <w:rsid w:val="001D6177"/>
    <w:rsid w:val="001D6BB4"/>
    <w:rsid w:val="001D7E4B"/>
    <w:rsid w:val="001D7F2B"/>
    <w:rsid w:val="001E0983"/>
    <w:rsid w:val="001E1952"/>
    <w:rsid w:val="001E1C07"/>
    <w:rsid w:val="001E2478"/>
    <w:rsid w:val="001E3343"/>
    <w:rsid w:val="001E35BE"/>
    <w:rsid w:val="001E62D4"/>
    <w:rsid w:val="001E68A5"/>
    <w:rsid w:val="001E7415"/>
    <w:rsid w:val="001E76EA"/>
    <w:rsid w:val="001F0735"/>
    <w:rsid w:val="001F166C"/>
    <w:rsid w:val="001F3104"/>
    <w:rsid w:val="001F3534"/>
    <w:rsid w:val="001F3AF4"/>
    <w:rsid w:val="001F5857"/>
    <w:rsid w:val="001F5FAA"/>
    <w:rsid w:val="0020062E"/>
    <w:rsid w:val="0020099A"/>
    <w:rsid w:val="00200EF6"/>
    <w:rsid w:val="0020167B"/>
    <w:rsid w:val="00202B25"/>
    <w:rsid w:val="00203C9A"/>
    <w:rsid w:val="0020429F"/>
    <w:rsid w:val="002043A9"/>
    <w:rsid w:val="00204C32"/>
    <w:rsid w:val="00205626"/>
    <w:rsid w:val="002062EB"/>
    <w:rsid w:val="00206D5C"/>
    <w:rsid w:val="002104EE"/>
    <w:rsid w:val="00210721"/>
    <w:rsid w:val="002116E8"/>
    <w:rsid w:val="00211E15"/>
    <w:rsid w:val="00212EBF"/>
    <w:rsid w:val="002149B4"/>
    <w:rsid w:val="00216AA6"/>
    <w:rsid w:val="0022000A"/>
    <w:rsid w:val="00223A40"/>
    <w:rsid w:val="002250E8"/>
    <w:rsid w:val="00225353"/>
    <w:rsid w:val="002273AB"/>
    <w:rsid w:val="0022775E"/>
    <w:rsid w:val="002308C2"/>
    <w:rsid w:val="00230B1C"/>
    <w:rsid w:val="002320A5"/>
    <w:rsid w:val="00232610"/>
    <w:rsid w:val="00232D90"/>
    <w:rsid w:val="00233651"/>
    <w:rsid w:val="0023370D"/>
    <w:rsid w:val="0023416A"/>
    <w:rsid w:val="002345F8"/>
    <w:rsid w:val="0023603E"/>
    <w:rsid w:val="0023744B"/>
    <w:rsid w:val="0023749D"/>
    <w:rsid w:val="00237E46"/>
    <w:rsid w:val="00240A14"/>
    <w:rsid w:val="00240B2A"/>
    <w:rsid w:val="00241064"/>
    <w:rsid w:val="00241276"/>
    <w:rsid w:val="00241D14"/>
    <w:rsid w:val="00245381"/>
    <w:rsid w:val="00245E38"/>
    <w:rsid w:val="0025036C"/>
    <w:rsid w:val="0025122F"/>
    <w:rsid w:val="0025148E"/>
    <w:rsid w:val="0025157E"/>
    <w:rsid w:val="00252194"/>
    <w:rsid w:val="00252396"/>
    <w:rsid w:val="00253C23"/>
    <w:rsid w:val="0025443A"/>
    <w:rsid w:val="00255392"/>
    <w:rsid w:val="00255B1D"/>
    <w:rsid w:val="00256F14"/>
    <w:rsid w:val="00260426"/>
    <w:rsid w:val="002604DB"/>
    <w:rsid w:val="00260E3B"/>
    <w:rsid w:val="002614B2"/>
    <w:rsid w:val="00263501"/>
    <w:rsid w:val="0026474F"/>
    <w:rsid w:val="00265DCA"/>
    <w:rsid w:val="00267843"/>
    <w:rsid w:val="0026793B"/>
    <w:rsid w:val="00270102"/>
    <w:rsid w:val="002706F0"/>
    <w:rsid w:val="00270E93"/>
    <w:rsid w:val="0027219A"/>
    <w:rsid w:val="0027336D"/>
    <w:rsid w:val="00273A4D"/>
    <w:rsid w:val="002752B2"/>
    <w:rsid w:val="00277354"/>
    <w:rsid w:val="002776D0"/>
    <w:rsid w:val="002803D9"/>
    <w:rsid w:val="002811C1"/>
    <w:rsid w:val="00283B72"/>
    <w:rsid w:val="00285541"/>
    <w:rsid w:val="00285AEE"/>
    <w:rsid w:val="00285E46"/>
    <w:rsid w:val="00286771"/>
    <w:rsid w:val="00294AC2"/>
    <w:rsid w:val="00295ACD"/>
    <w:rsid w:val="002976E9"/>
    <w:rsid w:val="00297D92"/>
    <w:rsid w:val="002A284E"/>
    <w:rsid w:val="002A29D6"/>
    <w:rsid w:val="002A3312"/>
    <w:rsid w:val="002A3E82"/>
    <w:rsid w:val="002A539B"/>
    <w:rsid w:val="002A5657"/>
    <w:rsid w:val="002A5A05"/>
    <w:rsid w:val="002A61FF"/>
    <w:rsid w:val="002A7EDB"/>
    <w:rsid w:val="002B12E0"/>
    <w:rsid w:val="002B30A2"/>
    <w:rsid w:val="002B4130"/>
    <w:rsid w:val="002B4A75"/>
    <w:rsid w:val="002B5FDD"/>
    <w:rsid w:val="002B6957"/>
    <w:rsid w:val="002B708D"/>
    <w:rsid w:val="002B7865"/>
    <w:rsid w:val="002B793E"/>
    <w:rsid w:val="002B7C04"/>
    <w:rsid w:val="002C003E"/>
    <w:rsid w:val="002C3A6E"/>
    <w:rsid w:val="002C3CEB"/>
    <w:rsid w:val="002C6C6F"/>
    <w:rsid w:val="002C75B8"/>
    <w:rsid w:val="002C7758"/>
    <w:rsid w:val="002C7C0A"/>
    <w:rsid w:val="002D0518"/>
    <w:rsid w:val="002D4053"/>
    <w:rsid w:val="002D4973"/>
    <w:rsid w:val="002D5C09"/>
    <w:rsid w:val="002D7A68"/>
    <w:rsid w:val="002E0D14"/>
    <w:rsid w:val="002E2A09"/>
    <w:rsid w:val="002E3E47"/>
    <w:rsid w:val="002E555A"/>
    <w:rsid w:val="002E5653"/>
    <w:rsid w:val="002E5DCA"/>
    <w:rsid w:val="002E71A5"/>
    <w:rsid w:val="002E74B3"/>
    <w:rsid w:val="002F0125"/>
    <w:rsid w:val="002F0574"/>
    <w:rsid w:val="002F0765"/>
    <w:rsid w:val="002F0F2B"/>
    <w:rsid w:val="002F1A67"/>
    <w:rsid w:val="002F2224"/>
    <w:rsid w:val="002F2ACB"/>
    <w:rsid w:val="002F3824"/>
    <w:rsid w:val="002F39CE"/>
    <w:rsid w:val="002F6336"/>
    <w:rsid w:val="002F64F3"/>
    <w:rsid w:val="002F67AD"/>
    <w:rsid w:val="002F6FA6"/>
    <w:rsid w:val="00300BCE"/>
    <w:rsid w:val="00300E35"/>
    <w:rsid w:val="00300E4D"/>
    <w:rsid w:val="00301199"/>
    <w:rsid w:val="00302CE8"/>
    <w:rsid w:val="0030363D"/>
    <w:rsid w:val="00303AA3"/>
    <w:rsid w:val="003054FB"/>
    <w:rsid w:val="00305C75"/>
    <w:rsid w:val="00306809"/>
    <w:rsid w:val="00311251"/>
    <w:rsid w:val="003138A6"/>
    <w:rsid w:val="00313DC2"/>
    <w:rsid w:val="00314844"/>
    <w:rsid w:val="003154D6"/>
    <w:rsid w:val="00316AE0"/>
    <w:rsid w:val="0032131E"/>
    <w:rsid w:val="003217FD"/>
    <w:rsid w:val="00322412"/>
    <w:rsid w:val="0032344D"/>
    <w:rsid w:val="003238E3"/>
    <w:rsid w:val="00330FF9"/>
    <w:rsid w:val="00333F8C"/>
    <w:rsid w:val="00336530"/>
    <w:rsid w:val="00340AD8"/>
    <w:rsid w:val="00341485"/>
    <w:rsid w:val="003417A1"/>
    <w:rsid w:val="00342BA5"/>
    <w:rsid w:val="00343825"/>
    <w:rsid w:val="003442C9"/>
    <w:rsid w:val="0034584F"/>
    <w:rsid w:val="0034639C"/>
    <w:rsid w:val="00347E62"/>
    <w:rsid w:val="00350563"/>
    <w:rsid w:val="003509C1"/>
    <w:rsid w:val="00350D21"/>
    <w:rsid w:val="0035640B"/>
    <w:rsid w:val="00356CD0"/>
    <w:rsid w:val="00356E53"/>
    <w:rsid w:val="0035712B"/>
    <w:rsid w:val="003616C4"/>
    <w:rsid w:val="00361D14"/>
    <w:rsid w:val="0036275C"/>
    <w:rsid w:val="0036317B"/>
    <w:rsid w:val="003633A7"/>
    <w:rsid w:val="00363497"/>
    <w:rsid w:val="00365CD8"/>
    <w:rsid w:val="00365DEB"/>
    <w:rsid w:val="003672D0"/>
    <w:rsid w:val="00372E6A"/>
    <w:rsid w:val="003737C6"/>
    <w:rsid w:val="00373B2F"/>
    <w:rsid w:val="00375170"/>
    <w:rsid w:val="003767E0"/>
    <w:rsid w:val="00377C13"/>
    <w:rsid w:val="00383001"/>
    <w:rsid w:val="00384D92"/>
    <w:rsid w:val="003850E0"/>
    <w:rsid w:val="00386976"/>
    <w:rsid w:val="00387E54"/>
    <w:rsid w:val="00387E57"/>
    <w:rsid w:val="00391137"/>
    <w:rsid w:val="00391B69"/>
    <w:rsid w:val="00391FDB"/>
    <w:rsid w:val="003948D9"/>
    <w:rsid w:val="0039544F"/>
    <w:rsid w:val="003A0573"/>
    <w:rsid w:val="003A0EA0"/>
    <w:rsid w:val="003A2B67"/>
    <w:rsid w:val="003A2CB2"/>
    <w:rsid w:val="003A4E46"/>
    <w:rsid w:val="003A64FB"/>
    <w:rsid w:val="003A7392"/>
    <w:rsid w:val="003A7B6B"/>
    <w:rsid w:val="003B1E79"/>
    <w:rsid w:val="003B2AB2"/>
    <w:rsid w:val="003B2B65"/>
    <w:rsid w:val="003B2C88"/>
    <w:rsid w:val="003B3917"/>
    <w:rsid w:val="003B46C9"/>
    <w:rsid w:val="003B5029"/>
    <w:rsid w:val="003B5271"/>
    <w:rsid w:val="003B6D43"/>
    <w:rsid w:val="003B728B"/>
    <w:rsid w:val="003B75AA"/>
    <w:rsid w:val="003C1E30"/>
    <w:rsid w:val="003C29B3"/>
    <w:rsid w:val="003C4709"/>
    <w:rsid w:val="003C658D"/>
    <w:rsid w:val="003C716E"/>
    <w:rsid w:val="003D0897"/>
    <w:rsid w:val="003D0B82"/>
    <w:rsid w:val="003D1591"/>
    <w:rsid w:val="003D23D7"/>
    <w:rsid w:val="003D2C33"/>
    <w:rsid w:val="003D56FB"/>
    <w:rsid w:val="003D5AC5"/>
    <w:rsid w:val="003D5B18"/>
    <w:rsid w:val="003D77D3"/>
    <w:rsid w:val="003E2B38"/>
    <w:rsid w:val="003E3017"/>
    <w:rsid w:val="003E3A7F"/>
    <w:rsid w:val="003E4C85"/>
    <w:rsid w:val="003E52AF"/>
    <w:rsid w:val="003E6C36"/>
    <w:rsid w:val="003E6CC9"/>
    <w:rsid w:val="003E7257"/>
    <w:rsid w:val="003F1A08"/>
    <w:rsid w:val="003F1FBB"/>
    <w:rsid w:val="003F2271"/>
    <w:rsid w:val="003F262D"/>
    <w:rsid w:val="003F4019"/>
    <w:rsid w:val="003F40BE"/>
    <w:rsid w:val="003F51CF"/>
    <w:rsid w:val="003F6069"/>
    <w:rsid w:val="003F64B9"/>
    <w:rsid w:val="003F6CD6"/>
    <w:rsid w:val="003F7675"/>
    <w:rsid w:val="003F77D7"/>
    <w:rsid w:val="004022B3"/>
    <w:rsid w:val="00402D30"/>
    <w:rsid w:val="00403BCB"/>
    <w:rsid w:val="0040568B"/>
    <w:rsid w:val="0040610B"/>
    <w:rsid w:val="004068EA"/>
    <w:rsid w:val="0041091A"/>
    <w:rsid w:val="00412A4D"/>
    <w:rsid w:val="004130AA"/>
    <w:rsid w:val="0041375F"/>
    <w:rsid w:val="00413EDD"/>
    <w:rsid w:val="00415934"/>
    <w:rsid w:val="00415B45"/>
    <w:rsid w:val="00415C42"/>
    <w:rsid w:val="0041643C"/>
    <w:rsid w:val="00417FEB"/>
    <w:rsid w:val="00421560"/>
    <w:rsid w:val="00423588"/>
    <w:rsid w:val="00424FFC"/>
    <w:rsid w:val="0042527B"/>
    <w:rsid w:val="004253BF"/>
    <w:rsid w:val="004259C4"/>
    <w:rsid w:val="00426532"/>
    <w:rsid w:val="0042777A"/>
    <w:rsid w:val="00427961"/>
    <w:rsid w:val="004306F5"/>
    <w:rsid w:val="0043078B"/>
    <w:rsid w:val="00430C6F"/>
    <w:rsid w:val="00432381"/>
    <w:rsid w:val="00434A9C"/>
    <w:rsid w:val="00434FB9"/>
    <w:rsid w:val="00442E59"/>
    <w:rsid w:val="00443018"/>
    <w:rsid w:val="0044321F"/>
    <w:rsid w:val="00443D7E"/>
    <w:rsid w:val="004445EC"/>
    <w:rsid w:val="004456BD"/>
    <w:rsid w:val="00446CCC"/>
    <w:rsid w:val="0045374B"/>
    <w:rsid w:val="004549FD"/>
    <w:rsid w:val="00454EA8"/>
    <w:rsid w:val="00455110"/>
    <w:rsid w:val="00455627"/>
    <w:rsid w:val="00456DD1"/>
    <w:rsid w:val="00461001"/>
    <w:rsid w:val="004619A3"/>
    <w:rsid w:val="00461D21"/>
    <w:rsid w:val="00462BEA"/>
    <w:rsid w:val="00465B41"/>
    <w:rsid w:val="004675CE"/>
    <w:rsid w:val="0046797E"/>
    <w:rsid w:val="004679CF"/>
    <w:rsid w:val="004706ED"/>
    <w:rsid w:val="00471404"/>
    <w:rsid w:val="00473DD7"/>
    <w:rsid w:val="00473DE7"/>
    <w:rsid w:val="00474A33"/>
    <w:rsid w:val="0047681A"/>
    <w:rsid w:val="00476A42"/>
    <w:rsid w:val="00476E75"/>
    <w:rsid w:val="0047718D"/>
    <w:rsid w:val="00480634"/>
    <w:rsid w:val="00480DA5"/>
    <w:rsid w:val="00482E61"/>
    <w:rsid w:val="00484018"/>
    <w:rsid w:val="0048752A"/>
    <w:rsid w:val="00491180"/>
    <w:rsid w:val="00491C40"/>
    <w:rsid w:val="00492A51"/>
    <w:rsid w:val="004931D6"/>
    <w:rsid w:val="00493759"/>
    <w:rsid w:val="00494C0A"/>
    <w:rsid w:val="00495762"/>
    <w:rsid w:val="0049636C"/>
    <w:rsid w:val="00496836"/>
    <w:rsid w:val="0049782C"/>
    <w:rsid w:val="00497FE1"/>
    <w:rsid w:val="004A02F2"/>
    <w:rsid w:val="004A0781"/>
    <w:rsid w:val="004A0BD0"/>
    <w:rsid w:val="004A1FB1"/>
    <w:rsid w:val="004A27A0"/>
    <w:rsid w:val="004A2C8C"/>
    <w:rsid w:val="004A672D"/>
    <w:rsid w:val="004A6941"/>
    <w:rsid w:val="004A6D40"/>
    <w:rsid w:val="004A767E"/>
    <w:rsid w:val="004A7692"/>
    <w:rsid w:val="004B0696"/>
    <w:rsid w:val="004B13DE"/>
    <w:rsid w:val="004B24A7"/>
    <w:rsid w:val="004B4883"/>
    <w:rsid w:val="004B4BAA"/>
    <w:rsid w:val="004B63DE"/>
    <w:rsid w:val="004B6D6D"/>
    <w:rsid w:val="004B77EC"/>
    <w:rsid w:val="004C0844"/>
    <w:rsid w:val="004C090F"/>
    <w:rsid w:val="004C29FA"/>
    <w:rsid w:val="004C351A"/>
    <w:rsid w:val="004C37B7"/>
    <w:rsid w:val="004C3982"/>
    <w:rsid w:val="004C4515"/>
    <w:rsid w:val="004C4ED3"/>
    <w:rsid w:val="004C57C2"/>
    <w:rsid w:val="004C746B"/>
    <w:rsid w:val="004D14F4"/>
    <w:rsid w:val="004D28E9"/>
    <w:rsid w:val="004D2FF6"/>
    <w:rsid w:val="004D54A6"/>
    <w:rsid w:val="004D61E0"/>
    <w:rsid w:val="004E2938"/>
    <w:rsid w:val="004E2E35"/>
    <w:rsid w:val="004E4B61"/>
    <w:rsid w:val="004E6308"/>
    <w:rsid w:val="004E630D"/>
    <w:rsid w:val="004E668A"/>
    <w:rsid w:val="004E7486"/>
    <w:rsid w:val="004F0A76"/>
    <w:rsid w:val="004F107C"/>
    <w:rsid w:val="004F18B8"/>
    <w:rsid w:val="004F1D32"/>
    <w:rsid w:val="004F2A73"/>
    <w:rsid w:val="004F529E"/>
    <w:rsid w:val="004F5463"/>
    <w:rsid w:val="004F5D6C"/>
    <w:rsid w:val="004F6977"/>
    <w:rsid w:val="00500B5F"/>
    <w:rsid w:val="00500BD5"/>
    <w:rsid w:val="00501811"/>
    <w:rsid w:val="00502B26"/>
    <w:rsid w:val="00502D9E"/>
    <w:rsid w:val="005061C5"/>
    <w:rsid w:val="005062FC"/>
    <w:rsid w:val="00506DEC"/>
    <w:rsid w:val="00507441"/>
    <w:rsid w:val="005104D2"/>
    <w:rsid w:val="00511815"/>
    <w:rsid w:val="00511E9C"/>
    <w:rsid w:val="005165B5"/>
    <w:rsid w:val="005176BF"/>
    <w:rsid w:val="00517921"/>
    <w:rsid w:val="00520CC0"/>
    <w:rsid w:val="00521EFF"/>
    <w:rsid w:val="00522870"/>
    <w:rsid w:val="005238BA"/>
    <w:rsid w:val="0052455E"/>
    <w:rsid w:val="00524BA8"/>
    <w:rsid w:val="00525A78"/>
    <w:rsid w:val="00525F5F"/>
    <w:rsid w:val="005260BD"/>
    <w:rsid w:val="005273F5"/>
    <w:rsid w:val="005276DF"/>
    <w:rsid w:val="00530C84"/>
    <w:rsid w:val="0053204D"/>
    <w:rsid w:val="005323A4"/>
    <w:rsid w:val="0053352F"/>
    <w:rsid w:val="00533D84"/>
    <w:rsid w:val="00534976"/>
    <w:rsid w:val="00536EA6"/>
    <w:rsid w:val="005374AB"/>
    <w:rsid w:val="00540595"/>
    <w:rsid w:val="0054066E"/>
    <w:rsid w:val="00540FBE"/>
    <w:rsid w:val="00541025"/>
    <w:rsid w:val="0054315C"/>
    <w:rsid w:val="00543699"/>
    <w:rsid w:val="00543E33"/>
    <w:rsid w:val="005444CD"/>
    <w:rsid w:val="005471DB"/>
    <w:rsid w:val="00547AFE"/>
    <w:rsid w:val="005504BA"/>
    <w:rsid w:val="0055138B"/>
    <w:rsid w:val="0055577B"/>
    <w:rsid w:val="0055671E"/>
    <w:rsid w:val="0056004D"/>
    <w:rsid w:val="005604A4"/>
    <w:rsid w:val="00564289"/>
    <w:rsid w:val="00565D27"/>
    <w:rsid w:val="00565DE9"/>
    <w:rsid w:val="0056677B"/>
    <w:rsid w:val="00567C54"/>
    <w:rsid w:val="00570352"/>
    <w:rsid w:val="00570F36"/>
    <w:rsid w:val="00570F7C"/>
    <w:rsid w:val="00571EEF"/>
    <w:rsid w:val="00572F8D"/>
    <w:rsid w:val="005755F2"/>
    <w:rsid w:val="005762E8"/>
    <w:rsid w:val="005764C2"/>
    <w:rsid w:val="00577CA5"/>
    <w:rsid w:val="00585EC8"/>
    <w:rsid w:val="005868A3"/>
    <w:rsid w:val="00587221"/>
    <w:rsid w:val="00590067"/>
    <w:rsid w:val="005913BE"/>
    <w:rsid w:val="00592F5D"/>
    <w:rsid w:val="00594E06"/>
    <w:rsid w:val="00595BD4"/>
    <w:rsid w:val="00595FF1"/>
    <w:rsid w:val="005A0E17"/>
    <w:rsid w:val="005A2755"/>
    <w:rsid w:val="005A3375"/>
    <w:rsid w:val="005A4052"/>
    <w:rsid w:val="005A4B73"/>
    <w:rsid w:val="005A58CB"/>
    <w:rsid w:val="005A70D6"/>
    <w:rsid w:val="005B0D75"/>
    <w:rsid w:val="005B351A"/>
    <w:rsid w:val="005B5295"/>
    <w:rsid w:val="005B54F4"/>
    <w:rsid w:val="005B5C7E"/>
    <w:rsid w:val="005B6316"/>
    <w:rsid w:val="005B782B"/>
    <w:rsid w:val="005C0907"/>
    <w:rsid w:val="005C0EC7"/>
    <w:rsid w:val="005C1F22"/>
    <w:rsid w:val="005C2950"/>
    <w:rsid w:val="005C30B3"/>
    <w:rsid w:val="005D1550"/>
    <w:rsid w:val="005D1960"/>
    <w:rsid w:val="005D23DD"/>
    <w:rsid w:val="005D4309"/>
    <w:rsid w:val="005D4739"/>
    <w:rsid w:val="005D549C"/>
    <w:rsid w:val="005D5786"/>
    <w:rsid w:val="005E1127"/>
    <w:rsid w:val="005E1CE1"/>
    <w:rsid w:val="005E5313"/>
    <w:rsid w:val="005E69DE"/>
    <w:rsid w:val="005E7230"/>
    <w:rsid w:val="005E7468"/>
    <w:rsid w:val="005F0705"/>
    <w:rsid w:val="005F3791"/>
    <w:rsid w:val="005F38E5"/>
    <w:rsid w:val="005F3C15"/>
    <w:rsid w:val="005F4C6D"/>
    <w:rsid w:val="005F50B7"/>
    <w:rsid w:val="005F55E1"/>
    <w:rsid w:val="005F6BB0"/>
    <w:rsid w:val="005F72EE"/>
    <w:rsid w:val="005F7DB0"/>
    <w:rsid w:val="006009F0"/>
    <w:rsid w:val="00601890"/>
    <w:rsid w:val="00601B61"/>
    <w:rsid w:val="006022FB"/>
    <w:rsid w:val="006030D4"/>
    <w:rsid w:val="0060331E"/>
    <w:rsid w:val="00603640"/>
    <w:rsid w:val="00607388"/>
    <w:rsid w:val="00610450"/>
    <w:rsid w:val="00612B33"/>
    <w:rsid w:val="00614762"/>
    <w:rsid w:val="00615664"/>
    <w:rsid w:val="00616CD4"/>
    <w:rsid w:val="006170A0"/>
    <w:rsid w:val="00620693"/>
    <w:rsid w:val="00620991"/>
    <w:rsid w:val="00626895"/>
    <w:rsid w:val="00626FF5"/>
    <w:rsid w:val="0062716E"/>
    <w:rsid w:val="00627E99"/>
    <w:rsid w:val="00630028"/>
    <w:rsid w:val="0063011B"/>
    <w:rsid w:val="006304A3"/>
    <w:rsid w:val="00631414"/>
    <w:rsid w:val="00631FF7"/>
    <w:rsid w:val="00632AFF"/>
    <w:rsid w:val="00632FCC"/>
    <w:rsid w:val="0063511E"/>
    <w:rsid w:val="006357D3"/>
    <w:rsid w:val="006372CD"/>
    <w:rsid w:val="006375D7"/>
    <w:rsid w:val="00637B13"/>
    <w:rsid w:val="00640732"/>
    <w:rsid w:val="00640C5F"/>
    <w:rsid w:val="006438A9"/>
    <w:rsid w:val="0064448E"/>
    <w:rsid w:val="006452DF"/>
    <w:rsid w:val="00646190"/>
    <w:rsid w:val="0064639B"/>
    <w:rsid w:val="006474AF"/>
    <w:rsid w:val="00650131"/>
    <w:rsid w:val="006504C1"/>
    <w:rsid w:val="006516F1"/>
    <w:rsid w:val="00653B23"/>
    <w:rsid w:val="006545FA"/>
    <w:rsid w:val="00655AFB"/>
    <w:rsid w:val="00655C00"/>
    <w:rsid w:val="00655C36"/>
    <w:rsid w:val="00656467"/>
    <w:rsid w:val="006567DA"/>
    <w:rsid w:val="006577EA"/>
    <w:rsid w:val="00657F42"/>
    <w:rsid w:val="006612D9"/>
    <w:rsid w:val="00661FCA"/>
    <w:rsid w:val="00662D8E"/>
    <w:rsid w:val="006631C0"/>
    <w:rsid w:val="00665194"/>
    <w:rsid w:val="0066594A"/>
    <w:rsid w:val="0066689D"/>
    <w:rsid w:val="0066692E"/>
    <w:rsid w:val="00670117"/>
    <w:rsid w:val="00671995"/>
    <w:rsid w:val="00671E0F"/>
    <w:rsid w:val="00677F24"/>
    <w:rsid w:val="00680C3D"/>
    <w:rsid w:val="00681546"/>
    <w:rsid w:val="00681D4D"/>
    <w:rsid w:val="00682116"/>
    <w:rsid w:val="006822CE"/>
    <w:rsid w:val="00683597"/>
    <w:rsid w:val="00684427"/>
    <w:rsid w:val="00686877"/>
    <w:rsid w:val="006873E7"/>
    <w:rsid w:val="00687C4F"/>
    <w:rsid w:val="00693356"/>
    <w:rsid w:val="00693E5E"/>
    <w:rsid w:val="00693FED"/>
    <w:rsid w:val="00694D28"/>
    <w:rsid w:val="00697CAD"/>
    <w:rsid w:val="006A0640"/>
    <w:rsid w:val="006A0969"/>
    <w:rsid w:val="006A30B5"/>
    <w:rsid w:val="006A3271"/>
    <w:rsid w:val="006A4985"/>
    <w:rsid w:val="006A4CFC"/>
    <w:rsid w:val="006A508C"/>
    <w:rsid w:val="006A6B76"/>
    <w:rsid w:val="006A7538"/>
    <w:rsid w:val="006A768B"/>
    <w:rsid w:val="006A79D7"/>
    <w:rsid w:val="006B0063"/>
    <w:rsid w:val="006B072A"/>
    <w:rsid w:val="006B0890"/>
    <w:rsid w:val="006B0C6A"/>
    <w:rsid w:val="006B199E"/>
    <w:rsid w:val="006B19F1"/>
    <w:rsid w:val="006B298B"/>
    <w:rsid w:val="006B2C17"/>
    <w:rsid w:val="006C12F0"/>
    <w:rsid w:val="006C1F85"/>
    <w:rsid w:val="006C352B"/>
    <w:rsid w:val="006C3A70"/>
    <w:rsid w:val="006C471E"/>
    <w:rsid w:val="006C5D26"/>
    <w:rsid w:val="006C66E0"/>
    <w:rsid w:val="006C6B74"/>
    <w:rsid w:val="006C6C3B"/>
    <w:rsid w:val="006C7526"/>
    <w:rsid w:val="006C7645"/>
    <w:rsid w:val="006D0155"/>
    <w:rsid w:val="006D04C8"/>
    <w:rsid w:val="006D1C5C"/>
    <w:rsid w:val="006D27C1"/>
    <w:rsid w:val="006D3676"/>
    <w:rsid w:val="006D3BA8"/>
    <w:rsid w:val="006E078D"/>
    <w:rsid w:val="006E25B3"/>
    <w:rsid w:val="006E357F"/>
    <w:rsid w:val="006E4A05"/>
    <w:rsid w:val="006E60B9"/>
    <w:rsid w:val="006F10ED"/>
    <w:rsid w:val="006F1389"/>
    <w:rsid w:val="006F1DB2"/>
    <w:rsid w:val="006F300B"/>
    <w:rsid w:val="006F3C3B"/>
    <w:rsid w:val="006F49F7"/>
    <w:rsid w:val="006F7702"/>
    <w:rsid w:val="00701056"/>
    <w:rsid w:val="007014EE"/>
    <w:rsid w:val="00701D02"/>
    <w:rsid w:val="00701FE7"/>
    <w:rsid w:val="0070282D"/>
    <w:rsid w:val="00703650"/>
    <w:rsid w:val="007036BD"/>
    <w:rsid w:val="00704FA1"/>
    <w:rsid w:val="007063A1"/>
    <w:rsid w:val="0070667A"/>
    <w:rsid w:val="00711C2E"/>
    <w:rsid w:val="00713162"/>
    <w:rsid w:val="00713B5E"/>
    <w:rsid w:val="0071441F"/>
    <w:rsid w:val="0071486F"/>
    <w:rsid w:val="00715CE6"/>
    <w:rsid w:val="0071705B"/>
    <w:rsid w:val="0071749C"/>
    <w:rsid w:val="00717E65"/>
    <w:rsid w:val="007213E4"/>
    <w:rsid w:val="0072183E"/>
    <w:rsid w:val="0072294D"/>
    <w:rsid w:val="00723112"/>
    <w:rsid w:val="00725AF0"/>
    <w:rsid w:val="00725E64"/>
    <w:rsid w:val="007272D0"/>
    <w:rsid w:val="00730B15"/>
    <w:rsid w:val="00737066"/>
    <w:rsid w:val="007401ED"/>
    <w:rsid w:val="0074034F"/>
    <w:rsid w:val="00740DE3"/>
    <w:rsid w:val="00740E2E"/>
    <w:rsid w:val="007417F8"/>
    <w:rsid w:val="00741920"/>
    <w:rsid w:val="007423DA"/>
    <w:rsid w:val="00742D28"/>
    <w:rsid w:val="0074309C"/>
    <w:rsid w:val="0074376A"/>
    <w:rsid w:val="00744098"/>
    <w:rsid w:val="00744AEB"/>
    <w:rsid w:val="00747F5C"/>
    <w:rsid w:val="00750666"/>
    <w:rsid w:val="00750FA4"/>
    <w:rsid w:val="00751460"/>
    <w:rsid w:val="007534CC"/>
    <w:rsid w:val="007539BA"/>
    <w:rsid w:val="007548ED"/>
    <w:rsid w:val="00755049"/>
    <w:rsid w:val="00755639"/>
    <w:rsid w:val="007557AF"/>
    <w:rsid w:val="00755D5A"/>
    <w:rsid w:val="00756C8C"/>
    <w:rsid w:val="0075791A"/>
    <w:rsid w:val="00760225"/>
    <w:rsid w:val="00762886"/>
    <w:rsid w:val="00763976"/>
    <w:rsid w:val="007639DE"/>
    <w:rsid w:val="0076586F"/>
    <w:rsid w:val="007660D1"/>
    <w:rsid w:val="007666B9"/>
    <w:rsid w:val="00767EB2"/>
    <w:rsid w:val="007719EE"/>
    <w:rsid w:val="0077213B"/>
    <w:rsid w:val="00772E62"/>
    <w:rsid w:val="007736FE"/>
    <w:rsid w:val="00774776"/>
    <w:rsid w:val="007748C9"/>
    <w:rsid w:val="00775428"/>
    <w:rsid w:val="00775607"/>
    <w:rsid w:val="00777037"/>
    <w:rsid w:val="00780857"/>
    <w:rsid w:val="007824D3"/>
    <w:rsid w:val="0078288B"/>
    <w:rsid w:val="007829AD"/>
    <w:rsid w:val="0078308D"/>
    <w:rsid w:val="00787586"/>
    <w:rsid w:val="007879A4"/>
    <w:rsid w:val="007907EC"/>
    <w:rsid w:val="0079241B"/>
    <w:rsid w:val="007941C1"/>
    <w:rsid w:val="00796A00"/>
    <w:rsid w:val="007970AD"/>
    <w:rsid w:val="007A0B2C"/>
    <w:rsid w:val="007A1330"/>
    <w:rsid w:val="007A1D7E"/>
    <w:rsid w:val="007A27D4"/>
    <w:rsid w:val="007A7954"/>
    <w:rsid w:val="007B05B1"/>
    <w:rsid w:val="007B0819"/>
    <w:rsid w:val="007B2032"/>
    <w:rsid w:val="007B2412"/>
    <w:rsid w:val="007B2577"/>
    <w:rsid w:val="007B308F"/>
    <w:rsid w:val="007B3B79"/>
    <w:rsid w:val="007B51ED"/>
    <w:rsid w:val="007B5397"/>
    <w:rsid w:val="007B588F"/>
    <w:rsid w:val="007B78F7"/>
    <w:rsid w:val="007C13A2"/>
    <w:rsid w:val="007C20AF"/>
    <w:rsid w:val="007C3D6E"/>
    <w:rsid w:val="007C4953"/>
    <w:rsid w:val="007C554B"/>
    <w:rsid w:val="007C76B7"/>
    <w:rsid w:val="007D3BAC"/>
    <w:rsid w:val="007D68D1"/>
    <w:rsid w:val="007D75E1"/>
    <w:rsid w:val="007E0695"/>
    <w:rsid w:val="007E1F9D"/>
    <w:rsid w:val="007E4252"/>
    <w:rsid w:val="007E4DF7"/>
    <w:rsid w:val="007E5B63"/>
    <w:rsid w:val="007E5F54"/>
    <w:rsid w:val="007E64DF"/>
    <w:rsid w:val="007F25B4"/>
    <w:rsid w:val="007F268F"/>
    <w:rsid w:val="007F4643"/>
    <w:rsid w:val="007F4FF6"/>
    <w:rsid w:val="007F52C4"/>
    <w:rsid w:val="007F60EF"/>
    <w:rsid w:val="00801A95"/>
    <w:rsid w:val="00802E22"/>
    <w:rsid w:val="00803054"/>
    <w:rsid w:val="0080613C"/>
    <w:rsid w:val="0080742F"/>
    <w:rsid w:val="0081116A"/>
    <w:rsid w:val="0081201D"/>
    <w:rsid w:val="00812F84"/>
    <w:rsid w:val="0081302B"/>
    <w:rsid w:val="00813432"/>
    <w:rsid w:val="00813B88"/>
    <w:rsid w:val="00814557"/>
    <w:rsid w:val="00814AD6"/>
    <w:rsid w:val="0081500C"/>
    <w:rsid w:val="00815E28"/>
    <w:rsid w:val="008165A1"/>
    <w:rsid w:val="0081667B"/>
    <w:rsid w:val="00820C1D"/>
    <w:rsid w:val="008241FC"/>
    <w:rsid w:val="00825CDC"/>
    <w:rsid w:val="008266C2"/>
    <w:rsid w:val="008279B4"/>
    <w:rsid w:val="00831359"/>
    <w:rsid w:val="0083242C"/>
    <w:rsid w:val="00832942"/>
    <w:rsid w:val="00833FEB"/>
    <w:rsid w:val="0083408B"/>
    <w:rsid w:val="00834F6E"/>
    <w:rsid w:val="00835AB3"/>
    <w:rsid w:val="00835C35"/>
    <w:rsid w:val="0083630B"/>
    <w:rsid w:val="00836486"/>
    <w:rsid w:val="00837BC8"/>
    <w:rsid w:val="00840F97"/>
    <w:rsid w:val="00843046"/>
    <w:rsid w:val="008439F6"/>
    <w:rsid w:val="00843F8E"/>
    <w:rsid w:val="0084403C"/>
    <w:rsid w:val="008441FA"/>
    <w:rsid w:val="00844E77"/>
    <w:rsid w:val="0084553F"/>
    <w:rsid w:val="0084702D"/>
    <w:rsid w:val="00847FF6"/>
    <w:rsid w:val="00850B64"/>
    <w:rsid w:val="00850F19"/>
    <w:rsid w:val="0085416C"/>
    <w:rsid w:val="0085510C"/>
    <w:rsid w:val="008552DF"/>
    <w:rsid w:val="008555E7"/>
    <w:rsid w:val="008556F4"/>
    <w:rsid w:val="00855F98"/>
    <w:rsid w:val="0085686B"/>
    <w:rsid w:val="008572CF"/>
    <w:rsid w:val="00861944"/>
    <w:rsid w:val="008622AE"/>
    <w:rsid w:val="00862C6B"/>
    <w:rsid w:val="00863F13"/>
    <w:rsid w:val="008652E5"/>
    <w:rsid w:val="00867328"/>
    <w:rsid w:val="00867B87"/>
    <w:rsid w:val="00870CC2"/>
    <w:rsid w:val="00870CC9"/>
    <w:rsid w:val="00870DCB"/>
    <w:rsid w:val="008726FB"/>
    <w:rsid w:val="0087411C"/>
    <w:rsid w:val="008745BD"/>
    <w:rsid w:val="00875054"/>
    <w:rsid w:val="00875374"/>
    <w:rsid w:val="00877524"/>
    <w:rsid w:val="00877C19"/>
    <w:rsid w:val="00882EA9"/>
    <w:rsid w:val="008830A8"/>
    <w:rsid w:val="0088357D"/>
    <w:rsid w:val="0088389E"/>
    <w:rsid w:val="008848FA"/>
    <w:rsid w:val="00884C58"/>
    <w:rsid w:val="00884DB9"/>
    <w:rsid w:val="00885A49"/>
    <w:rsid w:val="00886C57"/>
    <w:rsid w:val="00887055"/>
    <w:rsid w:val="008874A4"/>
    <w:rsid w:val="008907F8"/>
    <w:rsid w:val="0089195B"/>
    <w:rsid w:val="008926E5"/>
    <w:rsid w:val="00892C12"/>
    <w:rsid w:val="00894643"/>
    <w:rsid w:val="008956FD"/>
    <w:rsid w:val="00895926"/>
    <w:rsid w:val="00895CB4"/>
    <w:rsid w:val="008970AB"/>
    <w:rsid w:val="0089729C"/>
    <w:rsid w:val="008A0676"/>
    <w:rsid w:val="008A3641"/>
    <w:rsid w:val="008A3A06"/>
    <w:rsid w:val="008A562A"/>
    <w:rsid w:val="008A6B70"/>
    <w:rsid w:val="008B1F6E"/>
    <w:rsid w:val="008B2EFF"/>
    <w:rsid w:val="008B2F99"/>
    <w:rsid w:val="008B31C1"/>
    <w:rsid w:val="008B33FE"/>
    <w:rsid w:val="008B3A3B"/>
    <w:rsid w:val="008B475C"/>
    <w:rsid w:val="008B529D"/>
    <w:rsid w:val="008B65FD"/>
    <w:rsid w:val="008B6FA3"/>
    <w:rsid w:val="008B6FDF"/>
    <w:rsid w:val="008C173A"/>
    <w:rsid w:val="008C1A63"/>
    <w:rsid w:val="008C1ED4"/>
    <w:rsid w:val="008C2AB4"/>
    <w:rsid w:val="008C3448"/>
    <w:rsid w:val="008C406D"/>
    <w:rsid w:val="008C4E87"/>
    <w:rsid w:val="008C5852"/>
    <w:rsid w:val="008C611F"/>
    <w:rsid w:val="008C688A"/>
    <w:rsid w:val="008C6AC0"/>
    <w:rsid w:val="008C7BCA"/>
    <w:rsid w:val="008C7E01"/>
    <w:rsid w:val="008D0128"/>
    <w:rsid w:val="008D1D2F"/>
    <w:rsid w:val="008D21DB"/>
    <w:rsid w:val="008D27B8"/>
    <w:rsid w:val="008D3B52"/>
    <w:rsid w:val="008D4784"/>
    <w:rsid w:val="008D51A1"/>
    <w:rsid w:val="008E29B3"/>
    <w:rsid w:val="008E3092"/>
    <w:rsid w:val="008E334F"/>
    <w:rsid w:val="008E3E91"/>
    <w:rsid w:val="008E43FE"/>
    <w:rsid w:val="008E5C1B"/>
    <w:rsid w:val="008E63C0"/>
    <w:rsid w:val="008E6AB9"/>
    <w:rsid w:val="008E742B"/>
    <w:rsid w:val="008F14DD"/>
    <w:rsid w:val="008F17A4"/>
    <w:rsid w:val="008F2771"/>
    <w:rsid w:val="008F2EBF"/>
    <w:rsid w:val="008F33A3"/>
    <w:rsid w:val="008F58ED"/>
    <w:rsid w:val="008F72D6"/>
    <w:rsid w:val="008F7ACD"/>
    <w:rsid w:val="008F7AEB"/>
    <w:rsid w:val="00900798"/>
    <w:rsid w:val="009028A8"/>
    <w:rsid w:val="00905995"/>
    <w:rsid w:val="009130E8"/>
    <w:rsid w:val="0091407F"/>
    <w:rsid w:val="009158AB"/>
    <w:rsid w:val="009162E7"/>
    <w:rsid w:val="009168A5"/>
    <w:rsid w:val="00917431"/>
    <w:rsid w:val="00917C2C"/>
    <w:rsid w:val="009207E9"/>
    <w:rsid w:val="00922067"/>
    <w:rsid w:val="009222C8"/>
    <w:rsid w:val="00923A08"/>
    <w:rsid w:val="00923D5D"/>
    <w:rsid w:val="009244DA"/>
    <w:rsid w:val="00926BEC"/>
    <w:rsid w:val="00931645"/>
    <w:rsid w:val="00933E6C"/>
    <w:rsid w:val="0093447C"/>
    <w:rsid w:val="0093577A"/>
    <w:rsid w:val="0093620A"/>
    <w:rsid w:val="00937E4A"/>
    <w:rsid w:val="00940411"/>
    <w:rsid w:val="0094082D"/>
    <w:rsid w:val="00940C8E"/>
    <w:rsid w:val="00942022"/>
    <w:rsid w:val="00944DCA"/>
    <w:rsid w:val="009453DB"/>
    <w:rsid w:val="00946B25"/>
    <w:rsid w:val="00946FEB"/>
    <w:rsid w:val="00947562"/>
    <w:rsid w:val="00947BB3"/>
    <w:rsid w:val="0095105D"/>
    <w:rsid w:val="00951C56"/>
    <w:rsid w:val="009529EE"/>
    <w:rsid w:val="00952A6D"/>
    <w:rsid w:val="00953825"/>
    <w:rsid w:val="00953EBF"/>
    <w:rsid w:val="009540D7"/>
    <w:rsid w:val="00954793"/>
    <w:rsid w:val="00954C61"/>
    <w:rsid w:val="00954DFA"/>
    <w:rsid w:val="009558D5"/>
    <w:rsid w:val="00956037"/>
    <w:rsid w:val="00962247"/>
    <w:rsid w:val="00962578"/>
    <w:rsid w:val="00962794"/>
    <w:rsid w:val="00962F82"/>
    <w:rsid w:val="009634A1"/>
    <w:rsid w:val="00964267"/>
    <w:rsid w:val="00964DFC"/>
    <w:rsid w:val="0096508D"/>
    <w:rsid w:val="00966C67"/>
    <w:rsid w:val="0096763D"/>
    <w:rsid w:val="00967E30"/>
    <w:rsid w:val="00971465"/>
    <w:rsid w:val="00971BE9"/>
    <w:rsid w:val="00971D0E"/>
    <w:rsid w:val="00971D13"/>
    <w:rsid w:val="00972AA0"/>
    <w:rsid w:val="00973266"/>
    <w:rsid w:val="009736C1"/>
    <w:rsid w:val="00973FBF"/>
    <w:rsid w:val="00974E2F"/>
    <w:rsid w:val="00975F84"/>
    <w:rsid w:val="00976CE4"/>
    <w:rsid w:val="00980C07"/>
    <w:rsid w:val="009816BF"/>
    <w:rsid w:val="0098322C"/>
    <w:rsid w:val="00984035"/>
    <w:rsid w:val="00984A62"/>
    <w:rsid w:val="00984FF5"/>
    <w:rsid w:val="009857CC"/>
    <w:rsid w:val="00985E80"/>
    <w:rsid w:val="00986C58"/>
    <w:rsid w:val="0098766D"/>
    <w:rsid w:val="00990639"/>
    <w:rsid w:val="00993BA8"/>
    <w:rsid w:val="00993C3B"/>
    <w:rsid w:val="00996FDA"/>
    <w:rsid w:val="00997984"/>
    <w:rsid w:val="009A14B5"/>
    <w:rsid w:val="009A1800"/>
    <w:rsid w:val="009A2141"/>
    <w:rsid w:val="009A296C"/>
    <w:rsid w:val="009A3E6B"/>
    <w:rsid w:val="009A4123"/>
    <w:rsid w:val="009A4BFD"/>
    <w:rsid w:val="009A61EE"/>
    <w:rsid w:val="009B0117"/>
    <w:rsid w:val="009B0EEF"/>
    <w:rsid w:val="009B1600"/>
    <w:rsid w:val="009B1884"/>
    <w:rsid w:val="009B2BF2"/>
    <w:rsid w:val="009B2DC1"/>
    <w:rsid w:val="009B35C3"/>
    <w:rsid w:val="009B3A0E"/>
    <w:rsid w:val="009B4BB2"/>
    <w:rsid w:val="009C278B"/>
    <w:rsid w:val="009C3945"/>
    <w:rsid w:val="009C6951"/>
    <w:rsid w:val="009C733C"/>
    <w:rsid w:val="009D0604"/>
    <w:rsid w:val="009D13BE"/>
    <w:rsid w:val="009D17BC"/>
    <w:rsid w:val="009D17CE"/>
    <w:rsid w:val="009D1834"/>
    <w:rsid w:val="009D45CF"/>
    <w:rsid w:val="009D4AF8"/>
    <w:rsid w:val="009D4B60"/>
    <w:rsid w:val="009D4B8B"/>
    <w:rsid w:val="009D4E13"/>
    <w:rsid w:val="009D68FF"/>
    <w:rsid w:val="009E0BA4"/>
    <w:rsid w:val="009E1273"/>
    <w:rsid w:val="009E1F7F"/>
    <w:rsid w:val="009E3851"/>
    <w:rsid w:val="009E470D"/>
    <w:rsid w:val="009E48F4"/>
    <w:rsid w:val="009E4CAA"/>
    <w:rsid w:val="009E51AB"/>
    <w:rsid w:val="009E54DB"/>
    <w:rsid w:val="009E61D6"/>
    <w:rsid w:val="009E7D6E"/>
    <w:rsid w:val="009F03C4"/>
    <w:rsid w:val="009F0D17"/>
    <w:rsid w:val="009F3689"/>
    <w:rsid w:val="009F60FC"/>
    <w:rsid w:val="00A003F2"/>
    <w:rsid w:val="00A0181B"/>
    <w:rsid w:val="00A02817"/>
    <w:rsid w:val="00A02B57"/>
    <w:rsid w:val="00A033B1"/>
    <w:rsid w:val="00A043FC"/>
    <w:rsid w:val="00A04B66"/>
    <w:rsid w:val="00A05611"/>
    <w:rsid w:val="00A05B85"/>
    <w:rsid w:val="00A05BD3"/>
    <w:rsid w:val="00A05F1F"/>
    <w:rsid w:val="00A060FF"/>
    <w:rsid w:val="00A07D80"/>
    <w:rsid w:val="00A07FD9"/>
    <w:rsid w:val="00A1259C"/>
    <w:rsid w:val="00A12F4D"/>
    <w:rsid w:val="00A13CEC"/>
    <w:rsid w:val="00A13E13"/>
    <w:rsid w:val="00A211BF"/>
    <w:rsid w:val="00A2299D"/>
    <w:rsid w:val="00A23514"/>
    <w:rsid w:val="00A23CB1"/>
    <w:rsid w:val="00A24004"/>
    <w:rsid w:val="00A2429E"/>
    <w:rsid w:val="00A25DB2"/>
    <w:rsid w:val="00A26D8C"/>
    <w:rsid w:val="00A27342"/>
    <w:rsid w:val="00A3134B"/>
    <w:rsid w:val="00A31D5B"/>
    <w:rsid w:val="00A33823"/>
    <w:rsid w:val="00A342D1"/>
    <w:rsid w:val="00A343DF"/>
    <w:rsid w:val="00A34510"/>
    <w:rsid w:val="00A35D5C"/>
    <w:rsid w:val="00A36C6E"/>
    <w:rsid w:val="00A37817"/>
    <w:rsid w:val="00A4100F"/>
    <w:rsid w:val="00A4146F"/>
    <w:rsid w:val="00A417A5"/>
    <w:rsid w:val="00A438CB"/>
    <w:rsid w:val="00A45FA4"/>
    <w:rsid w:val="00A50328"/>
    <w:rsid w:val="00A50FC2"/>
    <w:rsid w:val="00A514DC"/>
    <w:rsid w:val="00A51610"/>
    <w:rsid w:val="00A51EC8"/>
    <w:rsid w:val="00A5251F"/>
    <w:rsid w:val="00A5300B"/>
    <w:rsid w:val="00A539DC"/>
    <w:rsid w:val="00A53AF9"/>
    <w:rsid w:val="00A54883"/>
    <w:rsid w:val="00A5590F"/>
    <w:rsid w:val="00A601C5"/>
    <w:rsid w:val="00A6251F"/>
    <w:rsid w:val="00A633F9"/>
    <w:rsid w:val="00A65A26"/>
    <w:rsid w:val="00A66320"/>
    <w:rsid w:val="00A66A55"/>
    <w:rsid w:val="00A66B94"/>
    <w:rsid w:val="00A7068F"/>
    <w:rsid w:val="00A70AFD"/>
    <w:rsid w:val="00A70EB4"/>
    <w:rsid w:val="00A7336B"/>
    <w:rsid w:val="00A73D0C"/>
    <w:rsid w:val="00A76528"/>
    <w:rsid w:val="00A76644"/>
    <w:rsid w:val="00A773AE"/>
    <w:rsid w:val="00A803DC"/>
    <w:rsid w:val="00A80F00"/>
    <w:rsid w:val="00A81060"/>
    <w:rsid w:val="00A81963"/>
    <w:rsid w:val="00A82196"/>
    <w:rsid w:val="00A8245D"/>
    <w:rsid w:val="00A85258"/>
    <w:rsid w:val="00A86682"/>
    <w:rsid w:val="00A87E3C"/>
    <w:rsid w:val="00A90E0F"/>
    <w:rsid w:val="00A92C4F"/>
    <w:rsid w:val="00A93A81"/>
    <w:rsid w:val="00A93C54"/>
    <w:rsid w:val="00A94885"/>
    <w:rsid w:val="00A9551A"/>
    <w:rsid w:val="00A9588E"/>
    <w:rsid w:val="00A96539"/>
    <w:rsid w:val="00A96E7E"/>
    <w:rsid w:val="00AA0945"/>
    <w:rsid w:val="00AA0FFE"/>
    <w:rsid w:val="00AA148E"/>
    <w:rsid w:val="00AA19B8"/>
    <w:rsid w:val="00AA1AEF"/>
    <w:rsid w:val="00AA235E"/>
    <w:rsid w:val="00AA2927"/>
    <w:rsid w:val="00AA49DC"/>
    <w:rsid w:val="00AA500D"/>
    <w:rsid w:val="00AA54E1"/>
    <w:rsid w:val="00AB0635"/>
    <w:rsid w:val="00AB116C"/>
    <w:rsid w:val="00AB1B61"/>
    <w:rsid w:val="00AB1E7A"/>
    <w:rsid w:val="00AB2B70"/>
    <w:rsid w:val="00AB3385"/>
    <w:rsid w:val="00AB3390"/>
    <w:rsid w:val="00AB35CE"/>
    <w:rsid w:val="00AB3BB2"/>
    <w:rsid w:val="00AB48A8"/>
    <w:rsid w:val="00AC08A6"/>
    <w:rsid w:val="00AC1831"/>
    <w:rsid w:val="00AC499A"/>
    <w:rsid w:val="00AC4DBF"/>
    <w:rsid w:val="00AC730F"/>
    <w:rsid w:val="00AD0321"/>
    <w:rsid w:val="00AD0E36"/>
    <w:rsid w:val="00AD18C4"/>
    <w:rsid w:val="00AD1BB3"/>
    <w:rsid w:val="00AD2024"/>
    <w:rsid w:val="00AD2B09"/>
    <w:rsid w:val="00AD2C48"/>
    <w:rsid w:val="00AD394D"/>
    <w:rsid w:val="00AD3D43"/>
    <w:rsid w:val="00AD3FB9"/>
    <w:rsid w:val="00AD5DD2"/>
    <w:rsid w:val="00AD61F6"/>
    <w:rsid w:val="00AD7565"/>
    <w:rsid w:val="00AE0F5E"/>
    <w:rsid w:val="00AE100C"/>
    <w:rsid w:val="00AE39F1"/>
    <w:rsid w:val="00AE430D"/>
    <w:rsid w:val="00AE4B72"/>
    <w:rsid w:val="00AE4E73"/>
    <w:rsid w:val="00AE6434"/>
    <w:rsid w:val="00AF090C"/>
    <w:rsid w:val="00AF19A0"/>
    <w:rsid w:val="00AF405C"/>
    <w:rsid w:val="00AF6A6B"/>
    <w:rsid w:val="00AF7645"/>
    <w:rsid w:val="00AF79C9"/>
    <w:rsid w:val="00B03C75"/>
    <w:rsid w:val="00B04D90"/>
    <w:rsid w:val="00B04DD9"/>
    <w:rsid w:val="00B073AC"/>
    <w:rsid w:val="00B0762C"/>
    <w:rsid w:val="00B1234C"/>
    <w:rsid w:val="00B12BB7"/>
    <w:rsid w:val="00B1480D"/>
    <w:rsid w:val="00B14C5D"/>
    <w:rsid w:val="00B15EA5"/>
    <w:rsid w:val="00B17CC5"/>
    <w:rsid w:val="00B20131"/>
    <w:rsid w:val="00B22DDC"/>
    <w:rsid w:val="00B235C2"/>
    <w:rsid w:val="00B241B3"/>
    <w:rsid w:val="00B256F6"/>
    <w:rsid w:val="00B259DD"/>
    <w:rsid w:val="00B26C68"/>
    <w:rsid w:val="00B273D0"/>
    <w:rsid w:val="00B3021F"/>
    <w:rsid w:val="00B30763"/>
    <w:rsid w:val="00B30A5E"/>
    <w:rsid w:val="00B3196A"/>
    <w:rsid w:val="00B32199"/>
    <w:rsid w:val="00B335EB"/>
    <w:rsid w:val="00B34500"/>
    <w:rsid w:val="00B348F0"/>
    <w:rsid w:val="00B35378"/>
    <w:rsid w:val="00B365F9"/>
    <w:rsid w:val="00B3788B"/>
    <w:rsid w:val="00B37D60"/>
    <w:rsid w:val="00B4091C"/>
    <w:rsid w:val="00B40D8D"/>
    <w:rsid w:val="00B42BD4"/>
    <w:rsid w:val="00B431B1"/>
    <w:rsid w:val="00B4350C"/>
    <w:rsid w:val="00B466B1"/>
    <w:rsid w:val="00B47109"/>
    <w:rsid w:val="00B472C1"/>
    <w:rsid w:val="00B5279D"/>
    <w:rsid w:val="00B535EF"/>
    <w:rsid w:val="00B53648"/>
    <w:rsid w:val="00B53675"/>
    <w:rsid w:val="00B5477F"/>
    <w:rsid w:val="00B54909"/>
    <w:rsid w:val="00B57918"/>
    <w:rsid w:val="00B6044B"/>
    <w:rsid w:val="00B614E1"/>
    <w:rsid w:val="00B61ECA"/>
    <w:rsid w:val="00B62CED"/>
    <w:rsid w:val="00B63DD6"/>
    <w:rsid w:val="00B63F8A"/>
    <w:rsid w:val="00B643F8"/>
    <w:rsid w:val="00B65CC9"/>
    <w:rsid w:val="00B65E6B"/>
    <w:rsid w:val="00B66AC5"/>
    <w:rsid w:val="00B67284"/>
    <w:rsid w:val="00B67B8E"/>
    <w:rsid w:val="00B70721"/>
    <w:rsid w:val="00B70790"/>
    <w:rsid w:val="00B70C60"/>
    <w:rsid w:val="00B70C62"/>
    <w:rsid w:val="00B73475"/>
    <w:rsid w:val="00B73736"/>
    <w:rsid w:val="00B737F1"/>
    <w:rsid w:val="00B74C02"/>
    <w:rsid w:val="00B75504"/>
    <w:rsid w:val="00B757EA"/>
    <w:rsid w:val="00B80A10"/>
    <w:rsid w:val="00B831EB"/>
    <w:rsid w:val="00B8722C"/>
    <w:rsid w:val="00B8774F"/>
    <w:rsid w:val="00B87825"/>
    <w:rsid w:val="00B87FF1"/>
    <w:rsid w:val="00B9199F"/>
    <w:rsid w:val="00B92FE2"/>
    <w:rsid w:val="00B93D8F"/>
    <w:rsid w:val="00B9422E"/>
    <w:rsid w:val="00B94DAF"/>
    <w:rsid w:val="00B951BD"/>
    <w:rsid w:val="00B956FA"/>
    <w:rsid w:val="00B9635D"/>
    <w:rsid w:val="00B96754"/>
    <w:rsid w:val="00BA03A9"/>
    <w:rsid w:val="00BA1C3F"/>
    <w:rsid w:val="00BA27B2"/>
    <w:rsid w:val="00BA379D"/>
    <w:rsid w:val="00BA38B5"/>
    <w:rsid w:val="00BA53B8"/>
    <w:rsid w:val="00BA60E0"/>
    <w:rsid w:val="00BA690F"/>
    <w:rsid w:val="00BA75E9"/>
    <w:rsid w:val="00BA7D22"/>
    <w:rsid w:val="00BB1CBF"/>
    <w:rsid w:val="00BB1FDE"/>
    <w:rsid w:val="00BB2313"/>
    <w:rsid w:val="00BB2C65"/>
    <w:rsid w:val="00BB774F"/>
    <w:rsid w:val="00BB7CCA"/>
    <w:rsid w:val="00BC06D8"/>
    <w:rsid w:val="00BC0C0D"/>
    <w:rsid w:val="00BC1328"/>
    <w:rsid w:val="00BC20FE"/>
    <w:rsid w:val="00BC3ED9"/>
    <w:rsid w:val="00BC4A1E"/>
    <w:rsid w:val="00BC4A29"/>
    <w:rsid w:val="00BC4F54"/>
    <w:rsid w:val="00BC66C4"/>
    <w:rsid w:val="00BC71BC"/>
    <w:rsid w:val="00BC733F"/>
    <w:rsid w:val="00BC7AE6"/>
    <w:rsid w:val="00BC7EB6"/>
    <w:rsid w:val="00BD0642"/>
    <w:rsid w:val="00BD130C"/>
    <w:rsid w:val="00BD2CDC"/>
    <w:rsid w:val="00BD3D74"/>
    <w:rsid w:val="00BD4376"/>
    <w:rsid w:val="00BD499F"/>
    <w:rsid w:val="00BD4C83"/>
    <w:rsid w:val="00BD5480"/>
    <w:rsid w:val="00BD5E16"/>
    <w:rsid w:val="00BD79EC"/>
    <w:rsid w:val="00BE1C21"/>
    <w:rsid w:val="00BE2C93"/>
    <w:rsid w:val="00BE3434"/>
    <w:rsid w:val="00BE37F2"/>
    <w:rsid w:val="00BE5E13"/>
    <w:rsid w:val="00BE5F5D"/>
    <w:rsid w:val="00BF3B84"/>
    <w:rsid w:val="00BF3EF9"/>
    <w:rsid w:val="00BF41B8"/>
    <w:rsid w:val="00BF5744"/>
    <w:rsid w:val="00BF5C2F"/>
    <w:rsid w:val="00BF79FD"/>
    <w:rsid w:val="00C02821"/>
    <w:rsid w:val="00C02E15"/>
    <w:rsid w:val="00C03C4B"/>
    <w:rsid w:val="00C06519"/>
    <w:rsid w:val="00C11537"/>
    <w:rsid w:val="00C12043"/>
    <w:rsid w:val="00C1215E"/>
    <w:rsid w:val="00C13779"/>
    <w:rsid w:val="00C13B6C"/>
    <w:rsid w:val="00C13BC5"/>
    <w:rsid w:val="00C14118"/>
    <w:rsid w:val="00C1440B"/>
    <w:rsid w:val="00C14A00"/>
    <w:rsid w:val="00C1711C"/>
    <w:rsid w:val="00C176E8"/>
    <w:rsid w:val="00C17B4A"/>
    <w:rsid w:val="00C2016B"/>
    <w:rsid w:val="00C23051"/>
    <w:rsid w:val="00C23721"/>
    <w:rsid w:val="00C237B2"/>
    <w:rsid w:val="00C259B2"/>
    <w:rsid w:val="00C26554"/>
    <w:rsid w:val="00C266F3"/>
    <w:rsid w:val="00C26FFB"/>
    <w:rsid w:val="00C326CC"/>
    <w:rsid w:val="00C32DA1"/>
    <w:rsid w:val="00C33076"/>
    <w:rsid w:val="00C330A5"/>
    <w:rsid w:val="00C34467"/>
    <w:rsid w:val="00C35322"/>
    <w:rsid w:val="00C35CEE"/>
    <w:rsid w:val="00C370EF"/>
    <w:rsid w:val="00C37A9A"/>
    <w:rsid w:val="00C37F5E"/>
    <w:rsid w:val="00C40E20"/>
    <w:rsid w:val="00C417EB"/>
    <w:rsid w:val="00C4211A"/>
    <w:rsid w:val="00C424F9"/>
    <w:rsid w:val="00C4379B"/>
    <w:rsid w:val="00C45DC3"/>
    <w:rsid w:val="00C46FCC"/>
    <w:rsid w:val="00C510B6"/>
    <w:rsid w:val="00C51297"/>
    <w:rsid w:val="00C5172C"/>
    <w:rsid w:val="00C517D0"/>
    <w:rsid w:val="00C517F7"/>
    <w:rsid w:val="00C5333A"/>
    <w:rsid w:val="00C54A99"/>
    <w:rsid w:val="00C54CBB"/>
    <w:rsid w:val="00C56B9F"/>
    <w:rsid w:val="00C57162"/>
    <w:rsid w:val="00C6039B"/>
    <w:rsid w:val="00C60CB0"/>
    <w:rsid w:val="00C60F5A"/>
    <w:rsid w:val="00C63587"/>
    <w:rsid w:val="00C640A1"/>
    <w:rsid w:val="00C669D6"/>
    <w:rsid w:val="00C67918"/>
    <w:rsid w:val="00C70BF1"/>
    <w:rsid w:val="00C713C8"/>
    <w:rsid w:val="00C716F0"/>
    <w:rsid w:val="00C721C9"/>
    <w:rsid w:val="00C73A66"/>
    <w:rsid w:val="00C74B84"/>
    <w:rsid w:val="00C807F8"/>
    <w:rsid w:val="00C81791"/>
    <w:rsid w:val="00C81AFD"/>
    <w:rsid w:val="00C81D61"/>
    <w:rsid w:val="00C82882"/>
    <w:rsid w:val="00C830BF"/>
    <w:rsid w:val="00C8681E"/>
    <w:rsid w:val="00C8784F"/>
    <w:rsid w:val="00C90250"/>
    <w:rsid w:val="00C90594"/>
    <w:rsid w:val="00C90F01"/>
    <w:rsid w:val="00C928D2"/>
    <w:rsid w:val="00C930A0"/>
    <w:rsid w:val="00C93ADF"/>
    <w:rsid w:val="00C945CF"/>
    <w:rsid w:val="00C94688"/>
    <w:rsid w:val="00C95AB0"/>
    <w:rsid w:val="00C97EF9"/>
    <w:rsid w:val="00CA0ECD"/>
    <w:rsid w:val="00CA0ED1"/>
    <w:rsid w:val="00CA1E3D"/>
    <w:rsid w:val="00CA449D"/>
    <w:rsid w:val="00CA48A5"/>
    <w:rsid w:val="00CA5ECA"/>
    <w:rsid w:val="00CA65D4"/>
    <w:rsid w:val="00CA685B"/>
    <w:rsid w:val="00CA6917"/>
    <w:rsid w:val="00CA7B54"/>
    <w:rsid w:val="00CB025C"/>
    <w:rsid w:val="00CB084C"/>
    <w:rsid w:val="00CB0A24"/>
    <w:rsid w:val="00CB176A"/>
    <w:rsid w:val="00CB2BB1"/>
    <w:rsid w:val="00CB2D67"/>
    <w:rsid w:val="00CB33DE"/>
    <w:rsid w:val="00CB343F"/>
    <w:rsid w:val="00CB6C8F"/>
    <w:rsid w:val="00CC18C8"/>
    <w:rsid w:val="00CC23F5"/>
    <w:rsid w:val="00CC2D97"/>
    <w:rsid w:val="00CC38F5"/>
    <w:rsid w:val="00CC3F4F"/>
    <w:rsid w:val="00CC4329"/>
    <w:rsid w:val="00CC4333"/>
    <w:rsid w:val="00CC5A00"/>
    <w:rsid w:val="00CC5D3F"/>
    <w:rsid w:val="00CD03DC"/>
    <w:rsid w:val="00CD0537"/>
    <w:rsid w:val="00CD06F9"/>
    <w:rsid w:val="00CD1092"/>
    <w:rsid w:val="00CD386B"/>
    <w:rsid w:val="00CD4CE4"/>
    <w:rsid w:val="00CD61FB"/>
    <w:rsid w:val="00CD6465"/>
    <w:rsid w:val="00CD733B"/>
    <w:rsid w:val="00CD7704"/>
    <w:rsid w:val="00CD7899"/>
    <w:rsid w:val="00CD7DEB"/>
    <w:rsid w:val="00CE2034"/>
    <w:rsid w:val="00CE227F"/>
    <w:rsid w:val="00CE432F"/>
    <w:rsid w:val="00CE50AF"/>
    <w:rsid w:val="00CE66D0"/>
    <w:rsid w:val="00CE7683"/>
    <w:rsid w:val="00CF05AC"/>
    <w:rsid w:val="00CF376D"/>
    <w:rsid w:val="00CF496E"/>
    <w:rsid w:val="00CF53B9"/>
    <w:rsid w:val="00CF5A73"/>
    <w:rsid w:val="00CF6959"/>
    <w:rsid w:val="00CF7E2D"/>
    <w:rsid w:val="00D00950"/>
    <w:rsid w:val="00D01C00"/>
    <w:rsid w:val="00D0298C"/>
    <w:rsid w:val="00D043E6"/>
    <w:rsid w:val="00D05112"/>
    <w:rsid w:val="00D05271"/>
    <w:rsid w:val="00D05B8E"/>
    <w:rsid w:val="00D10E83"/>
    <w:rsid w:val="00D11224"/>
    <w:rsid w:val="00D11690"/>
    <w:rsid w:val="00D1223D"/>
    <w:rsid w:val="00D12CBB"/>
    <w:rsid w:val="00D135E4"/>
    <w:rsid w:val="00D13DD2"/>
    <w:rsid w:val="00D14AF2"/>
    <w:rsid w:val="00D1627A"/>
    <w:rsid w:val="00D16418"/>
    <w:rsid w:val="00D16C0A"/>
    <w:rsid w:val="00D16C6E"/>
    <w:rsid w:val="00D16D35"/>
    <w:rsid w:val="00D17972"/>
    <w:rsid w:val="00D21E79"/>
    <w:rsid w:val="00D2428C"/>
    <w:rsid w:val="00D2603D"/>
    <w:rsid w:val="00D268CC"/>
    <w:rsid w:val="00D27CDE"/>
    <w:rsid w:val="00D306E4"/>
    <w:rsid w:val="00D312AA"/>
    <w:rsid w:val="00D31CDE"/>
    <w:rsid w:val="00D31EF7"/>
    <w:rsid w:val="00D321FA"/>
    <w:rsid w:val="00D32C18"/>
    <w:rsid w:val="00D335A4"/>
    <w:rsid w:val="00D33FCD"/>
    <w:rsid w:val="00D34F26"/>
    <w:rsid w:val="00D35295"/>
    <w:rsid w:val="00D356B3"/>
    <w:rsid w:val="00D3591E"/>
    <w:rsid w:val="00D35E54"/>
    <w:rsid w:val="00D373C6"/>
    <w:rsid w:val="00D41931"/>
    <w:rsid w:val="00D4471C"/>
    <w:rsid w:val="00D44BAB"/>
    <w:rsid w:val="00D4521A"/>
    <w:rsid w:val="00D4527E"/>
    <w:rsid w:val="00D45915"/>
    <w:rsid w:val="00D45AC7"/>
    <w:rsid w:val="00D4689E"/>
    <w:rsid w:val="00D474DB"/>
    <w:rsid w:val="00D505F5"/>
    <w:rsid w:val="00D52356"/>
    <w:rsid w:val="00D5313D"/>
    <w:rsid w:val="00D543F0"/>
    <w:rsid w:val="00D55688"/>
    <w:rsid w:val="00D56CE6"/>
    <w:rsid w:val="00D60715"/>
    <w:rsid w:val="00D6138D"/>
    <w:rsid w:val="00D61965"/>
    <w:rsid w:val="00D61C9B"/>
    <w:rsid w:val="00D6593C"/>
    <w:rsid w:val="00D65B71"/>
    <w:rsid w:val="00D66375"/>
    <w:rsid w:val="00D664B3"/>
    <w:rsid w:val="00D6740A"/>
    <w:rsid w:val="00D67429"/>
    <w:rsid w:val="00D70580"/>
    <w:rsid w:val="00D72D20"/>
    <w:rsid w:val="00D72D2D"/>
    <w:rsid w:val="00D73561"/>
    <w:rsid w:val="00D76C75"/>
    <w:rsid w:val="00D76E8E"/>
    <w:rsid w:val="00D77AAC"/>
    <w:rsid w:val="00D80A93"/>
    <w:rsid w:val="00D8292C"/>
    <w:rsid w:val="00D82B99"/>
    <w:rsid w:val="00D842B7"/>
    <w:rsid w:val="00D84765"/>
    <w:rsid w:val="00D8592C"/>
    <w:rsid w:val="00D86C3C"/>
    <w:rsid w:val="00D87361"/>
    <w:rsid w:val="00D87A25"/>
    <w:rsid w:val="00D90444"/>
    <w:rsid w:val="00D91448"/>
    <w:rsid w:val="00D92108"/>
    <w:rsid w:val="00D934EA"/>
    <w:rsid w:val="00D94600"/>
    <w:rsid w:val="00D94F3C"/>
    <w:rsid w:val="00D95BFC"/>
    <w:rsid w:val="00D96F1B"/>
    <w:rsid w:val="00D973C5"/>
    <w:rsid w:val="00D9771E"/>
    <w:rsid w:val="00D97B37"/>
    <w:rsid w:val="00DA0AB8"/>
    <w:rsid w:val="00DA15BC"/>
    <w:rsid w:val="00DA19F5"/>
    <w:rsid w:val="00DA1EAD"/>
    <w:rsid w:val="00DA1F1C"/>
    <w:rsid w:val="00DA3048"/>
    <w:rsid w:val="00DA4C03"/>
    <w:rsid w:val="00DA5225"/>
    <w:rsid w:val="00DA5CE1"/>
    <w:rsid w:val="00DA6467"/>
    <w:rsid w:val="00DA75BB"/>
    <w:rsid w:val="00DA76AE"/>
    <w:rsid w:val="00DA770E"/>
    <w:rsid w:val="00DB023B"/>
    <w:rsid w:val="00DB030B"/>
    <w:rsid w:val="00DB0512"/>
    <w:rsid w:val="00DB0FE3"/>
    <w:rsid w:val="00DB16DE"/>
    <w:rsid w:val="00DB1C4D"/>
    <w:rsid w:val="00DB2EDB"/>
    <w:rsid w:val="00DB6A04"/>
    <w:rsid w:val="00DB7F39"/>
    <w:rsid w:val="00DB7F9F"/>
    <w:rsid w:val="00DC1C51"/>
    <w:rsid w:val="00DC1E3D"/>
    <w:rsid w:val="00DC2CD5"/>
    <w:rsid w:val="00DC2E3A"/>
    <w:rsid w:val="00DC39DC"/>
    <w:rsid w:val="00DC3E66"/>
    <w:rsid w:val="00DC5517"/>
    <w:rsid w:val="00DC57DE"/>
    <w:rsid w:val="00DD1060"/>
    <w:rsid w:val="00DD150C"/>
    <w:rsid w:val="00DD3179"/>
    <w:rsid w:val="00DD641A"/>
    <w:rsid w:val="00DD6AB2"/>
    <w:rsid w:val="00DE37BD"/>
    <w:rsid w:val="00DE4C68"/>
    <w:rsid w:val="00DE5E6A"/>
    <w:rsid w:val="00DE6CF9"/>
    <w:rsid w:val="00DF03BA"/>
    <w:rsid w:val="00DF0678"/>
    <w:rsid w:val="00DF0D89"/>
    <w:rsid w:val="00DF0E68"/>
    <w:rsid w:val="00DF1E95"/>
    <w:rsid w:val="00DF30DD"/>
    <w:rsid w:val="00DF3AF6"/>
    <w:rsid w:val="00DF48B8"/>
    <w:rsid w:val="00DF4B62"/>
    <w:rsid w:val="00DF5A94"/>
    <w:rsid w:val="00DF5B80"/>
    <w:rsid w:val="00DF6CAD"/>
    <w:rsid w:val="00DF6CB8"/>
    <w:rsid w:val="00DF75B1"/>
    <w:rsid w:val="00DF7A5B"/>
    <w:rsid w:val="00E0051D"/>
    <w:rsid w:val="00E02692"/>
    <w:rsid w:val="00E03B98"/>
    <w:rsid w:val="00E067AC"/>
    <w:rsid w:val="00E07A06"/>
    <w:rsid w:val="00E10C9E"/>
    <w:rsid w:val="00E10DE4"/>
    <w:rsid w:val="00E11507"/>
    <w:rsid w:val="00E12DAC"/>
    <w:rsid w:val="00E165AC"/>
    <w:rsid w:val="00E20635"/>
    <w:rsid w:val="00E20B18"/>
    <w:rsid w:val="00E21C49"/>
    <w:rsid w:val="00E2203B"/>
    <w:rsid w:val="00E227BE"/>
    <w:rsid w:val="00E22BD6"/>
    <w:rsid w:val="00E22D45"/>
    <w:rsid w:val="00E2315C"/>
    <w:rsid w:val="00E258EC"/>
    <w:rsid w:val="00E262C0"/>
    <w:rsid w:val="00E33159"/>
    <w:rsid w:val="00E33B9C"/>
    <w:rsid w:val="00E342C5"/>
    <w:rsid w:val="00E365CF"/>
    <w:rsid w:val="00E36AA0"/>
    <w:rsid w:val="00E36AEE"/>
    <w:rsid w:val="00E37D52"/>
    <w:rsid w:val="00E405A7"/>
    <w:rsid w:val="00E405F8"/>
    <w:rsid w:val="00E41F2E"/>
    <w:rsid w:val="00E426D5"/>
    <w:rsid w:val="00E43CBC"/>
    <w:rsid w:val="00E44950"/>
    <w:rsid w:val="00E500F8"/>
    <w:rsid w:val="00E511EB"/>
    <w:rsid w:val="00E53D27"/>
    <w:rsid w:val="00E54A05"/>
    <w:rsid w:val="00E55698"/>
    <w:rsid w:val="00E5627D"/>
    <w:rsid w:val="00E5669A"/>
    <w:rsid w:val="00E56CBC"/>
    <w:rsid w:val="00E57F89"/>
    <w:rsid w:val="00E60BB4"/>
    <w:rsid w:val="00E62C9C"/>
    <w:rsid w:val="00E638AE"/>
    <w:rsid w:val="00E65062"/>
    <w:rsid w:val="00E67025"/>
    <w:rsid w:val="00E67A64"/>
    <w:rsid w:val="00E70055"/>
    <w:rsid w:val="00E7157A"/>
    <w:rsid w:val="00E725CF"/>
    <w:rsid w:val="00E727F9"/>
    <w:rsid w:val="00E72C1A"/>
    <w:rsid w:val="00E7311C"/>
    <w:rsid w:val="00E73F81"/>
    <w:rsid w:val="00E73F94"/>
    <w:rsid w:val="00E73FD1"/>
    <w:rsid w:val="00E75A1A"/>
    <w:rsid w:val="00E75D5C"/>
    <w:rsid w:val="00E75F40"/>
    <w:rsid w:val="00E774D6"/>
    <w:rsid w:val="00E806BF"/>
    <w:rsid w:val="00E80736"/>
    <w:rsid w:val="00E821F7"/>
    <w:rsid w:val="00E82A47"/>
    <w:rsid w:val="00E8326A"/>
    <w:rsid w:val="00E87FD0"/>
    <w:rsid w:val="00E90FDB"/>
    <w:rsid w:val="00E925A3"/>
    <w:rsid w:val="00E93991"/>
    <w:rsid w:val="00E96D78"/>
    <w:rsid w:val="00E97450"/>
    <w:rsid w:val="00E9777F"/>
    <w:rsid w:val="00E9779E"/>
    <w:rsid w:val="00EA003E"/>
    <w:rsid w:val="00EA4BA7"/>
    <w:rsid w:val="00EA4E90"/>
    <w:rsid w:val="00EA4FCF"/>
    <w:rsid w:val="00EA549C"/>
    <w:rsid w:val="00EA60D7"/>
    <w:rsid w:val="00EA688E"/>
    <w:rsid w:val="00EA7318"/>
    <w:rsid w:val="00EB0D6C"/>
    <w:rsid w:val="00EB190C"/>
    <w:rsid w:val="00EB29E2"/>
    <w:rsid w:val="00EB31A3"/>
    <w:rsid w:val="00EB42FB"/>
    <w:rsid w:val="00EB6C56"/>
    <w:rsid w:val="00EB77C9"/>
    <w:rsid w:val="00EC09F1"/>
    <w:rsid w:val="00EC3CF5"/>
    <w:rsid w:val="00EC5869"/>
    <w:rsid w:val="00EC670A"/>
    <w:rsid w:val="00ED017F"/>
    <w:rsid w:val="00ED0690"/>
    <w:rsid w:val="00ED1927"/>
    <w:rsid w:val="00ED4DE5"/>
    <w:rsid w:val="00ED6C95"/>
    <w:rsid w:val="00ED7F38"/>
    <w:rsid w:val="00EE02D5"/>
    <w:rsid w:val="00EE1FCA"/>
    <w:rsid w:val="00EE2AA3"/>
    <w:rsid w:val="00EE4AAD"/>
    <w:rsid w:val="00EF0654"/>
    <w:rsid w:val="00EF0A28"/>
    <w:rsid w:val="00EF16FA"/>
    <w:rsid w:val="00EF184E"/>
    <w:rsid w:val="00EF24CB"/>
    <w:rsid w:val="00EF282F"/>
    <w:rsid w:val="00EF3077"/>
    <w:rsid w:val="00EF359E"/>
    <w:rsid w:val="00EF362C"/>
    <w:rsid w:val="00EF38B1"/>
    <w:rsid w:val="00EF3A65"/>
    <w:rsid w:val="00EF5988"/>
    <w:rsid w:val="00EF5DF0"/>
    <w:rsid w:val="00F008F9"/>
    <w:rsid w:val="00F01313"/>
    <w:rsid w:val="00F016CA"/>
    <w:rsid w:val="00F02E4F"/>
    <w:rsid w:val="00F038B0"/>
    <w:rsid w:val="00F03B05"/>
    <w:rsid w:val="00F04919"/>
    <w:rsid w:val="00F06190"/>
    <w:rsid w:val="00F067AF"/>
    <w:rsid w:val="00F07B1B"/>
    <w:rsid w:val="00F07CE4"/>
    <w:rsid w:val="00F10FD5"/>
    <w:rsid w:val="00F11376"/>
    <w:rsid w:val="00F124F5"/>
    <w:rsid w:val="00F14696"/>
    <w:rsid w:val="00F14A81"/>
    <w:rsid w:val="00F16020"/>
    <w:rsid w:val="00F1629D"/>
    <w:rsid w:val="00F203AC"/>
    <w:rsid w:val="00F21879"/>
    <w:rsid w:val="00F23019"/>
    <w:rsid w:val="00F23B5D"/>
    <w:rsid w:val="00F24CD9"/>
    <w:rsid w:val="00F2562E"/>
    <w:rsid w:val="00F30354"/>
    <w:rsid w:val="00F305CF"/>
    <w:rsid w:val="00F30F82"/>
    <w:rsid w:val="00F31C22"/>
    <w:rsid w:val="00F32D5F"/>
    <w:rsid w:val="00F3309B"/>
    <w:rsid w:val="00F33355"/>
    <w:rsid w:val="00F33FA5"/>
    <w:rsid w:val="00F343CE"/>
    <w:rsid w:val="00F362E0"/>
    <w:rsid w:val="00F41B3A"/>
    <w:rsid w:val="00F41E5F"/>
    <w:rsid w:val="00F42338"/>
    <w:rsid w:val="00F42899"/>
    <w:rsid w:val="00F43699"/>
    <w:rsid w:val="00F43FB6"/>
    <w:rsid w:val="00F45ABE"/>
    <w:rsid w:val="00F45D82"/>
    <w:rsid w:val="00F4650D"/>
    <w:rsid w:val="00F46929"/>
    <w:rsid w:val="00F5115E"/>
    <w:rsid w:val="00F51C2D"/>
    <w:rsid w:val="00F51C7B"/>
    <w:rsid w:val="00F5240F"/>
    <w:rsid w:val="00F53C17"/>
    <w:rsid w:val="00F55834"/>
    <w:rsid w:val="00F56A17"/>
    <w:rsid w:val="00F56BAE"/>
    <w:rsid w:val="00F57438"/>
    <w:rsid w:val="00F60276"/>
    <w:rsid w:val="00F61DF1"/>
    <w:rsid w:val="00F63774"/>
    <w:rsid w:val="00F63ADF"/>
    <w:rsid w:val="00F63CBF"/>
    <w:rsid w:val="00F63F2A"/>
    <w:rsid w:val="00F6540B"/>
    <w:rsid w:val="00F664CB"/>
    <w:rsid w:val="00F66620"/>
    <w:rsid w:val="00F66D57"/>
    <w:rsid w:val="00F66EB6"/>
    <w:rsid w:val="00F678A3"/>
    <w:rsid w:val="00F6793D"/>
    <w:rsid w:val="00F70217"/>
    <w:rsid w:val="00F70631"/>
    <w:rsid w:val="00F707DB"/>
    <w:rsid w:val="00F734E9"/>
    <w:rsid w:val="00F77A66"/>
    <w:rsid w:val="00F77E83"/>
    <w:rsid w:val="00F825C1"/>
    <w:rsid w:val="00F82837"/>
    <w:rsid w:val="00F8327D"/>
    <w:rsid w:val="00F84689"/>
    <w:rsid w:val="00F85B51"/>
    <w:rsid w:val="00F86A5F"/>
    <w:rsid w:val="00F87E50"/>
    <w:rsid w:val="00F87F35"/>
    <w:rsid w:val="00F90AD1"/>
    <w:rsid w:val="00F9158A"/>
    <w:rsid w:val="00F91812"/>
    <w:rsid w:val="00F92026"/>
    <w:rsid w:val="00F9288B"/>
    <w:rsid w:val="00F95641"/>
    <w:rsid w:val="00F97132"/>
    <w:rsid w:val="00F97582"/>
    <w:rsid w:val="00F97A98"/>
    <w:rsid w:val="00FA0671"/>
    <w:rsid w:val="00FA119D"/>
    <w:rsid w:val="00FA29A3"/>
    <w:rsid w:val="00FA2DB5"/>
    <w:rsid w:val="00FA4922"/>
    <w:rsid w:val="00FA496A"/>
    <w:rsid w:val="00FA548D"/>
    <w:rsid w:val="00FA575B"/>
    <w:rsid w:val="00FA7A82"/>
    <w:rsid w:val="00FB21E3"/>
    <w:rsid w:val="00FB280B"/>
    <w:rsid w:val="00FB37E4"/>
    <w:rsid w:val="00FB3B60"/>
    <w:rsid w:val="00FB62C6"/>
    <w:rsid w:val="00FB6998"/>
    <w:rsid w:val="00FB78A5"/>
    <w:rsid w:val="00FC15FE"/>
    <w:rsid w:val="00FC360E"/>
    <w:rsid w:val="00FC439F"/>
    <w:rsid w:val="00FC53DA"/>
    <w:rsid w:val="00FD11AC"/>
    <w:rsid w:val="00FD4EDC"/>
    <w:rsid w:val="00FD4FD8"/>
    <w:rsid w:val="00FD5C08"/>
    <w:rsid w:val="00FD5DAF"/>
    <w:rsid w:val="00FD78A8"/>
    <w:rsid w:val="00FE02E1"/>
    <w:rsid w:val="00FE1EDC"/>
    <w:rsid w:val="00FE36E8"/>
    <w:rsid w:val="00FE3EF4"/>
    <w:rsid w:val="00FE50A6"/>
    <w:rsid w:val="00FE548F"/>
    <w:rsid w:val="00FE67B4"/>
    <w:rsid w:val="00FE79E4"/>
    <w:rsid w:val="00FE7DDA"/>
    <w:rsid w:val="00FF0ABF"/>
    <w:rsid w:val="00FF1F30"/>
    <w:rsid w:val="00FF263B"/>
    <w:rsid w:val="00FF4A9C"/>
    <w:rsid w:val="00FF505A"/>
    <w:rsid w:val="00FF61E1"/>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15:docId w15:val="{601329BC-F795-4E84-94F2-1DAE4194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F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121579800">
      <w:bodyDiv w:val="1"/>
      <w:marLeft w:val="0"/>
      <w:marRight w:val="0"/>
      <w:marTop w:val="0"/>
      <w:marBottom w:val="0"/>
      <w:divBdr>
        <w:top w:val="none" w:sz="0" w:space="0" w:color="auto"/>
        <w:left w:val="none" w:sz="0" w:space="0" w:color="auto"/>
        <w:bottom w:val="none" w:sz="0" w:space="0" w:color="auto"/>
        <w:right w:val="none" w:sz="0" w:space="0" w:color="auto"/>
      </w:divBdr>
    </w:div>
    <w:div w:id="169299851">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560142701">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646008049">
      <w:bodyDiv w:val="1"/>
      <w:marLeft w:val="0"/>
      <w:marRight w:val="0"/>
      <w:marTop w:val="0"/>
      <w:marBottom w:val="0"/>
      <w:divBdr>
        <w:top w:val="none" w:sz="0" w:space="0" w:color="auto"/>
        <w:left w:val="none" w:sz="0" w:space="0" w:color="auto"/>
        <w:bottom w:val="none" w:sz="0" w:space="0" w:color="auto"/>
        <w:right w:val="none" w:sz="0" w:space="0" w:color="auto"/>
      </w:divBdr>
    </w:div>
    <w:div w:id="1686978703">
      <w:bodyDiv w:val="1"/>
      <w:marLeft w:val="0"/>
      <w:marRight w:val="0"/>
      <w:marTop w:val="0"/>
      <w:marBottom w:val="0"/>
      <w:divBdr>
        <w:top w:val="none" w:sz="0" w:space="0" w:color="auto"/>
        <w:left w:val="none" w:sz="0" w:space="0" w:color="auto"/>
        <w:bottom w:val="none" w:sz="0" w:space="0" w:color="auto"/>
        <w:right w:val="none" w:sz="0" w:space="0" w:color="auto"/>
      </w:divBdr>
    </w:div>
    <w:div w:id="1723098733">
      <w:bodyDiv w:val="1"/>
      <w:marLeft w:val="0"/>
      <w:marRight w:val="0"/>
      <w:marTop w:val="0"/>
      <w:marBottom w:val="0"/>
      <w:divBdr>
        <w:top w:val="none" w:sz="0" w:space="0" w:color="auto"/>
        <w:left w:val="none" w:sz="0" w:space="0" w:color="auto"/>
        <w:bottom w:val="none" w:sz="0" w:space="0" w:color="auto"/>
        <w:right w:val="none" w:sz="0" w:space="0" w:color="auto"/>
      </w:divBdr>
    </w:div>
    <w:div w:id="1829204369">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 w:id="1998921044">
      <w:bodyDiv w:val="1"/>
      <w:marLeft w:val="0"/>
      <w:marRight w:val="0"/>
      <w:marTop w:val="0"/>
      <w:marBottom w:val="0"/>
      <w:divBdr>
        <w:top w:val="none" w:sz="0" w:space="0" w:color="auto"/>
        <w:left w:val="none" w:sz="0" w:space="0" w:color="auto"/>
        <w:bottom w:val="none" w:sz="0" w:space="0" w:color="auto"/>
        <w:right w:val="none" w:sz="0" w:space="0" w:color="auto"/>
      </w:divBdr>
    </w:div>
    <w:div w:id="206498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D61FD-BF16-44BD-A454-8C5FF4F93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9087</TotalTime>
  <Pages>11</Pages>
  <Words>3706</Words>
  <Characters>21129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24786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Zhu, Jinfeng</cp:lastModifiedBy>
  <cp:revision>1858</cp:revision>
  <dcterms:created xsi:type="dcterms:W3CDTF">2018-07-05T06:44:00Z</dcterms:created>
  <dcterms:modified xsi:type="dcterms:W3CDTF">2020-03-12T15:23:00Z</dcterms:modified>
</cp:coreProperties>
</file>