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12C06C09" w:rsidR="00365DEB" w:rsidRPr="00565DE9" w:rsidRDefault="00E0051D" w:rsidP="00D61965">
      <w:pPr>
        <w:spacing w:after="60"/>
        <w:jc w:val="center"/>
        <w:rPr>
          <w:b/>
        </w:rPr>
      </w:pPr>
      <w:r>
        <w:rPr>
          <w:b/>
        </w:rPr>
        <w:t>201</w:t>
      </w:r>
      <w:r w:rsidR="00DA5CE1">
        <w:rPr>
          <w:b/>
        </w:rPr>
        <w:t>6</w:t>
      </w:r>
      <w:r w:rsidR="007F268F">
        <w:rPr>
          <w:b/>
        </w:rPr>
        <w:t xml:space="preserve"> S1</w:t>
      </w:r>
    </w:p>
    <w:p w14:paraId="25DB48BC" w14:textId="360B8C06" w:rsidR="00DA5CE1" w:rsidRPr="00990639" w:rsidRDefault="00BC7AE6" w:rsidP="00DA5CE1">
      <w:pPr>
        <w:spacing w:after="0"/>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0B7552">
        <w:t xml:space="preserve"> </w:t>
      </w:r>
    </w:p>
    <w:p w14:paraId="7F2CD76D" w14:textId="77777777" w:rsidR="00650131" w:rsidRPr="00650131" w:rsidRDefault="00650131" w:rsidP="00650131">
      <w:pPr>
        <w:pStyle w:val="ListParagraph"/>
        <w:numPr>
          <w:ilvl w:val="0"/>
          <w:numId w:val="30"/>
        </w:numPr>
        <w:spacing w:after="0"/>
        <w:rPr>
          <w:color w:val="C00000"/>
        </w:rPr>
      </w:pPr>
      <w:r w:rsidRPr="00650131">
        <w:rPr>
          <w:color w:val="C00000"/>
        </w:rPr>
        <w:t>Capital Base = Net Assets – Adjustments to Net Assets</w:t>
      </w:r>
    </w:p>
    <w:p w14:paraId="4D99E0ED" w14:textId="77777777" w:rsidR="00650131" w:rsidRPr="00650131" w:rsidRDefault="00650131" w:rsidP="00650131">
      <w:pPr>
        <w:pStyle w:val="ListParagraph"/>
        <w:numPr>
          <w:ilvl w:val="0"/>
          <w:numId w:val="30"/>
        </w:numPr>
        <w:spacing w:after="0"/>
        <w:rPr>
          <w:color w:val="C00000"/>
        </w:rPr>
      </w:pPr>
      <w:r w:rsidRPr="00650131">
        <w:rPr>
          <w:color w:val="C00000"/>
        </w:rPr>
        <w:t xml:space="preserve">In the absence of deferred tax and other adjustments, this becomes: </w:t>
      </w:r>
    </w:p>
    <w:p w14:paraId="765166F2" w14:textId="2356C090" w:rsidR="00650131" w:rsidRPr="00650131" w:rsidRDefault="00650131" w:rsidP="00650131">
      <w:pPr>
        <w:spacing w:after="0"/>
        <w:ind w:left="720" w:firstLine="720"/>
        <w:rPr>
          <w:color w:val="C00000"/>
        </w:rPr>
      </w:pPr>
      <w:r w:rsidRPr="00650131">
        <w:rPr>
          <w:color w:val="C00000"/>
        </w:rPr>
        <w:t xml:space="preserve">Capital Base = Net Assets – (Adjusted Net Policy Liability – Net Policy Liability) </w:t>
      </w:r>
    </w:p>
    <w:p w14:paraId="0AD570D2" w14:textId="2BE73B31" w:rsidR="008F2EBF" w:rsidRDefault="00650131" w:rsidP="00650131">
      <w:pPr>
        <w:pStyle w:val="ListParagraph"/>
        <w:numPr>
          <w:ilvl w:val="0"/>
          <w:numId w:val="30"/>
        </w:numPr>
        <w:spacing w:after="0"/>
        <w:rPr>
          <w:color w:val="C00000"/>
        </w:rPr>
      </w:pPr>
      <w:r w:rsidRPr="00650131">
        <w:rPr>
          <w:color w:val="C00000"/>
        </w:rPr>
        <w:t>Adjusted net policy liability = 0, since RFBEL &lt; CTV = 0 as provided in the assumptions in the spreadsheet. So, Capital Base = Net Assets – Net Policy Liability = Cash + Investments</w:t>
      </w:r>
    </w:p>
    <w:p w14:paraId="31146AA8" w14:textId="77777777" w:rsidR="00650131" w:rsidRDefault="00650131" w:rsidP="00650131">
      <w:pPr>
        <w:spacing w:after="0"/>
        <w:rPr>
          <w:color w:val="C00000"/>
        </w:rPr>
      </w:pPr>
    </w:p>
    <w:p w14:paraId="358EE59D" w14:textId="3C9542CC" w:rsidR="00650131" w:rsidRDefault="00650131" w:rsidP="00650131">
      <w:pPr>
        <w:spacing w:after="0"/>
        <w:rPr>
          <w:b/>
          <w:i/>
          <w:color w:val="C00000"/>
        </w:rPr>
      </w:pPr>
      <w:r w:rsidRPr="00650131">
        <w:rPr>
          <w:b/>
          <w:i/>
          <w:color w:val="C00000"/>
        </w:rPr>
        <w:t>When Net Policy Liability is negative, Capital Base = Net Assets – Net Policy Liability</w:t>
      </w:r>
    </w:p>
    <w:p w14:paraId="45305AEF" w14:textId="77777777" w:rsidR="00650131" w:rsidRDefault="00650131" w:rsidP="00650131">
      <w:pPr>
        <w:spacing w:after="0"/>
        <w:rPr>
          <w:b/>
          <w:i/>
          <w:color w:val="C00000"/>
        </w:rPr>
      </w:pPr>
    </w:p>
    <w:p w14:paraId="6B1D5FF5" w14:textId="60848449" w:rsidR="00650131" w:rsidRDefault="001E76EA" w:rsidP="00650131">
      <w:pPr>
        <w:spacing w:after="0"/>
        <w:rPr>
          <w:b/>
          <w:i/>
          <w:color w:val="C00000"/>
        </w:rPr>
      </w:pPr>
      <w:r>
        <w:rPr>
          <w:b/>
          <w:i/>
          <w:color w:val="C00000"/>
        </w:rPr>
        <w:t>T</w:t>
      </w:r>
      <w:r w:rsidRPr="001E76EA">
        <w:rPr>
          <w:b/>
          <w:i/>
          <w:color w:val="C00000"/>
        </w:rPr>
        <w:t>ermination values = CICP + IBNR + RBNA + DLR + UPR + Surrender Value</w:t>
      </w:r>
      <w:r>
        <w:rPr>
          <w:b/>
          <w:i/>
          <w:color w:val="C00000"/>
        </w:rPr>
        <w:t xml:space="preserve"> = 0</w:t>
      </w:r>
    </w:p>
    <w:p w14:paraId="15E40DF5" w14:textId="77777777" w:rsidR="001E76EA" w:rsidRDefault="001E76EA" w:rsidP="00650131">
      <w:pPr>
        <w:spacing w:after="0"/>
        <w:rPr>
          <w:b/>
          <w:i/>
          <w:color w:val="C00000"/>
        </w:rPr>
      </w:pPr>
    </w:p>
    <w:p w14:paraId="2EECD90A" w14:textId="77777777" w:rsidR="005A2755" w:rsidRDefault="001E76EA" w:rsidP="00D356B3">
      <w:pPr>
        <w:spacing w:after="0"/>
        <w:rPr>
          <w:color w:val="000000" w:themeColor="text1"/>
        </w:rPr>
      </w:pPr>
      <w:r>
        <w:rPr>
          <w:color w:val="000000" w:themeColor="text1"/>
        </w:rPr>
        <w:t xml:space="preserve">b) </w:t>
      </w:r>
      <w:r w:rsidR="00D356B3">
        <w:rPr>
          <w:color w:val="000000" w:themeColor="text1"/>
        </w:rPr>
        <w:t xml:space="preserve">iii. </w:t>
      </w:r>
    </w:p>
    <w:p w14:paraId="481C9AFB" w14:textId="77777777" w:rsidR="005A2755" w:rsidRDefault="005A2755" w:rsidP="00D356B3">
      <w:pPr>
        <w:spacing w:after="0"/>
        <w:rPr>
          <w:b/>
          <w:color w:val="C00000"/>
        </w:rPr>
      </w:pPr>
      <w:r w:rsidRPr="005A2755">
        <w:rPr>
          <w:b/>
          <w:color w:val="C00000"/>
        </w:rPr>
        <w:t>The Appointed Actuary would be responsible for recommending the best estimate assumptions but not the implementation of management actions.</w:t>
      </w:r>
    </w:p>
    <w:p w14:paraId="1AAA0E92" w14:textId="77777777" w:rsidR="005A2755" w:rsidRPr="005A2755" w:rsidRDefault="005A2755" w:rsidP="00D356B3">
      <w:pPr>
        <w:spacing w:after="0"/>
        <w:rPr>
          <w:b/>
          <w:color w:val="C00000"/>
        </w:rPr>
      </w:pPr>
    </w:p>
    <w:p w14:paraId="61876469" w14:textId="0C725EC3" w:rsidR="00D356B3" w:rsidRDefault="00D356B3" w:rsidP="00D356B3">
      <w:pPr>
        <w:spacing w:after="0"/>
        <w:rPr>
          <w:color w:val="000000" w:themeColor="text1"/>
        </w:rPr>
      </w:pPr>
      <w:r>
        <w:rPr>
          <w:color w:val="000000" w:themeColor="text1"/>
        </w:rPr>
        <w:t>M</w:t>
      </w:r>
      <w:r w:rsidRPr="00D356B3">
        <w:rPr>
          <w:color w:val="000000" w:themeColor="text1"/>
        </w:rPr>
        <w:t xml:space="preserve">anagement would </w:t>
      </w:r>
      <w:r w:rsidRPr="00D356B3">
        <w:rPr>
          <w:color w:val="C00000"/>
        </w:rPr>
        <w:t xml:space="preserve">limit or eliminate dividends in response to the stress </w:t>
      </w:r>
      <w:r w:rsidRPr="00D356B3">
        <w:rPr>
          <w:color w:val="000000" w:themeColor="text1"/>
        </w:rPr>
        <w:t>and to avoid breaching capital requirements</w:t>
      </w:r>
      <w:r>
        <w:rPr>
          <w:color w:val="000000" w:themeColor="text1"/>
        </w:rPr>
        <w:t>.</w:t>
      </w:r>
    </w:p>
    <w:p w14:paraId="794E00D4" w14:textId="22240735" w:rsidR="00D356B3" w:rsidRPr="00D356B3" w:rsidRDefault="00D356B3" w:rsidP="00D356B3">
      <w:pPr>
        <w:spacing w:after="0"/>
        <w:rPr>
          <w:color w:val="000000" w:themeColor="text1"/>
        </w:rPr>
      </w:pPr>
      <w:r>
        <w:rPr>
          <w:color w:val="000000" w:themeColor="text1"/>
        </w:rPr>
        <w:t>O</w:t>
      </w:r>
      <w:r w:rsidRPr="00D356B3">
        <w:rPr>
          <w:color w:val="000000" w:themeColor="text1"/>
        </w:rPr>
        <w:t>ther reasonable actions that management would need to consider, for instance:</w:t>
      </w:r>
    </w:p>
    <w:p w14:paraId="4082C8AA" w14:textId="26FA63DD" w:rsidR="00D356B3" w:rsidRPr="00D356B3" w:rsidRDefault="00D356B3" w:rsidP="00D356B3">
      <w:pPr>
        <w:pStyle w:val="ListParagraph"/>
        <w:numPr>
          <w:ilvl w:val="0"/>
          <w:numId w:val="31"/>
        </w:numPr>
        <w:spacing w:after="0"/>
        <w:rPr>
          <w:color w:val="000000" w:themeColor="text1"/>
        </w:rPr>
      </w:pPr>
      <w:r w:rsidRPr="00D356B3">
        <w:rPr>
          <w:color w:val="000000" w:themeColor="text1"/>
        </w:rPr>
        <w:t xml:space="preserve">Whether they would </w:t>
      </w:r>
      <w:r w:rsidRPr="00D356B3">
        <w:rPr>
          <w:color w:val="C00000"/>
        </w:rPr>
        <w:t>initiate a repricing of the portfolio to offset the impacts</w:t>
      </w:r>
      <w:r w:rsidRPr="00D356B3">
        <w:rPr>
          <w:color w:val="000000" w:themeColor="text1"/>
        </w:rPr>
        <w:t>, and when they would do / be able to implement this,</w:t>
      </w:r>
    </w:p>
    <w:p w14:paraId="74590123" w14:textId="49707BEE" w:rsidR="00D356B3" w:rsidRPr="00D356B3" w:rsidRDefault="00D356B3" w:rsidP="00D356B3">
      <w:pPr>
        <w:pStyle w:val="ListParagraph"/>
        <w:numPr>
          <w:ilvl w:val="0"/>
          <w:numId w:val="31"/>
        </w:numPr>
        <w:spacing w:after="0"/>
        <w:rPr>
          <w:color w:val="000000" w:themeColor="text1"/>
        </w:rPr>
      </w:pPr>
      <w:r w:rsidRPr="00D356B3">
        <w:rPr>
          <w:color w:val="000000" w:themeColor="text1"/>
        </w:rPr>
        <w:t xml:space="preserve">Whether </w:t>
      </w:r>
      <w:r w:rsidRPr="00D356B3">
        <w:rPr>
          <w:color w:val="C00000"/>
        </w:rPr>
        <w:t>they would limit new business sales</w:t>
      </w:r>
      <w:r w:rsidRPr="00D356B3">
        <w:rPr>
          <w:color w:val="943634" w:themeColor="accent2" w:themeShade="BF"/>
        </w:rPr>
        <w:t xml:space="preserve"> </w:t>
      </w:r>
      <w:r w:rsidRPr="00D356B3">
        <w:rPr>
          <w:color w:val="000000" w:themeColor="text1"/>
        </w:rPr>
        <w:t>to improve capital strength,</w:t>
      </w:r>
    </w:p>
    <w:p w14:paraId="158DA4B0" w14:textId="1138FC79" w:rsidR="00D356B3" w:rsidRPr="00D356B3" w:rsidRDefault="00D356B3" w:rsidP="00D356B3">
      <w:pPr>
        <w:pStyle w:val="ListParagraph"/>
        <w:numPr>
          <w:ilvl w:val="0"/>
          <w:numId w:val="31"/>
        </w:numPr>
        <w:spacing w:after="0"/>
        <w:rPr>
          <w:color w:val="000000" w:themeColor="text1"/>
        </w:rPr>
      </w:pPr>
      <w:r w:rsidRPr="00D356B3">
        <w:rPr>
          <w:color w:val="000000" w:themeColor="text1"/>
        </w:rPr>
        <w:t>How these considerations feed into their goal of growing their business, and whether the resulting profit margins are still favourable enough for them to consider continuing,</w:t>
      </w:r>
    </w:p>
    <w:p w14:paraId="75F3A8E9" w14:textId="68A4DB80" w:rsidR="00D356B3" w:rsidRPr="00D356B3" w:rsidRDefault="00D356B3" w:rsidP="00D356B3">
      <w:pPr>
        <w:pStyle w:val="ListParagraph"/>
        <w:numPr>
          <w:ilvl w:val="0"/>
          <w:numId w:val="31"/>
        </w:numPr>
        <w:spacing w:after="0"/>
        <w:rPr>
          <w:color w:val="000000" w:themeColor="text1"/>
        </w:rPr>
      </w:pPr>
      <w:r w:rsidRPr="00D356B3">
        <w:rPr>
          <w:color w:val="C00000"/>
        </w:rPr>
        <w:t>Consideration of capital raising during the scenario</w:t>
      </w:r>
      <w:r w:rsidRPr="00D356B3">
        <w:rPr>
          <w:color w:val="000000" w:themeColor="text1"/>
        </w:rPr>
        <w:t>, this could include Tier 2 capital, particularly as the existing shareholders are not in a position to inject additional capital.</w:t>
      </w:r>
    </w:p>
    <w:p w14:paraId="68F826ED" w14:textId="5A32C071" w:rsidR="001E76EA" w:rsidRPr="00D356B3" w:rsidRDefault="00D356B3" w:rsidP="00D356B3">
      <w:pPr>
        <w:pStyle w:val="ListParagraph"/>
        <w:numPr>
          <w:ilvl w:val="0"/>
          <w:numId w:val="31"/>
        </w:numPr>
        <w:spacing w:after="0"/>
        <w:rPr>
          <w:color w:val="C00000"/>
        </w:rPr>
      </w:pPr>
      <w:r w:rsidRPr="00D356B3">
        <w:rPr>
          <w:color w:val="C00000"/>
        </w:rPr>
        <w:t>How the changes in market conditions may impact on their capital management going forward.</w:t>
      </w:r>
    </w:p>
    <w:p w14:paraId="768F1DF5" w14:textId="77777777" w:rsidR="001E76EA" w:rsidRDefault="001E76EA" w:rsidP="00650131">
      <w:pPr>
        <w:spacing w:after="0"/>
        <w:rPr>
          <w:color w:val="000000" w:themeColor="text1"/>
        </w:rPr>
      </w:pPr>
    </w:p>
    <w:p w14:paraId="2C1E6982" w14:textId="77777777" w:rsidR="00461D21" w:rsidRDefault="00461D21" w:rsidP="00650131">
      <w:pPr>
        <w:spacing w:after="0"/>
        <w:rPr>
          <w:color w:val="000000" w:themeColor="text1"/>
        </w:rPr>
      </w:pPr>
      <w:r>
        <w:rPr>
          <w:color w:val="000000" w:themeColor="text1"/>
        </w:rPr>
        <w:t xml:space="preserve">d) </w:t>
      </w:r>
      <w:r w:rsidRPr="00461D21">
        <w:rPr>
          <w:b/>
          <w:color w:val="000000" w:themeColor="text1"/>
        </w:rPr>
        <w:t>Existing Capital Position</w:t>
      </w:r>
    </w:p>
    <w:p w14:paraId="036DA01A" w14:textId="0358DB25" w:rsidR="00D356B3" w:rsidRDefault="00461D21" w:rsidP="00650131">
      <w:pPr>
        <w:spacing w:after="0"/>
        <w:rPr>
          <w:color w:val="000000" w:themeColor="text1"/>
        </w:rPr>
      </w:pPr>
      <w:r w:rsidRPr="00461D21">
        <w:rPr>
          <w:color w:val="C00000"/>
        </w:rPr>
        <w:t>The company has sufficient capital to fund planned growth and dividend payouts</w:t>
      </w:r>
      <w:r w:rsidRPr="00461D21">
        <w:rPr>
          <w:color w:val="000000" w:themeColor="text1"/>
        </w:rPr>
        <w:t>. The projected results indicate the company could support either higher sales or a larger dividend payout to shareholders.</w:t>
      </w:r>
    </w:p>
    <w:p w14:paraId="02DBBFD6" w14:textId="77777777" w:rsidR="00461D21" w:rsidRDefault="00461D21" w:rsidP="00650131">
      <w:pPr>
        <w:spacing w:after="0"/>
        <w:rPr>
          <w:color w:val="000000" w:themeColor="text1"/>
        </w:rPr>
      </w:pPr>
    </w:p>
    <w:p w14:paraId="435B1A5B" w14:textId="7ABA7ABC" w:rsidR="00461D21" w:rsidRPr="00461D21" w:rsidRDefault="00461D21" w:rsidP="00650131">
      <w:pPr>
        <w:spacing w:after="0"/>
        <w:rPr>
          <w:b/>
          <w:color w:val="000000" w:themeColor="text1"/>
        </w:rPr>
      </w:pPr>
      <w:r w:rsidRPr="00461D21">
        <w:rPr>
          <w:b/>
          <w:color w:val="000000" w:themeColor="text1"/>
        </w:rPr>
        <w:t>Results of Stress Tests</w:t>
      </w:r>
    </w:p>
    <w:p w14:paraId="5F038039" w14:textId="0F097D0B" w:rsidR="00461D21" w:rsidRDefault="00461D21" w:rsidP="00461D21">
      <w:pPr>
        <w:spacing w:after="0"/>
        <w:rPr>
          <w:color w:val="000000" w:themeColor="text1"/>
        </w:rPr>
      </w:pPr>
      <w:r>
        <w:rPr>
          <w:color w:val="000000" w:themeColor="text1"/>
        </w:rPr>
        <w:t xml:space="preserve">A </w:t>
      </w:r>
      <w:r w:rsidRPr="00461D21">
        <w:rPr>
          <w:color w:val="000000" w:themeColor="text1"/>
        </w:rPr>
        <w:t xml:space="preserve">breach of Target Capital occurs in year 2 and a breach of </w:t>
      </w:r>
      <w:r>
        <w:rPr>
          <w:color w:val="000000" w:themeColor="text1"/>
        </w:rPr>
        <w:t xml:space="preserve">Regulatory Capital Requirements </w:t>
      </w:r>
      <w:r w:rsidRPr="00461D21">
        <w:rPr>
          <w:color w:val="000000" w:themeColor="text1"/>
        </w:rPr>
        <w:t>occurs in year 3 following the stress and changes to assumptions.</w:t>
      </w:r>
    </w:p>
    <w:p w14:paraId="7A0ED44D" w14:textId="77777777" w:rsidR="00461D21" w:rsidRDefault="00461D21" w:rsidP="00461D21">
      <w:pPr>
        <w:spacing w:after="0"/>
        <w:rPr>
          <w:color w:val="000000" w:themeColor="text1"/>
        </w:rPr>
      </w:pPr>
    </w:p>
    <w:p w14:paraId="25F38EDA" w14:textId="64C6DB72" w:rsidR="00461D21" w:rsidRPr="00461D21" w:rsidRDefault="00461D21" w:rsidP="00461D21">
      <w:pPr>
        <w:spacing w:after="0"/>
        <w:rPr>
          <w:b/>
          <w:color w:val="000000" w:themeColor="text1"/>
        </w:rPr>
      </w:pPr>
      <w:r w:rsidRPr="00461D21">
        <w:rPr>
          <w:b/>
          <w:color w:val="000000" w:themeColor="text1"/>
        </w:rPr>
        <w:t>Appropriateness of Target Surplus</w:t>
      </w:r>
    </w:p>
    <w:p w14:paraId="3BDD9E2C" w14:textId="68776AA0" w:rsidR="00461D21" w:rsidRDefault="00461D21" w:rsidP="00461D21">
      <w:pPr>
        <w:spacing w:after="0"/>
        <w:rPr>
          <w:color w:val="000000" w:themeColor="text1"/>
        </w:rPr>
      </w:pPr>
      <w:r>
        <w:rPr>
          <w:color w:val="000000" w:themeColor="text1"/>
        </w:rPr>
        <w:t>A</w:t>
      </w:r>
      <w:r w:rsidRPr="00461D21">
        <w:rPr>
          <w:color w:val="000000" w:themeColor="text1"/>
        </w:rPr>
        <w:t xml:space="preserve"> 20% target is insufficient</w:t>
      </w:r>
      <w:r>
        <w:rPr>
          <w:color w:val="000000" w:themeColor="text1"/>
        </w:rPr>
        <w:t>.</w:t>
      </w:r>
    </w:p>
    <w:p w14:paraId="071F32BC" w14:textId="348E440E" w:rsidR="00461D21" w:rsidRPr="00461D21" w:rsidRDefault="00461D21" w:rsidP="00461D21">
      <w:pPr>
        <w:spacing w:after="0"/>
        <w:rPr>
          <w:color w:val="000000" w:themeColor="text1"/>
        </w:rPr>
      </w:pPr>
      <w:r>
        <w:rPr>
          <w:color w:val="000000" w:themeColor="text1"/>
        </w:rPr>
        <w:lastRenderedPageBreak/>
        <w:t>R</w:t>
      </w:r>
      <w:r w:rsidRPr="00461D21">
        <w:rPr>
          <w:color w:val="000000" w:themeColor="text1"/>
        </w:rPr>
        <w:t xml:space="preserve">aise elements of LPS 110 / CPG 110 in a discussion of </w:t>
      </w:r>
      <w:r w:rsidRPr="00461D21">
        <w:rPr>
          <w:color w:val="C00000"/>
        </w:rPr>
        <w:t>how to set a good target surplus policy</w:t>
      </w:r>
      <w:r>
        <w:rPr>
          <w:color w:val="000000" w:themeColor="text1"/>
        </w:rPr>
        <w:t>. For example:</w:t>
      </w:r>
    </w:p>
    <w:p w14:paraId="52EA0B32" w14:textId="11B93E76" w:rsidR="00461D21" w:rsidRPr="00461D21" w:rsidRDefault="00461D21" w:rsidP="00461D21">
      <w:pPr>
        <w:pStyle w:val="ListParagraph"/>
        <w:numPr>
          <w:ilvl w:val="0"/>
          <w:numId w:val="31"/>
        </w:numPr>
        <w:spacing w:after="0"/>
        <w:rPr>
          <w:color w:val="000000" w:themeColor="text1"/>
        </w:rPr>
      </w:pPr>
      <w:r w:rsidRPr="00461D21">
        <w:rPr>
          <w:color w:val="C00000"/>
        </w:rPr>
        <w:t xml:space="preserve">Considers the risk appetite </w:t>
      </w:r>
      <w:r w:rsidRPr="00461D21">
        <w:rPr>
          <w:color w:val="000000" w:themeColor="text1"/>
        </w:rPr>
        <w:t>of BOI,</w:t>
      </w:r>
    </w:p>
    <w:p w14:paraId="77BC6024" w14:textId="73D8A225" w:rsidR="00461D21" w:rsidRPr="00461D21" w:rsidRDefault="00461D21" w:rsidP="00461D21">
      <w:pPr>
        <w:pStyle w:val="ListParagraph"/>
        <w:numPr>
          <w:ilvl w:val="0"/>
          <w:numId w:val="31"/>
        </w:numPr>
        <w:spacing w:after="0"/>
        <w:rPr>
          <w:color w:val="000000" w:themeColor="text1"/>
        </w:rPr>
      </w:pPr>
      <w:r w:rsidRPr="00461D21">
        <w:rPr>
          <w:color w:val="C00000"/>
        </w:rPr>
        <w:t xml:space="preserve">Considers the dividend policy and business plans </w:t>
      </w:r>
      <w:r w:rsidRPr="00461D21">
        <w:rPr>
          <w:color w:val="000000" w:themeColor="text1"/>
        </w:rPr>
        <w:t>of BOI (i.e. the capital strain of business growth against the willingness to forgo dividends when required),</w:t>
      </w:r>
    </w:p>
    <w:p w14:paraId="10C14343" w14:textId="56DEDDED" w:rsidR="00461D21" w:rsidRPr="00461D21" w:rsidRDefault="00461D21" w:rsidP="00461D21">
      <w:pPr>
        <w:pStyle w:val="ListParagraph"/>
        <w:numPr>
          <w:ilvl w:val="0"/>
          <w:numId w:val="31"/>
        </w:numPr>
        <w:spacing w:after="0"/>
        <w:rPr>
          <w:color w:val="000000" w:themeColor="text1"/>
        </w:rPr>
      </w:pPr>
      <w:r w:rsidRPr="00461D21">
        <w:rPr>
          <w:color w:val="000000" w:themeColor="text1"/>
        </w:rPr>
        <w:t>Considers the lack of access to new injections of shareholder capital for BOI,</w:t>
      </w:r>
    </w:p>
    <w:p w14:paraId="484259DC" w14:textId="447F1D2A" w:rsidR="00461D21" w:rsidRDefault="00461D21" w:rsidP="00461D21">
      <w:pPr>
        <w:pStyle w:val="ListParagraph"/>
        <w:numPr>
          <w:ilvl w:val="0"/>
          <w:numId w:val="31"/>
        </w:numPr>
        <w:spacing w:after="0"/>
        <w:rPr>
          <w:color w:val="000000" w:themeColor="text1"/>
        </w:rPr>
      </w:pPr>
      <w:r w:rsidRPr="00461D21">
        <w:rPr>
          <w:color w:val="C00000"/>
        </w:rPr>
        <w:t xml:space="preserve">Uses stress testing or risk-based approaches to determine appropriate levels of target capital </w:t>
      </w:r>
      <w:r w:rsidRPr="00461D21">
        <w:rPr>
          <w:color w:val="000000" w:themeColor="text1"/>
        </w:rPr>
        <w:t>(e.g. setting a target surplus that aims to reduce the risk of breach to 5% over a 3 year period</w:t>
      </w:r>
      <w:r>
        <w:rPr>
          <w:color w:val="000000" w:themeColor="text1"/>
        </w:rPr>
        <w:t>).</w:t>
      </w:r>
    </w:p>
    <w:p w14:paraId="2BDF1BAA" w14:textId="77777777" w:rsidR="006A768B" w:rsidRDefault="006A768B" w:rsidP="006A768B">
      <w:pPr>
        <w:spacing w:after="0"/>
      </w:pPr>
    </w:p>
    <w:p w14:paraId="1ED0E682" w14:textId="77777777" w:rsidR="008726FB" w:rsidRDefault="008726FB" w:rsidP="006A768B">
      <w:pPr>
        <w:spacing w:after="0"/>
      </w:pPr>
    </w:p>
    <w:p w14:paraId="539616A1" w14:textId="27E62F31" w:rsidR="009162E7" w:rsidRDefault="006A768B" w:rsidP="009162E7">
      <w:pPr>
        <w:spacing w:after="0"/>
      </w:pPr>
      <w:r>
        <w:rPr>
          <w:b/>
          <w:color w:val="000000" w:themeColor="text1"/>
        </w:rPr>
        <w:t xml:space="preserve">Q2 </w:t>
      </w:r>
      <w:r>
        <w:rPr>
          <w:color w:val="000000" w:themeColor="text1"/>
        </w:rPr>
        <w:t>a)</w:t>
      </w:r>
      <w:r>
        <w:t xml:space="preserve"> </w:t>
      </w:r>
      <w:r w:rsidR="008555E7">
        <w:t xml:space="preserve">[State the obvious] </w:t>
      </w:r>
      <w:r w:rsidR="009162E7">
        <w:t>The formula for calculating the policy liability is:</w:t>
      </w:r>
    </w:p>
    <w:p w14:paraId="3FEF0A03" w14:textId="41247351" w:rsidR="009162E7" w:rsidRDefault="009162E7" w:rsidP="009162E7">
      <w:pPr>
        <w:spacing w:after="0"/>
      </w:pPr>
      <w:r>
        <w:t>PL EOY = Value of supporting assets (VSA), less the cost of</w:t>
      </w:r>
      <w:r w:rsidR="008555E7">
        <w:t xml:space="preserve"> the current year best estimate </w:t>
      </w:r>
      <w:r>
        <w:t>bonuses less the shareholder profit margin on that bonus</w:t>
      </w:r>
    </w:p>
    <w:p w14:paraId="2E68CCBC" w14:textId="77777777" w:rsidR="008555E7" w:rsidRDefault="008555E7" w:rsidP="009162E7">
      <w:pPr>
        <w:spacing w:after="0"/>
      </w:pPr>
    </w:p>
    <w:p w14:paraId="09612907" w14:textId="77777777" w:rsidR="009162E7" w:rsidRDefault="009162E7" w:rsidP="009162E7">
      <w:pPr>
        <w:spacing w:after="0"/>
      </w:pPr>
      <w:r>
        <w:t>Where the VSA is calculated as:</w:t>
      </w:r>
    </w:p>
    <w:p w14:paraId="6F6FA517" w14:textId="004997D8" w:rsidR="009162E7" w:rsidRDefault="009162E7" w:rsidP="008555E7">
      <w:pPr>
        <w:pStyle w:val="ListParagraph"/>
        <w:numPr>
          <w:ilvl w:val="0"/>
          <w:numId w:val="31"/>
        </w:numPr>
        <w:spacing w:after="0"/>
      </w:pPr>
      <w:r>
        <w:t>The policy liability at the end of the previous reporting period</w:t>
      </w:r>
    </w:p>
    <w:p w14:paraId="291D625C" w14:textId="1EFBF289" w:rsidR="009162E7" w:rsidRDefault="009162E7" w:rsidP="008555E7">
      <w:pPr>
        <w:pStyle w:val="ListParagraph"/>
        <w:numPr>
          <w:ilvl w:val="0"/>
          <w:numId w:val="31"/>
        </w:numPr>
        <w:spacing w:after="0"/>
      </w:pPr>
      <w:r>
        <w:t>Plus the cost of declared bonuses at the end of the previous period</w:t>
      </w:r>
    </w:p>
    <w:p w14:paraId="675338C3" w14:textId="06DE05B7" w:rsidR="009162E7" w:rsidRDefault="009162E7" w:rsidP="008555E7">
      <w:pPr>
        <w:pStyle w:val="ListParagraph"/>
        <w:numPr>
          <w:ilvl w:val="0"/>
          <w:numId w:val="31"/>
        </w:numPr>
        <w:spacing w:after="0"/>
      </w:pPr>
      <w:r>
        <w:t>Plus the actual policy related cash flows and investment experience</w:t>
      </w:r>
    </w:p>
    <w:p w14:paraId="7EB58CC5" w14:textId="0270C70C" w:rsidR="009162E7" w:rsidRDefault="009162E7" w:rsidP="008555E7">
      <w:pPr>
        <w:pStyle w:val="ListParagraph"/>
        <w:numPr>
          <w:ilvl w:val="0"/>
          <w:numId w:val="31"/>
        </w:numPr>
        <w:spacing w:after="0"/>
      </w:pPr>
      <w:r>
        <w:t>Less the expected shareholder profits emerging over the period</w:t>
      </w:r>
    </w:p>
    <w:p w14:paraId="15E64C0B" w14:textId="43B72D79" w:rsidR="009162E7" w:rsidRDefault="009162E7" w:rsidP="008555E7">
      <w:pPr>
        <w:pStyle w:val="ListParagraph"/>
        <w:numPr>
          <w:ilvl w:val="0"/>
          <w:numId w:val="31"/>
        </w:numPr>
        <w:spacing w:after="0"/>
      </w:pPr>
      <w:r>
        <w:t>Less the non-investment experience profit.</w:t>
      </w:r>
    </w:p>
    <w:p w14:paraId="7D1FAD20" w14:textId="77777777" w:rsidR="009162E7" w:rsidRDefault="009162E7" w:rsidP="009162E7">
      <w:pPr>
        <w:spacing w:after="0"/>
      </w:pPr>
      <w:r>
        <w:t>Explanation of methodology:</w:t>
      </w:r>
    </w:p>
    <w:p w14:paraId="43419B89" w14:textId="096EC663" w:rsidR="009162E7" w:rsidRDefault="009162E7" w:rsidP="008555E7">
      <w:pPr>
        <w:pStyle w:val="ListParagraph"/>
        <w:numPr>
          <w:ilvl w:val="0"/>
          <w:numId w:val="31"/>
        </w:numPr>
        <w:spacing w:after="0"/>
      </w:pPr>
      <w:r>
        <w:t>The current year best estimate bonuses are excluded from the policy liability so that they are released into profit, and therefore allocated to the policy owner and shareholder.</w:t>
      </w:r>
    </w:p>
    <w:p w14:paraId="46F8BACC" w14:textId="71212587" w:rsidR="009162E7" w:rsidRDefault="009162E7" w:rsidP="008555E7">
      <w:pPr>
        <w:pStyle w:val="ListParagraph"/>
        <w:numPr>
          <w:ilvl w:val="0"/>
          <w:numId w:val="31"/>
        </w:numPr>
        <w:spacing w:after="0"/>
      </w:pPr>
      <w:r w:rsidRPr="00494C0A">
        <w:rPr>
          <w:color w:val="C00000"/>
        </w:rPr>
        <w:t>The investment returns are kept within the policy liability to smooth the volatility of profit from one year to the next</w:t>
      </w:r>
      <w:r>
        <w:t>.</w:t>
      </w:r>
    </w:p>
    <w:p w14:paraId="4F2310C1" w14:textId="26A74CA6" w:rsidR="009162E7" w:rsidRDefault="009162E7" w:rsidP="008555E7">
      <w:pPr>
        <w:pStyle w:val="ListParagraph"/>
        <w:numPr>
          <w:ilvl w:val="0"/>
          <w:numId w:val="31"/>
        </w:numPr>
        <w:spacing w:after="0"/>
      </w:pPr>
      <w:r>
        <w:t>The supportable bonus is determined such that the present value of outflows less present value of inflows plus present value of bonuses and profits is equal to the value of supporting assets.</w:t>
      </w:r>
    </w:p>
    <w:p w14:paraId="0F46A47E" w14:textId="3C6CC085" w:rsidR="009162E7" w:rsidRDefault="009162E7" w:rsidP="008555E7">
      <w:pPr>
        <w:pStyle w:val="ListParagraph"/>
        <w:numPr>
          <w:ilvl w:val="0"/>
          <w:numId w:val="31"/>
        </w:numPr>
        <w:spacing w:after="0"/>
      </w:pPr>
      <w:r>
        <w:t>Interim bonuses are deducted from the policy liability because they are a distribution of profit, not an allocation of it.</w:t>
      </w:r>
    </w:p>
    <w:p w14:paraId="275DAC3E" w14:textId="77777777" w:rsidR="009162E7" w:rsidRDefault="009162E7" w:rsidP="009162E7">
      <w:pPr>
        <w:spacing w:after="0"/>
      </w:pPr>
      <w:r>
        <w:t>It differs from non-participating business:</w:t>
      </w:r>
    </w:p>
    <w:p w14:paraId="4FA590B4" w14:textId="6DFF3B44" w:rsidR="009162E7" w:rsidRDefault="009162E7" w:rsidP="008555E7">
      <w:pPr>
        <w:pStyle w:val="ListParagraph"/>
        <w:numPr>
          <w:ilvl w:val="0"/>
          <w:numId w:val="31"/>
        </w:numPr>
        <w:spacing w:after="0"/>
      </w:pPr>
      <w:r>
        <w:t xml:space="preserve">The </w:t>
      </w:r>
      <w:r w:rsidRPr="00494C0A">
        <w:rPr>
          <w:color w:val="C00000"/>
        </w:rPr>
        <w:t>discount rate is based on the expected return of the underlying assets</w:t>
      </w:r>
      <w:r>
        <w:t>, whereas for non-participating the discount rate is risk free.</w:t>
      </w:r>
    </w:p>
    <w:p w14:paraId="1DAD1C7D" w14:textId="250BD5AF" w:rsidR="009162E7" w:rsidRDefault="009162E7" w:rsidP="008555E7">
      <w:pPr>
        <w:pStyle w:val="ListParagraph"/>
        <w:numPr>
          <w:ilvl w:val="0"/>
          <w:numId w:val="31"/>
        </w:numPr>
        <w:spacing w:after="0"/>
      </w:pPr>
      <w:r w:rsidRPr="00494C0A">
        <w:rPr>
          <w:color w:val="C00000"/>
        </w:rPr>
        <w:t xml:space="preserve">Includes a component for the present value of policy owner bonuses in the policy liability. </w:t>
      </w:r>
      <w:r>
        <w:t>For non-participating business there are no policy owner bonuses.</w:t>
      </w:r>
    </w:p>
    <w:p w14:paraId="5464684E" w14:textId="4A66D59F" w:rsidR="006A768B" w:rsidRPr="00990639" w:rsidRDefault="009162E7" w:rsidP="008555E7">
      <w:pPr>
        <w:pStyle w:val="ListParagraph"/>
        <w:numPr>
          <w:ilvl w:val="0"/>
          <w:numId w:val="31"/>
        </w:numPr>
        <w:spacing w:after="0"/>
      </w:pPr>
      <w:r w:rsidRPr="00494C0A">
        <w:rPr>
          <w:color w:val="C00000"/>
        </w:rPr>
        <w:t>Economic assumption changes are not released through profit</w:t>
      </w:r>
      <w:r>
        <w:t>, whereas for non-participating business they are.</w:t>
      </w:r>
    </w:p>
    <w:p w14:paraId="79D3FB80" w14:textId="77777777" w:rsidR="006A768B" w:rsidRDefault="006A768B" w:rsidP="006A768B">
      <w:pPr>
        <w:spacing w:after="0"/>
        <w:rPr>
          <w:color w:val="000000" w:themeColor="text1"/>
        </w:rPr>
      </w:pPr>
    </w:p>
    <w:p w14:paraId="659B7463" w14:textId="77777777" w:rsidR="00750FA4" w:rsidRDefault="00494C0A" w:rsidP="006A768B">
      <w:pPr>
        <w:spacing w:after="0"/>
        <w:rPr>
          <w:color w:val="000000" w:themeColor="text1"/>
        </w:rPr>
      </w:pPr>
      <w:r>
        <w:rPr>
          <w:color w:val="000000" w:themeColor="text1"/>
        </w:rPr>
        <w:t xml:space="preserve">b) </w:t>
      </w:r>
      <w:r w:rsidR="00750FA4" w:rsidRPr="00750FA4">
        <w:rPr>
          <w:color w:val="000000" w:themeColor="text1"/>
        </w:rPr>
        <w:t>Shareholder profit</w:t>
      </w:r>
      <w:r w:rsidR="00750FA4">
        <w:rPr>
          <w:color w:val="000000" w:themeColor="text1"/>
        </w:rPr>
        <w:t xml:space="preserve">: </w:t>
      </w:r>
    </w:p>
    <w:p w14:paraId="5A540D9F" w14:textId="577B71C3" w:rsidR="00750FA4" w:rsidRDefault="00750FA4" w:rsidP="003D5AC5">
      <w:pPr>
        <w:spacing w:after="0"/>
        <w:ind w:firstLine="720"/>
        <w:rPr>
          <w:color w:val="000000" w:themeColor="text1"/>
        </w:rPr>
      </w:pPr>
      <w:r>
        <w:rPr>
          <w:color w:val="000000" w:themeColor="text1"/>
        </w:rPr>
        <w:lastRenderedPageBreak/>
        <w:t>960,000</w:t>
      </w:r>
      <w:r w:rsidRPr="00750FA4">
        <w:rPr>
          <w:color w:val="000000" w:themeColor="text1"/>
        </w:rPr>
        <w:t xml:space="preserve"> = 20% x total profits</w:t>
      </w:r>
    </w:p>
    <w:p w14:paraId="2919E9AC" w14:textId="6E37B255" w:rsidR="00750FA4" w:rsidRDefault="003D5AC5" w:rsidP="006A768B">
      <w:pPr>
        <w:spacing w:after="0"/>
        <w:rPr>
          <w:color w:val="000000" w:themeColor="text1"/>
        </w:rPr>
      </w:pPr>
      <w:r>
        <w:rPr>
          <w:color w:val="000000" w:themeColor="text1"/>
        </w:rPr>
        <w:t>S</w:t>
      </w:r>
      <w:r w:rsidRPr="003D5AC5">
        <w:rPr>
          <w:color w:val="000000" w:themeColor="text1"/>
        </w:rPr>
        <w:t xml:space="preserve">hareholder retained earnings </w:t>
      </w:r>
      <w:r w:rsidR="00750FA4" w:rsidRPr="00750FA4">
        <w:rPr>
          <w:color w:val="000000" w:themeColor="text1"/>
        </w:rPr>
        <w:t>BOY</w:t>
      </w:r>
      <w:r w:rsidR="00750FA4">
        <w:rPr>
          <w:color w:val="000000" w:themeColor="text1"/>
        </w:rPr>
        <w:t xml:space="preserve">: </w:t>
      </w:r>
    </w:p>
    <w:p w14:paraId="6EA06D50" w14:textId="45B9208A" w:rsidR="00750FA4" w:rsidRDefault="00750FA4" w:rsidP="003D5AC5">
      <w:pPr>
        <w:spacing w:after="0"/>
        <w:ind w:firstLine="720"/>
        <w:rPr>
          <w:color w:val="000000" w:themeColor="text1"/>
        </w:rPr>
      </w:pPr>
      <w:r w:rsidRPr="00750FA4">
        <w:rPr>
          <w:color w:val="000000" w:themeColor="text1"/>
        </w:rPr>
        <w:t>12,562,500</w:t>
      </w:r>
      <w:r>
        <w:rPr>
          <w:color w:val="000000" w:themeColor="text1"/>
        </w:rPr>
        <w:t xml:space="preserve"> </w:t>
      </w:r>
      <w:r w:rsidRPr="00750FA4">
        <w:rPr>
          <w:color w:val="000000" w:themeColor="text1"/>
        </w:rPr>
        <w:t xml:space="preserve">= 25% x </w:t>
      </w:r>
      <w:r w:rsidR="003D5AC5" w:rsidRPr="003D5AC5">
        <w:rPr>
          <w:color w:val="000000" w:themeColor="text1"/>
        </w:rPr>
        <w:t xml:space="preserve">Policy owners’ retained earnings </w:t>
      </w:r>
      <w:r w:rsidRPr="00750FA4">
        <w:rPr>
          <w:color w:val="000000" w:themeColor="text1"/>
        </w:rPr>
        <w:t>BOY</w:t>
      </w:r>
    </w:p>
    <w:p w14:paraId="6E55D451" w14:textId="300CB200" w:rsidR="00750FA4" w:rsidRDefault="00750FA4" w:rsidP="006A768B">
      <w:pPr>
        <w:spacing w:after="0"/>
        <w:rPr>
          <w:color w:val="000000" w:themeColor="text1"/>
        </w:rPr>
      </w:pPr>
      <w:r w:rsidRPr="00750FA4">
        <w:rPr>
          <w:color w:val="000000" w:themeColor="text1"/>
        </w:rPr>
        <w:t xml:space="preserve">Interest on </w:t>
      </w:r>
      <w:r w:rsidR="003D5AC5" w:rsidRPr="003D5AC5">
        <w:rPr>
          <w:color w:val="000000" w:themeColor="text1"/>
        </w:rPr>
        <w:t>Shareholder retained earnings</w:t>
      </w:r>
      <w:r>
        <w:rPr>
          <w:color w:val="000000" w:themeColor="text1"/>
        </w:rPr>
        <w:t xml:space="preserve">: </w:t>
      </w:r>
    </w:p>
    <w:p w14:paraId="3F7E0FA2" w14:textId="27D181E8" w:rsidR="00750FA4" w:rsidRDefault="00750FA4" w:rsidP="003D5AC5">
      <w:pPr>
        <w:spacing w:after="0"/>
        <w:ind w:firstLine="720"/>
        <w:rPr>
          <w:color w:val="000000" w:themeColor="text1"/>
        </w:rPr>
      </w:pPr>
      <w:r w:rsidRPr="00750FA4">
        <w:rPr>
          <w:color w:val="000000" w:themeColor="text1"/>
        </w:rPr>
        <w:t>502,500</w:t>
      </w:r>
      <w:r>
        <w:rPr>
          <w:color w:val="000000" w:themeColor="text1"/>
        </w:rPr>
        <w:t xml:space="preserve"> </w:t>
      </w:r>
      <w:r w:rsidRPr="00750FA4">
        <w:rPr>
          <w:color w:val="000000" w:themeColor="text1"/>
        </w:rPr>
        <w:t>= 25% x interest earned on PHRE</w:t>
      </w:r>
      <w:r>
        <w:rPr>
          <w:color w:val="000000" w:themeColor="text1"/>
        </w:rPr>
        <w:t xml:space="preserve"> </w:t>
      </w:r>
      <w:r w:rsidRPr="00750FA4">
        <w:rPr>
          <w:i/>
          <w:color w:val="000000" w:themeColor="text1"/>
        </w:rPr>
        <w:t>OR</w:t>
      </w:r>
      <w:r>
        <w:rPr>
          <w:color w:val="000000" w:themeColor="text1"/>
        </w:rPr>
        <w:t xml:space="preserve"> = </w:t>
      </w:r>
      <w:r w:rsidRPr="00750FA4">
        <w:rPr>
          <w:color w:val="000000" w:themeColor="text1"/>
        </w:rPr>
        <w:t>SHRE * interest earned on PHRE / PHRE</w:t>
      </w:r>
    </w:p>
    <w:p w14:paraId="6ACAB462" w14:textId="77777777" w:rsidR="00750FA4" w:rsidRDefault="00750FA4" w:rsidP="006A768B">
      <w:pPr>
        <w:spacing w:after="0"/>
        <w:rPr>
          <w:color w:val="000000" w:themeColor="text1"/>
        </w:rPr>
      </w:pPr>
      <w:r w:rsidRPr="00750FA4">
        <w:rPr>
          <w:color w:val="000000" w:themeColor="text1"/>
        </w:rPr>
        <w:t>Distribution to the shareholder upon bonus declaration</w:t>
      </w:r>
      <w:r>
        <w:rPr>
          <w:color w:val="000000" w:themeColor="text1"/>
        </w:rPr>
        <w:t>:</w:t>
      </w:r>
    </w:p>
    <w:p w14:paraId="06ED3DE9" w14:textId="7D7706FD" w:rsidR="00750FA4" w:rsidRDefault="00750FA4" w:rsidP="003D5AC5">
      <w:pPr>
        <w:spacing w:after="0"/>
        <w:ind w:firstLine="720"/>
        <w:rPr>
          <w:color w:val="000000" w:themeColor="text1"/>
        </w:rPr>
      </w:pPr>
      <w:r w:rsidRPr="00750FA4">
        <w:rPr>
          <w:color w:val="000000" w:themeColor="text1"/>
        </w:rPr>
        <w:t>825,000</w:t>
      </w:r>
      <w:r>
        <w:rPr>
          <w:color w:val="000000" w:themeColor="text1"/>
        </w:rPr>
        <w:t xml:space="preserve"> </w:t>
      </w:r>
      <w:r w:rsidRPr="00750FA4">
        <w:rPr>
          <w:color w:val="000000" w:themeColor="text1"/>
        </w:rPr>
        <w:t>= 25% x cost of declared bonuses for the year</w:t>
      </w:r>
    </w:p>
    <w:p w14:paraId="3AA45069" w14:textId="3B1CC70F" w:rsidR="00750FA4" w:rsidRDefault="003D5AC5" w:rsidP="006A768B">
      <w:pPr>
        <w:spacing w:after="0"/>
        <w:rPr>
          <w:color w:val="000000" w:themeColor="text1"/>
        </w:rPr>
      </w:pPr>
      <w:r>
        <w:rPr>
          <w:color w:val="000000" w:themeColor="text1"/>
        </w:rPr>
        <w:t>S</w:t>
      </w:r>
      <w:r w:rsidRPr="003D5AC5">
        <w:rPr>
          <w:color w:val="000000" w:themeColor="text1"/>
        </w:rPr>
        <w:t xml:space="preserve">hareholder retained earnings </w:t>
      </w:r>
      <w:r w:rsidR="00750FA4" w:rsidRPr="00750FA4">
        <w:rPr>
          <w:color w:val="000000" w:themeColor="text1"/>
        </w:rPr>
        <w:t>EOY (after bonus declaration)</w:t>
      </w:r>
    </w:p>
    <w:p w14:paraId="0398BC1F" w14:textId="4D96CA85" w:rsidR="00494C0A" w:rsidRDefault="00750FA4" w:rsidP="003D5AC5">
      <w:pPr>
        <w:spacing w:after="0"/>
        <w:ind w:firstLine="720"/>
        <w:rPr>
          <w:color w:val="000000" w:themeColor="text1"/>
        </w:rPr>
      </w:pPr>
      <w:r w:rsidRPr="00750FA4">
        <w:rPr>
          <w:color w:val="000000" w:themeColor="text1"/>
        </w:rPr>
        <w:t>13,200,000</w:t>
      </w:r>
      <w:r>
        <w:rPr>
          <w:color w:val="000000" w:themeColor="text1"/>
        </w:rPr>
        <w:t xml:space="preserve"> </w:t>
      </w:r>
      <w:r w:rsidRPr="00750FA4">
        <w:rPr>
          <w:color w:val="000000" w:themeColor="text1"/>
        </w:rPr>
        <w:t xml:space="preserve">= </w:t>
      </w:r>
      <w:r w:rsidR="003D5AC5">
        <w:rPr>
          <w:color w:val="000000" w:themeColor="text1"/>
        </w:rPr>
        <w:t>S</w:t>
      </w:r>
      <w:r w:rsidR="003D5AC5" w:rsidRPr="003D5AC5">
        <w:rPr>
          <w:color w:val="000000" w:themeColor="text1"/>
        </w:rPr>
        <w:t xml:space="preserve">hareholder retained earnings </w:t>
      </w:r>
      <w:r w:rsidRPr="00750FA4">
        <w:rPr>
          <w:color w:val="000000" w:themeColor="text1"/>
        </w:rPr>
        <w:t>BOY + interest + profits - distribution to SH</w:t>
      </w:r>
    </w:p>
    <w:p w14:paraId="38E32108" w14:textId="77777777" w:rsidR="00A50FC2" w:rsidRDefault="00A50FC2" w:rsidP="003D5AC5">
      <w:pPr>
        <w:spacing w:after="0"/>
        <w:ind w:firstLine="720"/>
        <w:rPr>
          <w:color w:val="000000" w:themeColor="text1"/>
        </w:rPr>
      </w:pPr>
    </w:p>
    <w:p w14:paraId="14513D16" w14:textId="77777777" w:rsidR="00DC39DC" w:rsidRPr="00DC39DC" w:rsidRDefault="00A50FC2" w:rsidP="00DC39DC">
      <w:pPr>
        <w:spacing w:after="0"/>
        <w:rPr>
          <w:color w:val="000000" w:themeColor="text1"/>
        </w:rPr>
      </w:pPr>
      <w:r>
        <w:rPr>
          <w:color w:val="000000" w:themeColor="text1"/>
        </w:rPr>
        <w:t xml:space="preserve">c) </w:t>
      </w:r>
      <w:r w:rsidR="00DC39DC" w:rsidRPr="00DC39DC">
        <w:rPr>
          <w:color w:val="000000" w:themeColor="text1"/>
        </w:rPr>
        <w:t>To: CFO</w:t>
      </w:r>
    </w:p>
    <w:p w14:paraId="0BA12DCB" w14:textId="3081D37D" w:rsidR="00DC39DC" w:rsidRPr="00DC39DC" w:rsidRDefault="000249E2" w:rsidP="00DC39DC">
      <w:pPr>
        <w:spacing w:after="0"/>
        <w:rPr>
          <w:color w:val="000000" w:themeColor="text1"/>
        </w:rPr>
      </w:pPr>
      <w:r>
        <w:rPr>
          <w:color w:val="000000" w:themeColor="text1"/>
        </w:rPr>
        <w:t>From: An</w:t>
      </w:r>
      <w:r w:rsidR="00DC39DC" w:rsidRPr="00DC39DC">
        <w:rPr>
          <w:color w:val="000000" w:themeColor="text1"/>
        </w:rPr>
        <w:t xml:space="preserve"> Actuary</w:t>
      </w:r>
    </w:p>
    <w:p w14:paraId="41666C15" w14:textId="77777777" w:rsidR="00DC39DC" w:rsidRDefault="00DC39DC" w:rsidP="00DC39DC">
      <w:pPr>
        <w:spacing w:after="0"/>
        <w:rPr>
          <w:color w:val="000000" w:themeColor="text1"/>
        </w:rPr>
      </w:pPr>
      <w:r w:rsidRPr="00DC39DC">
        <w:rPr>
          <w:color w:val="000000" w:themeColor="text1"/>
        </w:rPr>
        <w:t>Re. Participating Business Portfolio Management</w:t>
      </w:r>
    </w:p>
    <w:p w14:paraId="7F9B3102" w14:textId="77777777" w:rsidR="000249E2" w:rsidRPr="00DC39DC" w:rsidRDefault="000249E2" w:rsidP="00DC39DC">
      <w:pPr>
        <w:spacing w:after="0"/>
        <w:rPr>
          <w:color w:val="000000" w:themeColor="text1"/>
        </w:rPr>
      </w:pPr>
    </w:p>
    <w:p w14:paraId="114D4955" w14:textId="77777777" w:rsidR="00DC39DC" w:rsidRPr="00DC39DC" w:rsidRDefault="00DC39DC" w:rsidP="00DC39DC">
      <w:pPr>
        <w:spacing w:after="0"/>
        <w:rPr>
          <w:color w:val="000000" w:themeColor="text1"/>
        </w:rPr>
      </w:pPr>
      <w:r w:rsidRPr="00DC39DC">
        <w:rPr>
          <w:color w:val="000000" w:themeColor="text1"/>
        </w:rPr>
        <w:t>This note has been prepared to address your ideas to reduce the risk of a tontine occurring for the participating business portfolio. I address each of your ideas in turn below.</w:t>
      </w:r>
    </w:p>
    <w:p w14:paraId="1995DE0F" w14:textId="77777777" w:rsidR="00A81963" w:rsidRDefault="00A81963" w:rsidP="00DC39DC">
      <w:pPr>
        <w:spacing w:after="0"/>
        <w:rPr>
          <w:color w:val="000000" w:themeColor="text1"/>
        </w:rPr>
      </w:pPr>
    </w:p>
    <w:p w14:paraId="5D030457" w14:textId="77777777" w:rsidR="00DC39DC" w:rsidRPr="00A81963" w:rsidRDefault="00DC39DC" w:rsidP="00DC39DC">
      <w:pPr>
        <w:spacing w:after="0"/>
        <w:rPr>
          <w:b/>
          <w:color w:val="000000" w:themeColor="text1"/>
        </w:rPr>
      </w:pPr>
      <w:r w:rsidRPr="00A81963">
        <w:rPr>
          <w:b/>
          <w:color w:val="000000" w:themeColor="text1"/>
        </w:rPr>
        <w:t>Distributing Excess Policy Owners’ Retained Earnings to Shareholders</w:t>
      </w:r>
    </w:p>
    <w:p w14:paraId="57CA5BDD" w14:textId="05692A48" w:rsidR="00DC39DC" w:rsidRPr="00DC39DC" w:rsidRDefault="00DC39DC" w:rsidP="00DC39DC">
      <w:pPr>
        <w:spacing w:after="0"/>
        <w:rPr>
          <w:color w:val="000000" w:themeColor="text1"/>
        </w:rPr>
      </w:pPr>
      <w:r w:rsidRPr="00DC39DC">
        <w:rPr>
          <w:color w:val="000000" w:themeColor="text1"/>
        </w:rPr>
        <w:t xml:space="preserve">The Life Insurance Act (1995) only allows Australian policy </w:t>
      </w:r>
      <w:r w:rsidR="00A81963">
        <w:rPr>
          <w:color w:val="000000" w:themeColor="text1"/>
        </w:rPr>
        <w:t xml:space="preserve">owners’ retained earnings to be </w:t>
      </w:r>
      <w:r w:rsidRPr="00DC39DC">
        <w:rPr>
          <w:color w:val="000000" w:themeColor="text1"/>
        </w:rPr>
        <w:t xml:space="preserve">distributed to Australian participating policy owners, </w:t>
      </w:r>
      <w:r w:rsidRPr="00A81963">
        <w:rPr>
          <w:color w:val="00B050"/>
        </w:rPr>
        <w:t>so legally this is not an option</w:t>
      </w:r>
      <w:r w:rsidRPr="00DC39DC">
        <w:rPr>
          <w:color w:val="000000" w:themeColor="text1"/>
        </w:rPr>
        <w:t>.</w:t>
      </w:r>
    </w:p>
    <w:p w14:paraId="5AC7CB8F" w14:textId="77777777" w:rsidR="00A81963" w:rsidRDefault="00A81963" w:rsidP="00DC39DC">
      <w:pPr>
        <w:spacing w:after="0"/>
        <w:rPr>
          <w:color w:val="000000" w:themeColor="text1"/>
        </w:rPr>
      </w:pPr>
    </w:p>
    <w:p w14:paraId="088AC6EF" w14:textId="77777777" w:rsidR="00DC39DC" w:rsidRPr="00A81963" w:rsidRDefault="00DC39DC" w:rsidP="00DC39DC">
      <w:pPr>
        <w:spacing w:after="0"/>
        <w:rPr>
          <w:b/>
          <w:color w:val="000000" w:themeColor="text1"/>
        </w:rPr>
      </w:pPr>
      <w:r w:rsidRPr="00A81963">
        <w:rPr>
          <w:b/>
          <w:color w:val="000000" w:themeColor="text1"/>
        </w:rPr>
        <w:t>One-off Bonus Declaration and increasing Future Bonus Declarations</w:t>
      </w:r>
    </w:p>
    <w:p w14:paraId="4EFE7CCA" w14:textId="77777777" w:rsidR="00DC39DC" w:rsidRPr="00DC39DC" w:rsidRDefault="00DC39DC" w:rsidP="00DC39DC">
      <w:pPr>
        <w:spacing w:after="0"/>
        <w:rPr>
          <w:color w:val="000000" w:themeColor="text1"/>
        </w:rPr>
      </w:pPr>
      <w:r w:rsidRPr="00DC39DC">
        <w:rPr>
          <w:color w:val="000000" w:themeColor="text1"/>
        </w:rPr>
        <w:t>The impact of this would be as follows:</w:t>
      </w:r>
    </w:p>
    <w:p w14:paraId="53E3A782" w14:textId="1406338B" w:rsidR="00A50FC2" w:rsidRPr="00A81963" w:rsidRDefault="00DC39DC" w:rsidP="00A81963">
      <w:pPr>
        <w:pStyle w:val="ListParagraph"/>
        <w:numPr>
          <w:ilvl w:val="0"/>
          <w:numId w:val="35"/>
        </w:numPr>
        <w:spacing w:after="0"/>
        <w:rPr>
          <w:color w:val="000000" w:themeColor="text1"/>
        </w:rPr>
      </w:pPr>
      <w:r w:rsidRPr="00A81963">
        <w:rPr>
          <w:color w:val="000000" w:themeColor="text1"/>
        </w:rPr>
        <w:t xml:space="preserve">Policy owner retained earnings – </w:t>
      </w:r>
      <w:r w:rsidRPr="00B3021F">
        <w:rPr>
          <w:color w:val="00B050"/>
        </w:rPr>
        <w:t>the policy owner retained earnings will decrease by the cost of the declared bonuses</w:t>
      </w:r>
      <w:r w:rsidRPr="00A81963">
        <w:rPr>
          <w:color w:val="000000" w:themeColor="text1"/>
        </w:rPr>
        <w:t>.</w:t>
      </w:r>
    </w:p>
    <w:p w14:paraId="76F5B761" w14:textId="77777777" w:rsidR="00DC39DC" w:rsidRPr="00B3021F" w:rsidRDefault="00DC39DC" w:rsidP="00A81963">
      <w:pPr>
        <w:pStyle w:val="ListParagraph"/>
        <w:numPr>
          <w:ilvl w:val="0"/>
          <w:numId w:val="35"/>
        </w:numPr>
        <w:spacing w:after="0"/>
        <w:rPr>
          <w:color w:val="C00000"/>
        </w:rPr>
      </w:pPr>
      <w:r w:rsidRPr="00A81963">
        <w:rPr>
          <w:color w:val="000000" w:themeColor="text1"/>
        </w:rPr>
        <w:t xml:space="preserve">Policy liability – </w:t>
      </w:r>
      <w:r w:rsidRPr="00B3021F">
        <w:rPr>
          <w:color w:val="C00000"/>
        </w:rPr>
        <w:t>the policy liability will increase, but probably by less than the cost of the declared bonuses, because the surrender value basis will likely be more conservative than the policy liability basis.</w:t>
      </w:r>
    </w:p>
    <w:p w14:paraId="615701FD" w14:textId="77777777" w:rsidR="00DC39DC" w:rsidRPr="00A81963" w:rsidRDefault="00DC39DC" w:rsidP="00A81963">
      <w:pPr>
        <w:pStyle w:val="ListParagraph"/>
        <w:numPr>
          <w:ilvl w:val="0"/>
          <w:numId w:val="35"/>
        </w:numPr>
        <w:spacing w:after="0"/>
        <w:rPr>
          <w:color w:val="000000" w:themeColor="text1"/>
        </w:rPr>
      </w:pPr>
      <w:r w:rsidRPr="00A81963">
        <w:rPr>
          <w:color w:val="000000" w:themeColor="text1"/>
        </w:rPr>
        <w:t xml:space="preserve">MoS profit – </w:t>
      </w:r>
      <w:r w:rsidRPr="00B3021F">
        <w:rPr>
          <w:b/>
          <w:color w:val="C00000"/>
        </w:rPr>
        <w:t>There is no impact on the MoS profit because the bonus declaration is only a distribution of profit from policy owner retained earnings</w:t>
      </w:r>
      <w:r w:rsidRPr="00A81963">
        <w:rPr>
          <w:color w:val="000000" w:themeColor="text1"/>
        </w:rPr>
        <w:t>.</w:t>
      </w:r>
    </w:p>
    <w:p w14:paraId="145C4881" w14:textId="77777777" w:rsidR="00B3021F" w:rsidRDefault="00B3021F" w:rsidP="00DC39DC">
      <w:pPr>
        <w:spacing w:after="0"/>
        <w:rPr>
          <w:b/>
          <w:color w:val="000000" w:themeColor="text1"/>
        </w:rPr>
      </w:pPr>
    </w:p>
    <w:p w14:paraId="6E540F03" w14:textId="29FE2DAE" w:rsidR="00DC39DC" w:rsidRPr="00A81963" w:rsidRDefault="00DC39DC" w:rsidP="00DC39DC">
      <w:pPr>
        <w:spacing w:after="0"/>
        <w:rPr>
          <w:b/>
          <w:color w:val="000000" w:themeColor="text1"/>
        </w:rPr>
      </w:pPr>
      <w:r w:rsidRPr="00A81963">
        <w:rPr>
          <w:b/>
          <w:color w:val="000000" w:themeColor="text1"/>
        </w:rPr>
        <w:t>Purchasing a Participating Book from another Life Insurer</w:t>
      </w:r>
      <w:r w:rsidR="00F91812">
        <w:rPr>
          <w:b/>
          <w:color w:val="000000" w:themeColor="text1"/>
        </w:rPr>
        <w:t xml:space="preserve"> </w:t>
      </w:r>
      <w:r w:rsidR="00F91812" w:rsidRPr="00F91812">
        <w:rPr>
          <w:b/>
          <w:color w:val="000000" w:themeColor="text1"/>
        </w:rPr>
        <w:t>and having one bonus series</w:t>
      </w:r>
    </w:p>
    <w:p w14:paraId="29D0E685" w14:textId="77777777" w:rsidR="00DC39DC" w:rsidRPr="00DC39DC" w:rsidRDefault="00DC39DC" w:rsidP="00DC39DC">
      <w:pPr>
        <w:spacing w:after="0"/>
        <w:rPr>
          <w:color w:val="000000" w:themeColor="text1"/>
        </w:rPr>
      </w:pPr>
      <w:r w:rsidRPr="00DC39DC">
        <w:rPr>
          <w:color w:val="000000" w:themeColor="text1"/>
        </w:rPr>
        <w:t>There are a number of issues to be considered for this option:</w:t>
      </w:r>
    </w:p>
    <w:p w14:paraId="156F1775" w14:textId="597FF527" w:rsidR="00DC39DC" w:rsidRPr="00F91812" w:rsidRDefault="00DC39DC" w:rsidP="00B3021F">
      <w:pPr>
        <w:pStyle w:val="ListParagraph"/>
        <w:numPr>
          <w:ilvl w:val="0"/>
          <w:numId w:val="35"/>
        </w:numPr>
        <w:spacing w:after="0"/>
        <w:rPr>
          <w:color w:val="C00000"/>
        </w:rPr>
      </w:pPr>
      <w:r w:rsidRPr="00F91812">
        <w:rPr>
          <w:color w:val="00B050"/>
        </w:rPr>
        <w:t xml:space="preserve">Equity between the two portfolios of policy owners </w:t>
      </w:r>
      <w:r w:rsidRPr="00B3021F">
        <w:rPr>
          <w:color w:val="000000" w:themeColor="text1"/>
        </w:rPr>
        <w:t xml:space="preserve">– PS 200 requires that advice on the bonus distributions considers the equity between policy owners. </w:t>
      </w:r>
      <w:r w:rsidRPr="00F91812">
        <w:rPr>
          <w:color w:val="C00000"/>
        </w:rPr>
        <w:t>It is unlikely that equity would be achieved in this case, because one group of policy owners has built up the substantially more retained earnings, and it would be unfair to share this with the other group policy owners.</w:t>
      </w:r>
    </w:p>
    <w:p w14:paraId="755193C3" w14:textId="3D31724D" w:rsidR="00DC39DC" w:rsidRPr="00F91812" w:rsidRDefault="00DC39DC" w:rsidP="00B3021F">
      <w:pPr>
        <w:pStyle w:val="ListParagraph"/>
        <w:numPr>
          <w:ilvl w:val="0"/>
          <w:numId w:val="36"/>
        </w:numPr>
        <w:spacing w:after="0"/>
        <w:rPr>
          <w:color w:val="C00000"/>
        </w:rPr>
      </w:pPr>
      <w:r w:rsidRPr="00F91812">
        <w:rPr>
          <w:color w:val="C00000"/>
        </w:rPr>
        <w:t xml:space="preserve">The bonus structure of each portfolio – if they are very different it will be difficult to merge the two portfolios together under one bonus structure because the terms and </w:t>
      </w:r>
      <w:r w:rsidRPr="00F91812">
        <w:rPr>
          <w:color w:val="C00000"/>
        </w:rPr>
        <w:lastRenderedPageBreak/>
        <w:t>conditions of the policies are unlikely to allow a significant change to the bonus structure.</w:t>
      </w:r>
    </w:p>
    <w:p w14:paraId="42490DEA" w14:textId="7B7121C7" w:rsidR="00DC39DC" w:rsidRPr="00F91812" w:rsidRDefault="00DC39DC" w:rsidP="00B3021F">
      <w:pPr>
        <w:pStyle w:val="ListParagraph"/>
        <w:numPr>
          <w:ilvl w:val="0"/>
          <w:numId w:val="36"/>
        </w:numPr>
        <w:spacing w:after="0"/>
        <w:rPr>
          <w:color w:val="C00000"/>
        </w:rPr>
      </w:pPr>
      <w:r w:rsidRPr="00B3021F">
        <w:rPr>
          <w:color w:val="000000" w:themeColor="text1"/>
        </w:rPr>
        <w:t xml:space="preserve">Whether a new bonus structure can be sufficiently similar to the existing bonus structures, such that </w:t>
      </w:r>
      <w:r w:rsidRPr="00F91812">
        <w:rPr>
          <w:color w:val="C00000"/>
        </w:rPr>
        <w:t>policy owners expectations are met regarding the level of bonuses they will receive in the future. This is particularly important if the each portfolio has a different philosophy for distributing bonuses in the past.</w:t>
      </w:r>
    </w:p>
    <w:p w14:paraId="454E2D1E" w14:textId="6D9F0183" w:rsidR="00DC39DC" w:rsidRPr="00B3021F" w:rsidRDefault="00DC39DC" w:rsidP="00B3021F">
      <w:pPr>
        <w:pStyle w:val="ListParagraph"/>
        <w:numPr>
          <w:ilvl w:val="0"/>
          <w:numId w:val="36"/>
        </w:numPr>
        <w:spacing w:after="0"/>
        <w:rPr>
          <w:color w:val="000000" w:themeColor="text1"/>
        </w:rPr>
      </w:pPr>
      <w:r w:rsidRPr="00B3021F">
        <w:rPr>
          <w:color w:val="000000" w:themeColor="text1"/>
        </w:rPr>
        <w:t xml:space="preserve">Any adjustments which are needed to the </w:t>
      </w:r>
      <w:r w:rsidRPr="00F91812">
        <w:rPr>
          <w:color w:val="C00000"/>
        </w:rPr>
        <w:t>expense allocation process</w:t>
      </w:r>
      <w:r w:rsidRPr="00B3021F">
        <w:rPr>
          <w:color w:val="000000" w:themeColor="text1"/>
        </w:rPr>
        <w:t>, to accommodate the merged fund and how this impacts on benefit expectations.</w:t>
      </w:r>
    </w:p>
    <w:p w14:paraId="3634E773" w14:textId="701A4A30" w:rsidR="00DC39DC" w:rsidRPr="00F91812" w:rsidRDefault="00DC39DC" w:rsidP="00B3021F">
      <w:pPr>
        <w:pStyle w:val="ListParagraph"/>
        <w:numPr>
          <w:ilvl w:val="0"/>
          <w:numId w:val="36"/>
        </w:numPr>
        <w:spacing w:after="0"/>
        <w:rPr>
          <w:color w:val="C00000"/>
        </w:rPr>
      </w:pPr>
      <w:r w:rsidRPr="00F91812">
        <w:rPr>
          <w:color w:val="C00000"/>
        </w:rPr>
        <w:t>How the costs associated with the merger will be al</w:t>
      </w:r>
      <w:r w:rsidR="00F91812" w:rsidRPr="00F91812">
        <w:rPr>
          <w:color w:val="C00000"/>
        </w:rPr>
        <w:t xml:space="preserve">located, and whether the policy </w:t>
      </w:r>
      <w:r w:rsidRPr="00F91812">
        <w:rPr>
          <w:color w:val="C00000"/>
        </w:rPr>
        <w:t>owners are expected to pay.</w:t>
      </w:r>
    </w:p>
    <w:p w14:paraId="4CF40D06" w14:textId="16C7E37B" w:rsidR="00DC39DC" w:rsidRPr="00F91812" w:rsidRDefault="00DC39DC" w:rsidP="00B3021F">
      <w:pPr>
        <w:pStyle w:val="ListParagraph"/>
        <w:numPr>
          <w:ilvl w:val="0"/>
          <w:numId w:val="36"/>
        </w:numPr>
        <w:spacing w:after="0"/>
        <w:rPr>
          <w:color w:val="C00000"/>
        </w:rPr>
      </w:pPr>
      <w:r w:rsidRPr="00F91812">
        <w:rPr>
          <w:color w:val="C00000"/>
        </w:rPr>
        <w:t>The asset allocation for the existing portfolios and whether a new allocation can be developed that is sufficiently similar to each and within policy owner’s reasonable expectations.</w:t>
      </w:r>
    </w:p>
    <w:p w14:paraId="3ADBE8F4" w14:textId="77777777" w:rsidR="00DC39DC" w:rsidRPr="00F91812" w:rsidRDefault="00DC39DC" w:rsidP="00B3021F">
      <w:pPr>
        <w:pStyle w:val="ListParagraph"/>
        <w:numPr>
          <w:ilvl w:val="0"/>
          <w:numId w:val="36"/>
        </w:numPr>
        <w:spacing w:after="0"/>
        <w:rPr>
          <w:color w:val="C00000"/>
        </w:rPr>
      </w:pPr>
      <w:r w:rsidRPr="00F91812">
        <w:rPr>
          <w:color w:val="C00000"/>
        </w:rPr>
        <w:t>The impact that substantial surrendering of policy owners would have on future profitability if they do not like the merger process or the communications around the process.</w:t>
      </w:r>
    </w:p>
    <w:p w14:paraId="79F6B368" w14:textId="5ACDB082" w:rsidR="00DC39DC" w:rsidRPr="00B3021F" w:rsidRDefault="00DC39DC" w:rsidP="00B3021F">
      <w:pPr>
        <w:pStyle w:val="ListParagraph"/>
        <w:numPr>
          <w:ilvl w:val="0"/>
          <w:numId w:val="36"/>
        </w:numPr>
        <w:spacing w:after="0"/>
        <w:rPr>
          <w:color w:val="000000" w:themeColor="text1"/>
        </w:rPr>
      </w:pPr>
      <w:r w:rsidRPr="00B3021F">
        <w:rPr>
          <w:color w:val="000000" w:themeColor="text1"/>
        </w:rPr>
        <w:t>The impact of the merger on the security of the benefits of the policy owners of each life company and therefore the risks which the shareholder is taking on, in terms of how it impacts on the amount of capital required and the level of target surplus after the merger.</w:t>
      </w:r>
    </w:p>
    <w:p w14:paraId="21B7E1E3" w14:textId="62216703" w:rsidR="00DC39DC" w:rsidRDefault="00DC39DC" w:rsidP="00B3021F">
      <w:pPr>
        <w:pStyle w:val="ListParagraph"/>
        <w:numPr>
          <w:ilvl w:val="0"/>
          <w:numId w:val="36"/>
        </w:numPr>
        <w:spacing w:after="0"/>
        <w:rPr>
          <w:color w:val="000000" w:themeColor="text1"/>
        </w:rPr>
      </w:pPr>
      <w:r w:rsidRPr="00B3021F">
        <w:rPr>
          <w:color w:val="000000" w:themeColor="text1"/>
        </w:rPr>
        <w:t>Mortality experience of the two books – how similar is it. Need to consider fair treatment of mortality profits. This will also affect the future bonuses emerging, if there is cross-subsidisation in this regard.</w:t>
      </w:r>
    </w:p>
    <w:p w14:paraId="71E4A6EC" w14:textId="77777777" w:rsidR="00B3021F" w:rsidRPr="00B3021F" w:rsidRDefault="00B3021F" w:rsidP="00B3021F">
      <w:pPr>
        <w:pStyle w:val="ListParagraph"/>
        <w:spacing w:after="0"/>
        <w:rPr>
          <w:color w:val="000000" w:themeColor="text1"/>
        </w:rPr>
      </w:pPr>
    </w:p>
    <w:p w14:paraId="0531A352" w14:textId="77777777" w:rsidR="00DC39DC" w:rsidRPr="00B3021F" w:rsidRDefault="00DC39DC" w:rsidP="00B3021F">
      <w:pPr>
        <w:spacing w:after="0"/>
        <w:rPr>
          <w:b/>
          <w:color w:val="000000" w:themeColor="text1"/>
        </w:rPr>
      </w:pPr>
      <w:r w:rsidRPr="00B3021F">
        <w:rPr>
          <w:b/>
          <w:color w:val="000000" w:themeColor="text1"/>
        </w:rPr>
        <w:t>Using Policy Owners’ Retained Earnings to Fund Life Insurance Business</w:t>
      </w:r>
    </w:p>
    <w:p w14:paraId="5C532BA6" w14:textId="77777777" w:rsidR="00DC39DC" w:rsidRPr="00F91812" w:rsidRDefault="00DC39DC" w:rsidP="00B3021F">
      <w:pPr>
        <w:pStyle w:val="ListParagraph"/>
        <w:numPr>
          <w:ilvl w:val="0"/>
          <w:numId w:val="36"/>
        </w:numPr>
        <w:spacing w:after="0"/>
        <w:rPr>
          <w:color w:val="C00000"/>
        </w:rPr>
      </w:pPr>
      <w:r w:rsidRPr="00F91812">
        <w:rPr>
          <w:color w:val="C00000"/>
        </w:rPr>
        <w:t>This would not be a viable option as the Life Insurance Business is written in a separate Statutory Fund.</w:t>
      </w:r>
    </w:p>
    <w:p w14:paraId="3B9D0A33" w14:textId="77777777" w:rsidR="00F91812" w:rsidRDefault="00F91812" w:rsidP="00DC39DC">
      <w:pPr>
        <w:spacing w:after="0"/>
        <w:rPr>
          <w:color w:val="000000" w:themeColor="text1"/>
        </w:rPr>
      </w:pPr>
    </w:p>
    <w:p w14:paraId="09D938D8" w14:textId="77777777" w:rsidR="00DC39DC" w:rsidRPr="00F91812" w:rsidRDefault="00DC39DC" w:rsidP="00DC39DC">
      <w:pPr>
        <w:spacing w:after="0"/>
        <w:rPr>
          <w:b/>
          <w:color w:val="000000" w:themeColor="text1"/>
        </w:rPr>
      </w:pPr>
      <w:r w:rsidRPr="00F91812">
        <w:rPr>
          <w:b/>
          <w:color w:val="000000" w:themeColor="text1"/>
        </w:rPr>
        <w:t>Other Issues</w:t>
      </w:r>
    </w:p>
    <w:p w14:paraId="6D6659C2" w14:textId="6679AE25" w:rsidR="00DC39DC" w:rsidRPr="00F91812" w:rsidRDefault="00DC39DC" w:rsidP="00F91812">
      <w:pPr>
        <w:pStyle w:val="ListParagraph"/>
        <w:numPr>
          <w:ilvl w:val="0"/>
          <w:numId w:val="36"/>
        </w:numPr>
        <w:spacing w:after="0"/>
        <w:rPr>
          <w:color w:val="000000" w:themeColor="text1"/>
        </w:rPr>
      </w:pPr>
      <w:r w:rsidRPr="00F91812">
        <w:rPr>
          <w:color w:val="000000" w:themeColor="text1"/>
        </w:rPr>
        <w:t>If Trigger wasn’t open to purchasing a participating book from another life insurer or re-opening the participating book to new business, then making a one-off bonus declaration and increasing future bonus declarations would be the only realistic option to prevent a tontine. However the size of the one-off declaration needs to be careful consideration – too small and the tontine problem may re-emerge in the near future, too large and the profit distribution may turn out to be inequitable in the long term if experience deteriorates (as policyholders who have terminated will have taken more than their fair share).</w:t>
      </w:r>
    </w:p>
    <w:p w14:paraId="119A0DA7" w14:textId="29C95E65" w:rsidR="00DC39DC" w:rsidRPr="00F91812" w:rsidRDefault="00DC39DC" w:rsidP="00F91812">
      <w:pPr>
        <w:pStyle w:val="ListParagraph"/>
        <w:numPr>
          <w:ilvl w:val="0"/>
          <w:numId w:val="36"/>
        </w:numPr>
        <w:spacing w:after="0"/>
        <w:rPr>
          <w:color w:val="000000" w:themeColor="text1"/>
        </w:rPr>
      </w:pPr>
      <w:r w:rsidRPr="00F91812">
        <w:rPr>
          <w:color w:val="C00000"/>
        </w:rPr>
        <w:t>System upgrades and staff training would be required when purchasing a participating book of business from another insurer</w:t>
      </w:r>
      <w:r w:rsidRPr="00F91812">
        <w:rPr>
          <w:color w:val="000000" w:themeColor="text1"/>
        </w:rPr>
        <w:t>, since the products may have slightly different features. Trigger Life’s administration system may not be able to administer all policies and an upgrade may be required.</w:t>
      </w:r>
    </w:p>
    <w:p w14:paraId="7C76F07E" w14:textId="6BC6F9D2" w:rsidR="00A50FC2" w:rsidRPr="00F91812" w:rsidRDefault="00DC39DC" w:rsidP="00F91812">
      <w:pPr>
        <w:pStyle w:val="ListParagraph"/>
        <w:numPr>
          <w:ilvl w:val="0"/>
          <w:numId w:val="36"/>
        </w:numPr>
        <w:spacing w:after="0"/>
        <w:rPr>
          <w:color w:val="000000" w:themeColor="text1"/>
        </w:rPr>
      </w:pPr>
      <w:r w:rsidRPr="00F91812">
        <w:rPr>
          <w:color w:val="000000" w:themeColor="text1"/>
        </w:rPr>
        <w:lastRenderedPageBreak/>
        <w:t xml:space="preserve">The impact of any proposal on the </w:t>
      </w:r>
      <w:r w:rsidRPr="00F91812">
        <w:rPr>
          <w:color w:val="C00000"/>
        </w:rPr>
        <w:t>capital requirements needs to be considered</w:t>
      </w:r>
      <w:r w:rsidRPr="00F91812">
        <w:rPr>
          <w:color w:val="000000" w:themeColor="text1"/>
        </w:rPr>
        <w:t>. Trigger needs to maintain an appropriate level of capital at all times, with some methods of distributing the policy owners’ retained earnings having a greater capital burden than others.</w:t>
      </w:r>
    </w:p>
    <w:p w14:paraId="618A3BFD" w14:textId="77777777" w:rsidR="00DC39DC" w:rsidRPr="00F91812" w:rsidRDefault="00DC39DC" w:rsidP="00F91812">
      <w:pPr>
        <w:pStyle w:val="ListParagraph"/>
        <w:numPr>
          <w:ilvl w:val="0"/>
          <w:numId w:val="36"/>
        </w:numPr>
        <w:spacing w:after="0"/>
        <w:rPr>
          <w:color w:val="000000" w:themeColor="text1"/>
        </w:rPr>
      </w:pPr>
      <w:r w:rsidRPr="00F91812">
        <w:rPr>
          <w:color w:val="C00000"/>
        </w:rPr>
        <w:t>The retained earnings can distributed via terminal bonus instead</w:t>
      </w:r>
      <w:r w:rsidRPr="00F91812">
        <w:rPr>
          <w:color w:val="000000" w:themeColor="text1"/>
        </w:rPr>
        <w:t xml:space="preserve">. </w:t>
      </w:r>
      <w:r w:rsidRPr="00E405F8">
        <w:rPr>
          <w:b/>
          <w:color w:val="C00000"/>
        </w:rPr>
        <w:t>This would be relatively easy to administer, and the terminal bonus amount can be varied depending on investment experience.</w:t>
      </w:r>
      <w:r w:rsidRPr="00F91812">
        <w:rPr>
          <w:color w:val="000000" w:themeColor="text1"/>
        </w:rPr>
        <w:t xml:space="preserve"> This can be structured as a percentage of the policyholder’s asset share (which is the premiums less expenses and claims accumulated with actual investment returns). </w:t>
      </w:r>
      <w:r w:rsidRPr="00F91812">
        <w:rPr>
          <w:color w:val="C00000"/>
        </w:rPr>
        <w:t>There is also lower capital requirements associated with this method as compared to declaring a higher reversionary bonus</w:t>
      </w:r>
      <w:r w:rsidRPr="00F91812">
        <w:rPr>
          <w:color w:val="000000" w:themeColor="text1"/>
        </w:rPr>
        <w:t>.</w:t>
      </w:r>
    </w:p>
    <w:p w14:paraId="755EB99F" w14:textId="77777777" w:rsidR="00DC39DC" w:rsidRDefault="00DC39DC" w:rsidP="00DC39DC">
      <w:pPr>
        <w:spacing w:after="0"/>
        <w:rPr>
          <w:color w:val="000000" w:themeColor="text1"/>
        </w:rPr>
      </w:pPr>
    </w:p>
    <w:p w14:paraId="0CD2283F" w14:textId="0B7CC19F" w:rsidR="00DC39DC" w:rsidRDefault="00DC39DC" w:rsidP="00DC39DC">
      <w:pPr>
        <w:spacing w:after="0"/>
        <w:rPr>
          <w:color w:val="000000" w:themeColor="text1"/>
        </w:rPr>
      </w:pPr>
      <w:r w:rsidRPr="00DC39DC">
        <w:rPr>
          <w:color w:val="000000" w:themeColor="text1"/>
        </w:rPr>
        <w:t>I hope this makes sense. Please let me know if you would</w:t>
      </w:r>
      <w:r>
        <w:rPr>
          <w:color w:val="000000" w:themeColor="text1"/>
        </w:rPr>
        <w:t xml:space="preserve"> like to discuss these further.</w:t>
      </w:r>
    </w:p>
    <w:p w14:paraId="4C1C952D" w14:textId="77777777" w:rsidR="00DC39DC" w:rsidRDefault="00DC39DC" w:rsidP="00DC39DC">
      <w:pPr>
        <w:spacing w:after="0"/>
        <w:rPr>
          <w:color w:val="000000" w:themeColor="text1"/>
        </w:rPr>
      </w:pPr>
    </w:p>
    <w:p w14:paraId="1B43F703" w14:textId="77777777" w:rsidR="00DC39DC" w:rsidRPr="00DC39DC" w:rsidRDefault="00DC39DC" w:rsidP="00DC39DC">
      <w:pPr>
        <w:spacing w:after="0"/>
        <w:rPr>
          <w:color w:val="000000" w:themeColor="text1"/>
        </w:rPr>
      </w:pPr>
      <w:r w:rsidRPr="00DC39DC">
        <w:rPr>
          <w:color w:val="000000" w:themeColor="text1"/>
        </w:rPr>
        <w:t>Kind regards,</w:t>
      </w:r>
    </w:p>
    <w:p w14:paraId="474CD1C3" w14:textId="4CE51E8F" w:rsidR="00A50FC2" w:rsidRDefault="00DC39DC" w:rsidP="00DC39DC">
      <w:pPr>
        <w:spacing w:after="0"/>
        <w:rPr>
          <w:color w:val="000000" w:themeColor="text1"/>
        </w:rPr>
      </w:pPr>
      <w:r>
        <w:rPr>
          <w:color w:val="000000" w:themeColor="text1"/>
        </w:rPr>
        <w:t>An</w:t>
      </w:r>
      <w:r w:rsidRPr="00DC39DC">
        <w:rPr>
          <w:color w:val="000000" w:themeColor="text1"/>
        </w:rPr>
        <w:t xml:space="preserve"> Actuary</w:t>
      </w:r>
    </w:p>
    <w:p w14:paraId="4227C3A3" w14:textId="77777777" w:rsidR="009B2DC1" w:rsidRDefault="009B2DC1" w:rsidP="00DC39DC">
      <w:pPr>
        <w:spacing w:after="0"/>
        <w:rPr>
          <w:color w:val="000000" w:themeColor="text1"/>
        </w:rPr>
      </w:pPr>
    </w:p>
    <w:p w14:paraId="7268167D" w14:textId="77777777" w:rsidR="00EC5869" w:rsidRDefault="00EC5869" w:rsidP="00DC39DC">
      <w:pPr>
        <w:spacing w:after="0"/>
        <w:rPr>
          <w:color w:val="000000" w:themeColor="text1"/>
        </w:rPr>
      </w:pPr>
    </w:p>
    <w:p w14:paraId="0A029304" w14:textId="77777777" w:rsidR="00273A4D" w:rsidRPr="001F3104" w:rsidRDefault="009B2DC1" w:rsidP="00273A4D">
      <w:pPr>
        <w:spacing w:after="0"/>
        <w:rPr>
          <w:i/>
          <w:color w:val="000000" w:themeColor="text1"/>
        </w:rPr>
      </w:pPr>
      <w:r>
        <w:rPr>
          <w:b/>
          <w:color w:val="000000" w:themeColor="text1"/>
        </w:rPr>
        <w:t xml:space="preserve">Q3 </w:t>
      </w:r>
      <w:r>
        <w:rPr>
          <w:color w:val="000000" w:themeColor="text1"/>
        </w:rPr>
        <w:t>a)</w:t>
      </w:r>
      <w:r w:rsidR="00926BEC">
        <w:rPr>
          <w:color w:val="000000" w:themeColor="text1"/>
        </w:rPr>
        <w:t xml:space="preserve"> </w:t>
      </w:r>
      <w:r w:rsidR="00273A4D" w:rsidRPr="001F3104">
        <w:rPr>
          <w:i/>
          <w:color w:val="000000" w:themeColor="text1"/>
          <w:u w:val="single"/>
        </w:rPr>
        <w:t>The financial implications</w:t>
      </w:r>
      <w:r w:rsidR="00273A4D" w:rsidRPr="001F3104">
        <w:rPr>
          <w:i/>
          <w:color w:val="000000" w:themeColor="text1"/>
        </w:rPr>
        <w:t xml:space="preserve"> of the proposed 20% increase in premium for both inforce</w:t>
      </w:r>
    </w:p>
    <w:p w14:paraId="1FCEC936" w14:textId="77777777" w:rsidR="00273A4D" w:rsidRPr="001F3104" w:rsidRDefault="00273A4D" w:rsidP="00273A4D">
      <w:pPr>
        <w:spacing w:after="0"/>
        <w:rPr>
          <w:i/>
          <w:color w:val="000000" w:themeColor="text1"/>
        </w:rPr>
      </w:pPr>
      <w:r w:rsidRPr="001F3104">
        <w:rPr>
          <w:i/>
          <w:color w:val="000000" w:themeColor="text1"/>
        </w:rPr>
        <w:t>and new business must be analysed, including covering the following:</w:t>
      </w:r>
    </w:p>
    <w:p w14:paraId="5B09DE67" w14:textId="190A68F7" w:rsidR="00273A4D" w:rsidRPr="00273A4D" w:rsidRDefault="00273A4D" w:rsidP="001F3104">
      <w:pPr>
        <w:pStyle w:val="ListParagraph"/>
        <w:numPr>
          <w:ilvl w:val="0"/>
          <w:numId w:val="37"/>
        </w:numPr>
        <w:spacing w:after="0"/>
        <w:ind w:left="720"/>
        <w:rPr>
          <w:color w:val="000000" w:themeColor="text1"/>
        </w:rPr>
      </w:pPr>
      <w:r w:rsidRPr="009A61EE">
        <w:rPr>
          <w:color w:val="C00000"/>
        </w:rPr>
        <w:t xml:space="preserve">Expected profit margin </w:t>
      </w:r>
      <w:r w:rsidRPr="00273A4D">
        <w:rPr>
          <w:color w:val="000000" w:themeColor="text1"/>
        </w:rPr>
        <w:t>as at December 2015, when the basis change occurs.</w:t>
      </w:r>
    </w:p>
    <w:p w14:paraId="61A8E2CC" w14:textId="4BD81EAF" w:rsidR="00273A4D" w:rsidRPr="00273A4D" w:rsidRDefault="009A61EE" w:rsidP="001F3104">
      <w:pPr>
        <w:pStyle w:val="ListParagraph"/>
        <w:numPr>
          <w:ilvl w:val="0"/>
          <w:numId w:val="37"/>
        </w:numPr>
        <w:spacing w:after="0"/>
        <w:ind w:left="720"/>
        <w:rPr>
          <w:color w:val="000000" w:themeColor="text1"/>
        </w:rPr>
      </w:pPr>
      <w:r>
        <w:rPr>
          <w:color w:val="000000" w:themeColor="text1"/>
        </w:rPr>
        <w:t>[</w:t>
      </w:r>
      <w:r w:rsidRPr="009A61EE">
        <w:rPr>
          <w:color w:val="C00000"/>
        </w:rPr>
        <w:t>New business projection</w:t>
      </w:r>
      <w:r>
        <w:rPr>
          <w:color w:val="000000" w:themeColor="text1"/>
        </w:rPr>
        <w:t xml:space="preserve">] </w:t>
      </w:r>
      <w:r w:rsidR="00273A4D" w:rsidRPr="00273A4D">
        <w:rPr>
          <w:color w:val="000000" w:themeColor="text1"/>
        </w:rPr>
        <w:t>Allowing for future new business in the next three years (as an example), the</w:t>
      </w:r>
      <w:r w:rsidR="00273A4D">
        <w:rPr>
          <w:color w:val="000000" w:themeColor="text1"/>
        </w:rPr>
        <w:t xml:space="preserve"> </w:t>
      </w:r>
      <w:r w:rsidR="00273A4D" w:rsidRPr="00273A4D">
        <w:rPr>
          <w:color w:val="000000" w:themeColor="text1"/>
        </w:rPr>
        <w:t>expected progression of profit margins over the next three years.</w:t>
      </w:r>
    </w:p>
    <w:p w14:paraId="19CF3818" w14:textId="4C426F09" w:rsidR="00273A4D" w:rsidRPr="00273A4D" w:rsidRDefault="005323A4" w:rsidP="001F3104">
      <w:pPr>
        <w:pStyle w:val="ListParagraph"/>
        <w:numPr>
          <w:ilvl w:val="0"/>
          <w:numId w:val="37"/>
        </w:numPr>
        <w:spacing w:after="0"/>
        <w:ind w:left="720"/>
        <w:rPr>
          <w:color w:val="000000" w:themeColor="text1"/>
        </w:rPr>
      </w:pPr>
      <w:r w:rsidRPr="005323A4">
        <w:rPr>
          <w:color w:val="C00000"/>
        </w:rPr>
        <w:t>Whether n</w:t>
      </w:r>
      <w:r w:rsidR="00273A4D" w:rsidRPr="005323A4">
        <w:rPr>
          <w:color w:val="C00000"/>
        </w:rPr>
        <w:t>ew business profit margin with the new price to prevent further deterioration of overall profit margin in the future</w:t>
      </w:r>
      <w:r w:rsidR="00273A4D" w:rsidRPr="00273A4D">
        <w:rPr>
          <w:color w:val="000000" w:themeColor="text1"/>
        </w:rPr>
        <w:t>.</w:t>
      </w:r>
    </w:p>
    <w:p w14:paraId="4F559A6B" w14:textId="68DFCAD0" w:rsidR="00273A4D" w:rsidRPr="00273A4D" w:rsidRDefault="00273A4D" w:rsidP="001F3104">
      <w:pPr>
        <w:pStyle w:val="ListParagraph"/>
        <w:numPr>
          <w:ilvl w:val="0"/>
          <w:numId w:val="37"/>
        </w:numPr>
        <w:spacing w:after="0"/>
        <w:ind w:left="720"/>
        <w:rPr>
          <w:color w:val="000000" w:themeColor="text1"/>
        </w:rPr>
      </w:pPr>
      <w:r w:rsidRPr="009A61EE">
        <w:rPr>
          <w:color w:val="C00000"/>
        </w:rPr>
        <w:t>Sensitivity test</w:t>
      </w:r>
      <w:r w:rsidRPr="009A61EE">
        <w:rPr>
          <w:color w:val="000000" w:themeColor="text1"/>
        </w:rPr>
        <w:t xml:space="preserve"> </w:t>
      </w:r>
      <w:r w:rsidRPr="00273A4D">
        <w:rPr>
          <w:color w:val="000000" w:themeColor="text1"/>
        </w:rPr>
        <w:t>whether the existing margin can withstand experience deterioration</w:t>
      </w:r>
      <w:r>
        <w:rPr>
          <w:color w:val="000000" w:themeColor="text1"/>
        </w:rPr>
        <w:t xml:space="preserve"> </w:t>
      </w:r>
      <w:r w:rsidRPr="00273A4D">
        <w:rPr>
          <w:color w:val="000000" w:themeColor="text1"/>
        </w:rPr>
        <w:t>due to unforeseen events.</w:t>
      </w:r>
    </w:p>
    <w:p w14:paraId="0A891B23" w14:textId="4AC0034E" w:rsidR="009B2DC1" w:rsidRPr="00273A4D" w:rsidRDefault="00273A4D" w:rsidP="001F3104">
      <w:pPr>
        <w:pStyle w:val="ListParagraph"/>
        <w:numPr>
          <w:ilvl w:val="0"/>
          <w:numId w:val="37"/>
        </w:numPr>
        <w:spacing w:after="0"/>
        <w:ind w:left="720"/>
        <w:rPr>
          <w:color w:val="000000" w:themeColor="text1"/>
        </w:rPr>
      </w:pPr>
      <w:r w:rsidRPr="00273A4D">
        <w:rPr>
          <w:color w:val="00B050"/>
        </w:rPr>
        <w:t>In particular, consideration should be given to the potential shock lapse rate that will occur due to the substantial premium rate increase</w:t>
      </w:r>
      <w:r w:rsidRPr="00273A4D">
        <w:rPr>
          <w:color w:val="000000" w:themeColor="text1"/>
        </w:rPr>
        <w:t>.</w:t>
      </w:r>
    </w:p>
    <w:p w14:paraId="30B5BBEE" w14:textId="77777777" w:rsidR="001F3104" w:rsidRDefault="001F3104" w:rsidP="00273A4D">
      <w:pPr>
        <w:spacing w:after="0"/>
        <w:rPr>
          <w:color w:val="000000" w:themeColor="text1"/>
        </w:rPr>
      </w:pPr>
    </w:p>
    <w:p w14:paraId="753263FE" w14:textId="704DDB9E" w:rsidR="00273A4D" w:rsidRPr="001F3104" w:rsidRDefault="00273A4D" w:rsidP="00273A4D">
      <w:pPr>
        <w:spacing w:after="0"/>
        <w:rPr>
          <w:i/>
          <w:color w:val="000000" w:themeColor="text1"/>
        </w:rPr>
      </w:pPr>
      <w:r w:rsidRPr="001F3104">
        <w:rPr>
          <w:i/>
          <w:color w:val="000000" w:themeColor="text1"/>
        </w:rPr>
        <w:t xml:space="preserve">In relation to the </w:t>
      </w:r>
      <w:r w:rsidRPr="001F3104">
        <w:rPr>
          <w:i/>
          <w:color w:val="000000" w:themeColor="text1"/>
          <w:u w:val="single"/>
        </w:rPr>
        <w:t>implementation of the new Di</w:t>
      </w:r>
      <w:r w:rsidR="001F3104" w:rsidRPr="001F3104">
        <w:rPr>
          <w:i/>
          <w:color w:val="000000" w:themeColor="text1"/>
          <w:u w:val="single"/>
        </w:rPr>
        <w:t>sability Income standard table</w:t>
      </w:r>
      <w:r w:rsidR="001F3104" w:rsidRPr="001F3104">
        <w:rPr>
          <w:i/>
          <w:color w:val="000000" w:themeColor="text1"/>
        </w:rPr>
        <w:t xml:space="preserve">, </w:t>
      </w:r>
      <w:r w:rsidRPr="001F3104">
        <w:rPr>
          <w:i/>
          <w:color w:val="000000" w:themeColor="text1"/>
        </w:rPr>
        <w:t>issues</w:t>
      </w:r>
      <w:r w:rsidR="001F3104" w:rsidRPr="001F3104">
        <w:rPr>
          <w:i/>
          <w:color w:val="000000" w:themeColor="text1"/>
        </w:rPr>
        <w:t xml:space="preserve"> </w:t>
      </w:r>
      <w:r w:rsidRPr="001F3104">
        <w:rPr>
          <w:i/>
          <w:color w:val="000000" w:themeColor="text1"/>
        </w:rPr>
        <w:t>/</w:t>
      </w:r>
      <w:r w:rsidR="001F3104" w:rsidRPr="001F3104">
        <w:rPr>
          <w:i/>
          <w:color w:val="000000" w:themeColor="text1"/>
        </w:rPr>
        <w:t xml:space="preserve"> </w:t>
      </w:r>
      <w:r w:rsidRPr="001F3104">
        <w:rPr>
          <w:i/>
          <w:color w:val="000000" w:themeColor="text1"/>
        </w:rPr>
        <w:t>considerations include:</w:t>
      </w:r>
    </w:p>
    <w:p w14:paraId="2351407C" w14:textId="57D3FF91" w:rsidR="00273A4D" w:rsidRPr="001F3104" w:rsidRDefault="00273A4D" w:rsidP="001F3104">
      <w:pPr>
        <w:pStyle w:val="ListParagraph"/>
        <w:numPr>
          <w:ilvl w:val="0"/>
          <w:numId w:val="39"/>
        </w:numPr>
        <w:spacing w:after="0"/>
        <w:rPr>
          <w:color w:val="000000" w:themeColor="text1"/>
        </w:rPr>
      </w:pPr>
      <w:r w:rsidRPr="009A61EE">
        <w:rPr>
          <w:color w:val="C00000"/>
        </w:rPr>
        <w:t xml:space="preserve">Adequate documentation </w:t>
      </w:r>
      <w:r w:rsidRPr="001F3104">
        <w:rPr>
          <w:color w:val="000000" w:themeColor="text1"/>
        </w:rPr>
        <w:t>on the implement</w:t>
      </w:r>
      <w:r w:rsidR="001F3104" w:rsidRPr="001F3104">
        <w:rPr>
          <w:color w:val="000000" w:themeColor="text1"/>
        </w:rPr>
        <w:t xml:space="preserve">ation of the new basis into the </w:t>
      </w:r>
      <w:r w:rsidRPr="001F3104">
        <w:rPr>
          <w:color w:val="000000" w:themeColor="text1"/>
        </w:rPr>
        <w:t>valuation models, to ensure a suitable audit trail.</w:t>
      </w:r>
    </w:p>
    <w:p w14:paraId="0AF0893F" w14:textId="77777777" w:rsidR="001F3104" w:rsidRDefault="00273A4D" w:rsidP="001F3104">
      <w:pPr>
        <w:pStyle w:val="ListParagraph"/>
        <w:numPr>
          <w:ilvl w:val="0"/>
          <w:numId w:val="39"/>
        </w:numPr>
        <w:spacing w:after="0"/>
        <w:rPr>
          <w:color w:val="000000" w:themeColor="text1"/>
        </w:rPr>
      </w:pPr>
      <w:r w:rsidRPr="001F3104">
        <w:rPr>
          <w:color w:val="C00000"/>
        </w:rPr>
        <w:t>Ensure adequate testing is performed on the new</w:t>
      </w:r>
      <w:r w:rsidR="001F3104" w:rsidRPr="001F3104">
        <w:rPr>
          <w:color w:val="C00000"/>
        </w:rPr>
        <w:t xml:space="preserve"> valuation models to ensure the </w:t>
      </w:r>
      <w:r w:rsidRPr="009A61EE">
        <w:rPr>
          <w:b/>
          <w:color w:val="C00000"/>
        </w:rPr>
        <w:t>Appointed Actuary can sign off on the adequacy o</w:t>
      </w:r>
      <w:r w:rsidR="001F3104" w:rsidRPr="009A61EE">
        <w:rPr>
          <w:b/>
          <w:color w:val="C00000"/>
        </w:rPr>
        <w:t>f policy liabilities</w:t>
      </w:r>
      <w:r w:rsidR="001F3104" w:rsidRPr="001F3104">
        <w:rPr>
          <w:color w:val="C00000"/>
        </w:rPr>
        <w:t xml:space="preserve"> for the 31 </w:t>
      </w:r>
      <w:r w:rsidRPr="001F3104">
        <w:rPr>
          <w:color w:val="C00000"/>
        </w:rPr>
        <w:t>December 2015 valuation which will use these models.</w:t>
      </w:r>
      <w:r w:rsidR="001F3104" w:rsidRPr="001F3104">
        <w:rPr>
          <w:color w:val="C00000"/>
        </w:rPr>
        <w:t xml:space="preserve"> </w:t>
      </w:r>
    </w:p>
    <w:p w14:paraId="15769613" w14:textId="48CDFEF1" w:rsidR="00273A4D" w:rsidRPr="001F3104" w:rsidRDefault="00273A4D" w:rsidP="001F3104">
      <w:pPr>
        <w:pStyle w:val="ListParagraph"/>
        <w:numPr>
          <w:ilvl w:val="0"/>
          <w:numId w:val="39"/>
        </w:numPr>
        <w:spacing w:after="0"/>
        <w:rPr>
          <w:color w:val="C00000"/>
        </w:rPr>
      </w:pPr>
      <w:r w:rsidRPr="001F3104">
        <w:rPr>
          <w:color w:val="C00000"/>
        </w:rPr>
        <w:t xml:space="preserve">Consideration of the capital implications of the new basis, </w:t>
      </w:r>
      <w:r w:rsidRPr="009A61EE">
        <w:rPr>
          <w:color w:val="C00000"/>
          <w:u w:val="single"/>
        </w:rPr>
        <w:t>given</w:t>
      </w:r>
      <w:r w:rsidR="001F3104" w:rsidRPr="009A61EE">
        <w:rPr>
          <w:color w:val="C00000"/>
          <w:u w:val="single"/>
        </w:rPr>
        <w:t xml:space="preserve"> the higher incidence and lower </w:t>
      </w:r>
      <w:r w:rsidRPr="009A61EE">
        <w:rPr>
          <w:color w:val="C00000"/>
          <w:u w:val="single"/>
        </w:rPr>
        <w:t>termination rates implied for part of the portfolio</w:t>
      </w:r>
      <w:r w:rsidRPr="001F3104">
        <w:rPr>
          <w:color w:val="C00000"/>
        </w:rPr>
        <w:t>.</w:t>
      </w:r>
    </w:p>
    <w:p w14:paraId="0F6E7C65" w14:textId="63B4ED08" w:rsidR="00273A4D" w:rsidRPr="001F3104" w:rsidRDefault="00273A4D" w:rsidP="001F3104">
      <w:pPr>
        <w:pStyle w:val="ListParagraph"/>
        <w:numPr>
          <w:ilvl w:val="0"/>
          <w:numId w:val="39"/>
        </w:numPr>
        <w:spacing w:after="0"/>
        <w:rPr>
          <w:color w:val="000000" w:themeColor="text1"/>
        </w:rPr>
      </w:pPr>
      <w:r w:rsidRPr="001F3104">
        <w:rPr>
          <w:color w:val="C00000"/>
        </w:rPr>
        <w:t xml:space="preserve">Consideration of using reinsurance to reduce the potentially higher capital requirements </w:t>
      </w:r>
      <w:r w:rsidRPr="001F3104">
        <w:rPr>
          <w:color w:val="000000" w:themeColor="text1"/>
        </w:rPr>
        <w:t xml:space="preserve">as a result of implementing the new table, given Bambury Life currently doesn’t have any reinsurance. The reinsurer can also provide useful insights, such as the lapse </w:t>
      </w:r>
      <w:r w:rsidRPr="001F3104">
        <w:rPr>
          <w:color w:val="000000" w:themeColor="text1"/>
        </w:rPr>
        <w:lastRenderedPageBreak/>
        <w:t>experience of other companies which have repriced as a result of adopting the new standard table.</w:t>
      </w:r>
    </w:p>
    <w:p w14:paraId="0A04ACD1" w14:textId="77777777" w:rsidR="001F3104" w:rsidRDefault="001F3104" w:rsidP="00273A4D">
      <w:pPr>
        <w:spacing w:after="0"/>
        <w:rPr>
          <w:color w:val="C00000"/>
        </w:rPr>
      </w:pPr>
    </w:p>
    <w:p w14:paraId="534E6883" w14:textId="01649069" w:rsidR="00273A4D" w:rsidRPr="001F3104" w:rsidRDefault="00273A4D" w:rsidP="00273A4D">
      <w:pPr>
        <w:spacing w:after="0"/>
        <w:rPr>
          <w:color w:val="C00000"/>
        </w:rPr>
      </w:pPr>
      <w:r w:rsidRPr="001F3104">
        <w:rPr>
          <w:color w:val="C00000"/>
        </w:rPr>
        <w:t xml:space="preserve">LPS320 on the proposed price increase prepared by the </w:t>
      </w:r>
      <w:r w:rsidRPr="001F3104">
        <w:rPr>
          <w:b/>
          <w:color w:val="C00000"/>
        </w:rPr>
        <w:t>Appoi</w:t>
      </w:r>
      <w:r w:rsidR="001F3104" w:rsidRPr="001F3104">
        <w:rPr>
          <w:b/>
          <w:color w:val="C00000"/>
        </w:rPr>
        <w:t>nted Actuary</w:t>
      </w:r>
      <w:r w:rsidR="001F3104" w:rsidRPr="001F3104">
        <w:rPr>
          <w:color w:val="C00000"/>
        </w:rPr>
        <w:t xml:space="preserve"> should be provided </w:t>
      </w:r>
      <w:r w:rsidRPr="001F3104">
        <w:rPr>
          <w:color w:val="C00000"/>
        </w:rPr>
        <w:t xml:space="preserve">to Management and may also be provided to the Board to </w:t>
      </w:r>
      <w:r w:rsidR="001F3104" w:rsidRPr="001F3104">
        <w:rPr>
          <w:color w:val="C00000"/>
        </w:rPr>
        <w:t xml:space="preserve">give them appropriate actuarial </w:t>
      </w:r>
      <w:r w:rsidRPr="001F3104">
        <w:rPr>
          <w:color w:val="C00000"/>
        </w:rPr>
        <w:t>advise on the proposed changes to the product.</w:t>
      </w:r>
    </w:p>
    <w:p w14:paraId="706688E5" w14:textId="77777777" w:rsidR="001F3104" w:rsidRDefault="001F3104" w:rsidP="00273A4D">
      <w:pPr>
        <w:spacing w:after="0"/>
        <w:rPr>
          <w:color w:val="000000" w:themeColor="text1"/>
        </w:rPr>
      </w:pPr>
    </w:p>
    <w:p w14:paraId="2E666366" w14:textId="77777777" w:rsidR="00273A4D" w:rsidRPr="00273A4D" w:rsidRDefault="00273A4D" w:rsidP="00273A4D">
      <w:pPr>
        <w:spacing w:after="0"/>
        <w:rPr>
          <w:color w:val="000000" w:themeColor="text1"/>
        </w:rPr>
      </w:pPr>
      <w:r w:rsidRPr="001F3104">
        <w:rPr>
          <w:color w:val="C00000"/>
        </w:rPr>
        <w:t xml:space="preserve">Sales/Distribution team and Product team should be consulted </w:t>
      </w:r>
      <w:r w:rsidRPr="00273A4D">
        <w:rPr>
          <w:color w:val="000000" w:themeColor="text1"/>
        </w:rPr>
        <w:t xml:space="preserve">ensuring the proposed price increase is not going to have a detrimental impact to competitiveness and future volume of sales (e.g. by </w:t>
      </w:r>
      <w:r w:rsidRPr="001F3104">
        <w:rPr>
          <w:color w:val="00B050"/>
        </w:rPr>
        <w:t>considering how competitive the increased premiums are in the market</w:t>
      </w:r>
      <w:r w:rsidRPr="00273A4D">
        <w:rPr>
          <w:color w:val="000000" w:themeColor="text1"/>
        </w:rPr>
        <w:t>).</w:t>
      </w:r>
    </w:p>
    <w:p w14:paraId="289E9CA9" w14:textId="77777777" w:rsidR="001F3104" w:rsidRDefault="001F3104" w:rsidP="00273A4D">
      <w:pPr>
        <w:spacing w:after="0"/>
        <w:rPr>
          <w:color w:val="000000" w:themeColor="text1"/>
        </w:rPr>
      </w:pPr>
    </w:p>
    <w:p w14:paraId="005F17DE" w14:textId="77777777" w:rsidR="00273A4D" w:rsidRPr="001F3104" w:rsidRDefault="00273A4D" w:rsidP="00273A4D">
      <w:pPr>
        <w:spacing w:after="0"/>
        <w:rPr>
          <w:color w:val="C00000"/>
        </w:rPr>
      </w:pPr>
      <w:r w:rsidRPr="001F3104">
        <w:rPr>
          <w:color w:val="C00000"/>
        </w:rPr>
        <w:t>The IT team should also be consulted to understand whether there are any system and administrative issues with implementing the proposed price increases.</w:t>
      </w:r>
    </w:p>
    <w:p w14:paraId="67ECCAFF" w14:textId="77777777" w:rsidR="001F3104" w:rsidRDefault="001F3104" w:rsidP="00273A4D">
      <w:pPr>
        <w:spacing w:after="0"/>
        <w:rPr>
          <w:color w:val="000000" w:themeColor="text1"/>
        </w:rPr>
      </w:pPr>
    </w:p>
    <w:p w14:paraId="7419513A" w14:textId="77777777" w:rsidR="00273A4D" w:rsidRPr="001F3104" w:rsidRDefault="00273A4D" w:rsidP="00273A4D">
      <w:pPr>
        <w:spacing w:after="0"/>
        <w:rPr>
          <w:i/>
          <w:color w:val="000000" w:themeColor="text1"/>
        </w:rPr>
      </w:pPr>
      <w:r w:rsidRPr="001F3104">
        <w:rPr>
          <w:i/>
          <w:color w:val="000000" w:themeColor="text1"/>
        </w:rPr>
        <w:t xml:space="preserve">The </w:t>
      </w:r>
      <w:r w:rsidRPr="001F3104">
        <w:rPr>
          <w:i/>
          <w:color w:val="000000" w:themeColor="text1"/>
          <w:u w:val="single"/>
        </w:rPr>
        <w:t>signoffs</w:t>
      </w:r>
      <w:r w:rsidRPr="001F3104">
        <w:rPr>
          <w:i/>
          <w:color w:val="000000" w:themeColor="text1"/>
        </w:rPr>
        <w:t xml:space="preserve"> required in relation to the CEO’s recommendation include:</w:t>
      </w:r>
    </w:p>
    <w:p w14:paraId="0A4E2253" w14:textId="26512A57" w:rsidR="00273A4D" w:rsidRPr="001F3104" w:rsidRDefault="00273A4D" w:rsidP="001F3104">
      <w:pPr>
        <w:pStyle w:val="ListParagraph"/>
        <w:numPr>
          <w:ilvl w:val="0"/>
          <w:numId w:val="36"/>
        </w:numPr>
        <w:spacing w:after="0"/>
        <w:rPr>
          <w:color w:val="000000" w:themeColor="text1"/>
        </w:rPr>
      </w:pPr>
      <w:r w:rsidRPr="00303AA3">
        <w:rPr>
          <w:color w:val="C00000"/>
        </w:rPr>
        <w:t xml:space="preserve">Signoff from the Auditors. </w:t>
      </w:r>
      <w:r w:rsidRPr="001F3104">
        <w:rPr>
          <w:color w:val="000000" w:themeColor="text1"/>
        </w:rPr>
        <w:t>Because the price increase is expected to occur 6 months later than the valuation date, it is important to consult and receive a written/verbal approval from the Auditors. To give comfort to the Auditors that it is reasonable to factor in a future premium increase, the company could:</w:t>
      </w:r>
    </w:p>
    <w:p w14:paraId="72876E31" w14:textId="497B6121" w:rsidR="00273A4D" w:rsidRPr="005323A4" w:rsidRDefault="00273A4D" w:rsidP="001F3104">
      <w:pPr>
        <w:pStyle w:val="ListParagraph"/>
        <w:numPr>
          <w:ilvl w:val="0"/>
          <w:numId w:val="40"/>
        </w:numPr>
        <w:spacing w:after="0"/>
        <w:rPr>
          <w:color w:val="000000" w:themeColor="text1"/>
          <w:sz w:val="20"/>
        </w:rPr>
      </w:pPr>
      <w:r w:rsidRPr="005323A4">
        <w:rPr>
          <w:color w:val="000000" w:themeColor="text1"/>
          <w:sz w:val="20"/>
        </w:rPr>
        <w:t>Provide evidence that this pricing initiative is progressing well;</w:t>
      </w:r>
    </w:p>
    <w:p w14:paraId="509B35CD" w14:textId="11891191" w:rsidR="00273A4D" w:rsidRPr="005323A4" w:rsidRDefault="00273A4D" w:rsidP="001F3104">
      <w:pPr>
        <w:pStyle w:val="ListParagraph"/>
        <w:numPr>
          <w:ilvl w:val="0"/>
          <w:numId w:val="40"/>
        </w:numPr>
        <w:spacing w:after="0"/>
        <w:rPr>
          <w:color w:val="000000" w:themeColor="text1"/>
          <w:sz w:val="20"/>
        </w:rPr>
      </w:pPr>
      <w:r w:rsidRPr="005323A4">
        <w:rPr>
          <w:color w:val="000000" w:themeColor="text1"/>
          <w:sz w:val="20"/>
        </w:rPr>
        <w:t>Provide written representation from management noting the commitment to increase premiums;</w:t>
      </w:r>
    </w:p>
    <w:p w14:paraId="6D6BD7CE" w14:textId="4D7C2517" w:rsidR="00273A4D" w:rsidRPr="005323A4" w:rsidRDefault="00273A4D" w:rsidP="001F3104">
      <w:pPr>
        <w:pStyle w:val="ListParagraph"/>
        <w:numPr>
          <w:ilvl w:val="0"/>
          <w:numId w:val="40"/>
        </w:numPr>
        <w:spacing w:after="0"/>
        <w:rPr>
          <w:color w:val="000000" w:themeColor="text1"/>
          <w:sz w:val="20"/>
        </w:rPr>
      </w:pPr>
      <w:r w:rsidRPr="005323A4">
        <w:rPr>
          <w:color w:val="000000" w:themeColor="text1"/>
          <w:sz w:val="20"/>
        </w:rPr>
        <w:t>Submit a full appreciation of the financial implications, including consideration of potential shock lapses; and/or</w:t>
      </w:r>
    </w:p>
    <w:p w14:paraId="0BC16F37" w14:textId="4B4FA06C" w:rsidR="00273A4D" w:rsidRPr="005323A4" w:rsidRDefault="00273A4D" w:rsidP="001F3104">
      <w:pPr>
        <w:pStyle w:val="ListParagraph"/>
        <w:numPr>
          <w:ilvl w:val="0"/>
          <w:numId w:val="40"/>
        </w:numPr>
        <w:spacing w:after="0"/>
        <w:rPr>
          <w:color w:val="000000" w:themeColor="text1"/>
          <w:sz w:val="20"/>
        </w:rPr>
      </w:pPr>
      <w:r w:rsidRPr="005323A4">
        <w:rPr>
          <w:color w:val="000000" w:themeColor="text1"/>
          <w:sz w:val="20"/>
        </w:rPr>
        <w:t>Demonstrate transparency with the Board and the Board Audit Committee.</w:t>
      </w:r>
    </w:p>
    <w:p w14:paraId="121A3297" w14:textId="77777777" w:rsidR="00273A4D" w:rsidRPr="00303AA3" w:rsidRDefault="00273A4D" w:rsidP="00303AA3">
      <w:pPr>
        <w:pStyle w:val="ListParagraph"/>
        <w:numPr>
          <w:ilvl w:val="0"/>
          <w:numId w:val="36"/>
        </w:numPr>
        <w:spacing w:after="0"/>
        <w:rPr>
          <w:color w:val="C00000"/>
        </w:rPr>
      </w:pPr>
      <w:r w:rsidRPr="00303AA3">
        <w:rPr>
          <w:color w:val="C00000"/>
        </w:rPr>
        <w:t>Sign off from other key Finance stakeholders such as the CFO that they understand the financial implications of the premium rate increase.</w:t>
      </w:r>
    </w:p>
    <w:p w14:paraId="117D8D92" w14:textId="3C18A43C" w:rsidR="00273A4D" w:rsidRPr="001F3104" w:rsidRDefault="00273A4D" w:rsidP="001F3104">
      <w:pPr>
        <w:pStyle w:val="ListParagraph"/>
        <w:numPr>
          <w:ilvl w:val="0"/>
          <w:numId w:val="36"/>
        </w:numPr>
        <w:spacing w:after="0"/>
        <w:rPr>
          <w:color w:val="000000" w:themeColor="text1"/>
        </w:rPr>
      </w:pPr>
      <w:r w:rsidRPr="00303AA3">
        <w:rPr>
          <w:color w:val="C00000"/>
        </w:rPr>
        <w:t>Sign off from the Head of the sales/distribution/product, the Head of IT and/or the Head of operations/COO on the proposed premium increases</w:t>
      </w:r>
      <w:r w:rsidRPr="001F3104">
        <w:rPr>
          <w:color w:val="000000" w:themeColor="text1"/>
        </w:rPr>
        <w:t xml:space="preserve">, to </w:t>
      </w:r>
      <w:r w:rsidR="005F6BB0">
        <w:rPr>
          <w:color w:val="000000" w:themeColor="text1"/>
        </w:rPr>
        <w:t>ensure</w:t>
      </w:r>
      <w:r w:rsidRPr="001F3104">
        <w:rPr>
          <w:color w:val="000000" w:themeColor="text1"/>
        </w:rPr>
        <w:t xml:space="preserve"> appropriate consideration has been given to the sales and administration implications.</w:t>
      </w:r>
    </w:p>
    <w:p w14:paraId="39690636" w14:textId="6528F251" w:rsidR="00273A4D" w:rsidRPr="001F3104" w:rsidRDefault="00273A4D" w:rsidP="001F3104">
      <w:pPr>
        <w:pStyle w:val="ListParagraph"/>
        <w:numPr>
          <w:ilvl w:val="0"/>
          <w:numId w:val="36"/>
        </w:numPr>
        <w:spacing w:after="0"/>
        <w:rPr>
          <w:color w:val="000000" w:themeColor="text1"/>
        </w:rPr>
      </w:pPr>
      <w:r w:rsidRPr="00303AA3">
        <w:rPr>
          <w:color w:val="C00000"/>
        </w:rPr>
        <w:t xml:space="preserve">Sign off from the valuation manager / head of the valuation team that suitable testing has been performed </w:t>
      </w:r>
      <w:r w:rsidRPr="001F3104">
        <w:rPr>
          <w:color w:val="000000" w:themeColor="text1"/>
        </w:rPr>
        <w:t>and the new models are ready to be used for valuations.</w:t>
      </w:r>
    </w:p>
    <w:p w14:paraId="6BB05846" w14:textId="308395FD" w:rsidR="00273A4D" w:rsidRDefault="00273A4D" w:rsidP="00273A4D">
      <w:pPr>
        <w:spacing w:after="0"/>
        <w:rPr>
          <w:color w:val="000000" w:themeColor="text1"/>
        </w:rPr>
      </w:pPr>
    </w:p>
    <w:p w14:paraId="741B0D88" w14:textId="3FAEA25A" w:rsidR="002C6C6F" w:rsidRDefault="009A61EE" w:rsidP="005F6BB0">
      <w:pPr>
        <w:spacing w:after="0"/>
        <w:rPr>
          <w:color w:val="000000" w:themeColor="text1"/>
        </w:rPr>
      </w:pPr>
      <w:r w:rsidRPr="002C6C6F">
        <w:rPr>
          <w:color w:val="000000" w:themeColor="text1"/>
          <w:highlight w:val="lightGray"/>
        </w:rPr>
        <w:t xml:space="preserve">b) </w:t>
      </w:r>
      <w:r w:rsidR="002C6C6F" w:rsidRPr="002C6C6F">
        <w:rPr>
          <w:color w:val="000000" w:themeColor="text1"/>
          <w:highlight w:val="lightGray"/>
        </w:rPr>
        <w:t>No</w:t>
      </w:r>
      <w:bookmarkStart w:id="0" w:name="_GoBack"/>
      <w:bookmarkEnd w:id="0"/>
      <w:r w:rsidR="002C6C6F" w:rsidRPr="002C6C6F">
        <w:rPr>
          <w:color w:val="000000" w:themeColor="text1"/>
          <w:highlight w:val="lightGray"/>
        </w:rPr>
        <w:t>t a good example</w:t>
      </w:r>
    </w:p>
    <w:p w14:paraId="2C8B4829" w14:textId="4CE31BCF" w:rsidR="005F6BB0" w:rsidRPr="005F6BB0" w:rsidRDefault="005F6BB0" w:rsidP="005F6BB0">
      <w:pPr>
        <w:spacing w:after="0"/>
        <w:rPr>
          <w:color w:val="000000" w:themeColor="text1"/>
        </w:rPr>
      </w:pPr>
      <w:r>
        <w:rPr>
          <w:color w:val="000000" w:themeColor="text1"/>
        </w:rPr>
        <w:t>[</w:t>
      </w:r>
      <w:r w:rsidRPr="005F6BB0">
        <w:rPr>
          <w:color w:val="C00000"/>
        </w:rPr>
        <w:t>Claim experience definition</w:t>
      </w:r>
      <w:r>
        <w:rPr>
          <w:color w:val="000000" w:themeColor="text1"/>
        </w:rPr>
        <w:t xml:space="preserve">] </w:t>
      </w:r>
      <w:r w:rsidRPr="005F6BB0">
        <w:rPr>
          <w:color w:val="000000" w:themeColor="text1"/>
        </w:rPr>
        <w:t>Claim experience item in AOP = Expected claim cost less the Actual claim cost (including increase in IBNR and RBNA reserves over the period for both Expected and Actual).</w:t>
      </w:r>
    </w:p>
    <w:p w14:paraId="468774F0" w14:textId="77777777" w:rsidR="005F6BB0" w:rsidRDefault="005F6BB0" w:rsidP="005F6BB0">
      <w:pPr>
        <w:spacing w:after="0"/>
        <w:rPr>
          <w:color w:val="000000" w:themeColor="text1"/>
        </w:rPr>
      </w:pPr>
    </w:p>
    <w:p w14:paraId="4364643A" w14:textId="77777777" w:rsidR="005F6BB0" w:rsidRPr="005323A4" w:rsidRDefault="005F6BB0" w:rsidP="005F6BB0">
      <w:pPr>
        <w:spacing w:after="0"/>
        <w:rPr>
          <w:i/>
          <w:color w:val="000000" w:themeColor="text1"/>
        </w:rPr>
      </w:pPr>
      <w:r w:rsidRPr="005323A4">
        <w:rPr>
          <w:i/>
          <w:color w:val="000000" w:themeColor="text1"/>
        </w:rPr>
        <w:t>Various components of the total claim cost are as follows:</w:t>
      </w:r>
    </w:p>
    <w:p w14:paraId="0CE7F102" w14:textId="35804B06" w:rsidR="00151769" w:rsidRDefault="005F6BB0" w:rsidP="005F6BB0">
      <w:pPr>
        <w:pStyle w:val="ListParagraph"/>
        <w:numPr>
          <w:ilvl w:val="0"/>
          <w:numId w:val="42"/>
        </w:numPr>
        <w:spacing w:after="0"/>
        <w:rPr>
          <w:color w:val="000000" w:themeColor="text1"/>
        </w:rPr>
      </w:pPr>
      <w:r w:rsidRPr="005F6BB0">
        <w:rPr>
          <w:color w:val="C00000"/>
        </w:rPr>
        <w:t>Expected or actual $ amount of DII benefit paid to claimants during the period</w:t>
      </w:r>
      <w:r w:rsidR="002C6C6F">
        <w:rPr>
          <w:color w:val="000000" w:themeColor="text1"/>
        </w:rPr>
        <w:t>.</w:t>
      </w:r>
      <w:r w:rsidRPr="005F6BB0">
        <w:rPr>
          <w:color w:val="000000" w:themeColor="text1"/>
        </w:rPr>
        <w:t xml:space="preserve"> </w:t>
      </w:r>
    </w:p>
    <w:p w14:paraId="3FA842E9" w14:textId="39159286" w:rsidR="005F6BB0" w:rsidRPr="00151769" w:rsidRDefault="005F6BB0" w:rsidP="00151769">
      <w:pPr>
        <w:pStyle w:val="ListParagraph"/>
        <w:numPr>
          <w:ilvl w:val="0"/>
          <w:numId w:val="43"/>
        </w:numPr>
        <w:spacing w:after="0"/>
        <w:rPr>
          <w:color w:val="000000" w:themeColor="text1"/>
        </w:rPr>
      </w:pPr>
      <w:r w:rsidRPr="00151769">
        <w:rPr>
          <w:color w:val="C00000"/>
        </w:rPr>
        <w:lastRenderedPageBreak/>
        <w:t xml:space="preserve">The expected payment will increase </w:t>
      </w:r>
      <w:r w:rsidRPr="00151769">
        <w:rPr>
          <w:color w:val="000000" w:themeColor="text1"/>
        </w:rPr>
        <w:t xml:space="preserve">due to expected new claims during the period which are expected to result in a $ claim payment. </w:t>
      </w:r>
      <w:r w:rsidRPr="00151769">
        <w:rPr>
          <w:color w:val="C00000"/>
        </w:rPr>
        <w:t xml:space="preserve">No changes to actual $ amount of DII benefit payment. </w:t>
      </w:r>
    </w:p>
    <w:p w14:paraId="0098A00B" w14:textId="2ED40A56" w:rsidR="005F6BB0" w:rsidRPr="005F6BB0" w:rsidRDefault="002C6C6F" w:rsidP="005F6BB0">
      <w:pPr>
        <w:pStyle w:val="ListParagraph"/>
        <w:numPr>
          <w:ilvl w:val="0"/>
          <w:numId w:val="42"/>
        </w:numPr>
        <w:spacing w:after="0"/>
        <w:rPr>
          <w:color w:val="000000" w:themeColor="text1"/>
        </w:rPr>
      </w:pPr>
      <w:r>
        <w:rPr>
          <w:color w:val="000000" w:themeColor="text1"/>
        </w:rPr>
        <w:t>E</w:t>
      </w:r>
      <w:r w:rsidR="005F6BB0" w:rsidRPr="005F6BB0">
        <w:rPr>
          <w:color w:val="000000" w:themeColor="text1"/>
        </w:rPr>
        <w:t xml:space="preserve">xpected or actual $ amount of DII benefit </w:t>
      </w:r>
      <w:r w:rsidR="005F6BB0" w:rsidRPr="002C6C6F">
        <w:rPr>
          <w:color w:val="C00000"/>
        </w:rPr>
        <w:t xml:space="preserve">payable </w:t>
      </w:r>
      <w:r w:rsidR="005F6BB0" w:rsidRPr="005F6BB0">
        <w:rPr>
          <w:color w:val="000000" w:themeColor="text1"/>
        </w:rPr>
        <w:t xml:space="preserve">to claimants during the period. </w:t>
      </w:r>
    </w:p>
    <w:p w14:paraId="14A97DD8" w14:textId="77777777" w:rsidR="005F6BB0" w:rsidRPr="005F6BB0" w:rsidRDefault="005F6BB0" w:rsidP="00151769">
      <w:pPr>
        <w:pStyle w:val="ListParagraph"/>
        <w:numPr>
          <w:ilvl w:val="0"/>
          <w:numId w:val="43"/>
        </w:numPr>
        <w:spacing w:after="0"/>
        <w:rPr>
          <w:color w:val="000000" w:themeColor="text1"/>
        </w:rPr>
      </w:pPr>
      <w:r w:rsidRPr="005F6BB0">
        <w:rPr>
          <w:color w:val="000000" w:themeColor="text1"/>
        </w:rPr>
        <w:t xml:space="preserve">The expected amount should be offset by an expected release in Claims in Course of Payment (CICP) reserve of the same amount. The expected release in CICP reserve will increase by the same amount to offset increase in expected payment in the period. No changes to actual release in CICP reserve. </w:t>
      </w:r>
    </w:p>
    <w:p w14:paraId="47E86DCB" w14:textId="77777777" w:rsidR="005F6BB0" w:rsidRPr="005F6BB0" w:rsidRDefault="005F6BB0" w:rsidP="00151769">
      <w:pPr>
        <w:pStyle w:val="ListParagraph"/>
        <w:numPr>
          <w:ilvl w:val="0"/>
          <w:numId w:val="43"/>
        </w:numPr>
        <w:spacing w:after="0"/>
        <w:rPr>
          <w:color w:val="000000" w:themeColor="text1"/>
        </w:rPr>
      </w:pPr>
      <w:r w:rsidRPr="005F6BB0">
        <w:rPr>
          <w:color w:val="000000" w:themeColor="text1"/>
        </w:rPr>
        <w:t xml:space="preserve">The actual $ amount of DII benefit paid to claimants during the period should be mostly offset by actual release in CICP reserve as a result of unwinding of the expected benefit payable during the month. The offset may not be exact because of various reasons such as legal settlement for any in dispute claims. </w:t>
      </w:r>
    </w:p>
    <w:p w14:paraId="2A24AA8F" w14:textId="28C9A90C" w:rsidR="005F6BB0" w:rsidRPr="005F6BB0" w:rsidRDefault="005F6BB0" w:rsidP="005F6BB0">
      <w:pPr>
        <w:pStyle w:val="ListParagraph"/>
        <w:numPr>
          <w:ilvl w:val="0"/>
          <w:numId w:val="42"/>
        </w:numPr>
        <w:spacing w:after="0"/>
        <w:rPr>
          <w:color w:val="000000" w:themeColor="text1"/>
        </w:rPr>
      </w:pPr>
      <w:r w:rsidRPr="005F6BB0">
        <w:rPr>
          <w:color w:val="000000" w:themeColor="text1"/>
        </w:rPr>
        <w:t xml:space="preserve">The expected or actual release in CICP reserve due to benefit payable. </w:t>
      </w:r>
    </w:p>
    <w:p w14:paraId="081EA278" w14:textId="77777777" w:rsidR="005F6BB0" w:rsidRPr="005F6BB0" w:rsidRDefault="005F6BB0" w:rsidP="00151769">
      <w:pPr>
        <w:pStyle w:val="ListParagraph"/>
        <w:numPr>
          <w:ilvl w:val="0"/>
          <w:numId w:val="44"/>
        </w:numPr>
        <w:spacing w:after="0"/>
        <w:rPr>
          <w:color w:val="000000" w:themeColor="text1"/>
        </w:rPr>
      </w:pPr>
      <w:r w:rsidRPr="00151769">
        <w:rPr>
          <w:color w:val="C00000"/>
        </w:rPr>
        <w:t>The expected release should also be very close to the actual release in CICP reserve</w:t>
      </w:r>
      <w:r w:rsidRPr="005F6BB0">
        <w:rPr>
          <w:color w:val="000000" w:themeColor="text1"/>
        </w:rPr>
        <w:t xml:space="preserve">. This could be different if there are any data changes that have not been allowed for in the expected (for example, changes to the event date, as more accurate information becomes available). </w:t>
      </w:r>
    </w:p>
    <w:p w14:paraId="2CA2B606" w14:textId="16F3FC1F" w:rsidR="005F6BB0" w:rsidRPr="005F6BB0" w:rsidRDefault="005F6BB0" w:rsidP="005F6BB0">
      <w:pPr>
        <w:pStyle w:val="ListParagraph"/>
        <w:numPr>
          <w:ilvl w:val="0"/>
          <w:numId w:val="42"/>
        </w:numPr>
        <w:spacing w:after="0"/>
        <w:rPr>
          <w:color w:val="000000" w:themeColor="text1"/>
        </w:rPr>
      </w:pPr>
      <w:r w:rsidRPr="005F6BB0">
        <w:rPr>
          <w:color w:val="000000" w:themeColor="text1"/>
        </w:rPr>
        <w:t xml:space="preserve">Expected or actual increase in CICP reserve for policies that were still on claim since the beginning of the period. </w:t>
      </w:r>
    </w:p>
    <w:p w14:paraId="5C36B2D0" w14:textId="3F2260B5" w:rsidR="005F6BB0" w:rsidRPr="00151769" w:rsidRDefault="005F6BB0" w:rsidP="005F6BB0">
      <w:pPr>
        <w:pStyle w:val="ListParagraph"/>
        <w:numPr>
          <w:ilvl w:val="0"/>
          <w:numId w:val="42"/>
        </w:numPr>
        <w:spacing w:after="0"/>
        <w:rPr>
          <w:color w:val="C00000"/>
        </w:rPr>
      </w:pPr>
      <w:r w:rsidRPr="005F6BB0">
        <w:rPr>
          <w:color w:val="000000" w:themeColor="text1"/>
        </w:rPr>
        <w:t xml:space="preserve">There will be one period increase in claim inforce duration and will be based on the same number of remaining payments. In other words, excluding the impact of the release in CICP reserve due to the current period benefit payable. This is most likely to be an increase as now the claims have been inforce for another month; </w:t>
      </w:r>
      <w:r w:rsidRPr="00151769">
        <w:rPr>
          <w:color w:val="C00000"/>
        </w:rPr>
        <w:t xml:space="preserve">the termination assumption will hence reduce, resulting in a higher CICP reserve. </w:t>
      </w:r>
    </w:p>
    <w:p w14:paraId="65C6BFFA" w14:textId="16A0F1DB" w:rsidR="00303AA3" w:rsidRPr="005F6BB0" w:rsidRDefault="005F6BB0" w:rsidP="005F6BB0">
      <w:pPr>
        <w:pStyle w:val="ListParagraph"/>
        <w:numPr>
          <w:ilvl w:val="0"/>
          <w:numId w:val="42"/>
        </w:numPr>
        <w:spacing w:after="0"/>
        <w:rPr>
          <w:color w:val="000000" w:themeColor="text1"/>
        </w:rPr>
      </w:pPr>
      <w:r w:rsidRPr="005F6BB0">
        <w:rPr>
          <w:color w:val="000000" w:themeColor="text1"/>
        </w:rPr>
        <w:t xml:space="preserve">With the new DII tables, </w:t>
      </w:r>
      <w:r w:rsidRPr="005F6BB0">
        <w:rPr>
          <w:color w:val="C00000"/>
        </w:rPr>
        <w:t>the increase to continuing claims</w:t>
      </w:r>
      <w:r w:rsidRPr="005F6BB0">
        <w:rPr>
          <w:color w:val="000000" w:themeColor="text1"/>
        </w:rPr>
        <w:t xml:space="preserve"> will be more significant as the termination assumption differ significantly from Bambury’s current basis – with much lower termination rates in the new table for claims beyond a five year duration. </w:t>
      </w:r>
    </w:p>
    <w:p w14:paraId="1535D6F8" w14:textId="6C586DDB" w:rsidR="005F6BB0" w:rsidRPr="005F6BB0" w:rsidRDefault="005F6BB0" w:rsidP="005F6BB0">
      <w:pPr>
        <w:pStyle w:val="ListParagraph"/>
        <w:numPr>
          <w:ilvl w:val="0"/>
          <w:numId w:val="42"/>
        </w:numPr>
        <w:spacing w:after="0"/>
        <w:rPr>
          <w:color w:val="000000" w:themeColor="text1"/>
        </w:rPr>
      </w:pPr>
      <w:r w:rsidRPr="005F6BB0">
        <w:rPr>
          <w:color w:val="000000" w:themeColor="text1"/>
        </w:rPr>
        <w:t>Expected or actual decrease in CICP reserve due to policies been terminated during the period.</w:t>
      </w:r>
    </w:p>
    <w:p w14:paraId="4BC79182" w14:textId="7D74B28A" w:rsidR="005F6BB0" w:rsidRPr="005F6BB0" w:rsidRDefault="005F6BB0" w:rsidP="00151769">
      <w:pPr>
        <w:pStyle w:val="ListParagraph"/>
        <w:numPr>
          <w:ilvl w:val="0"/>
          <w:numId w:val="44"/>
        </w:numPr>
        <w:spacing w:after="0"/>
        <w:rPr>
          <w:color w:val="000000" w:themeColor="text1"/>
        </w:rPr>
      </w:pPr>
      <w:r w:rsidRPr="005F6BB0">
        <w:rPr>
          <w:color w:val="000000" w:themeColor="text1"/>
        </w:rPr>
        <w:t>As the overall CICP reserve will increase quite significantly after adopting the new DII table, the expected and actual release in CICP reserve will hence be more material.</w:t>
      </w:r>
    </w:p>
    <w:p w14:paraId="71C928E9" w14:textId="5BD80382" w:rsidR="005F6BB0" w:rsidRPr="005F6BB0" w:rsidRDefault="005F6BB0" w:rsidP="005F6BB0">
      <w:pPr>
        <w:pStyle w:val="ListParagraph"/>
        <w:numPr>
          <w:ilvl w:val="0"/>
          <w:numId w:val="42"/>
        </w:numPr>
        <w:spacing w:after="0"/>
        <w:rPr>
          <w:color w:val="000000" w:themeColor="text1"/>
        </w:rPr>
      </w:pPr>
      <w:r w:rsidRPr="005F6BB0">
        <w:rPr>
          <w:color w:val="000000" w:themeColor="text1"/>
        </w:rPr>
        <w:t>Expected or actual increase in CICP reserve due to new claims since the start of the period.</w:t>
      </w:r>
    </w:p>
    <w:p w14:paraId="3AFA37A2" w14:textId="50C24B81" w:rsidR="005F6BB0" w:rsidRPr="005F6BB0" w:rsidRDefault="005F6BB0" w:rsidP="00151769">
      <w:pPr>
        <w:pStyle w:val="ListParagraph"/>
        <w:numPr>
          <w:ilvl w:val="0"/>
          <w:numId w:val="44"/>
        </w:numPr>
        <w:spacing w:after="0"/>
        <w:rPr>
          <w:color w:val="000000" w:themeColor="text1"/>
        </w:rPr>
      </w:pPr>
      <w:r w:rsidRPr="005F6BB0">
        <w:rPr>
          <w:color w:val="000000" w:themeColor="text1"/>
        </w:rPr>
        <w:t>Expected increase in CICP reserve will be larger than before after adopting the new DII tables as the incidence rates will project more potential new claims.</w:t>
      </w:r>
    </w:p>
    <w:p w14:paraId="0BD8EDF6" w14:textId="32D03FCD" w:rsidR="005F6BB0" w:rsidRPr="005F6BB0" w:rsidRDefault="005F6BB0" w:rsidP="00151769">
      <w:pPr>
        <w:pStyle w:val="ListParagraph"/>
        <w:numPr>
          <w:ilvl w:val="0"/>
          <w:numId w:val="44"/>
        </w:numPr>
        <w:spacing w:after="0"/>
        <w:rPr>
          <w:color w:val="000000" w:themeColor="text1"/>
        </w:rPr>
      </w:pPr>
      <w:r w:rsidRPr="005F6BB0">
        <w:rPr>
          <w:color w:val="000000" w:themeColor="text1"/>
        </w:rPr>
        <w:t>With every new DII claim, the new DII table will result in a larger increase in CICP reserve for every claim as a result of generally lower termination rates.</w:t>
      </w:r>
    </w:p>
    <w:p w14:paraId="376B2597" w14:textId="77777777" w:rsidR="005F6BB0" w:rsidRDefault="005F6BB0" w:rsidP="005F6BB0">
      <w:pPr>
        <w:spacing w:after="0"/>
        <w:rPr>
          <w:color w:val="000000" w:themeColor="text1"/>
        </w:rPr>
      </w:pPr>
    </w:p>
    <w:p w14:paraId="3AC633C1" w14:textId="3D7BF911" w:rsidR="005F6BB0" w:rsidRDefault="005F6BB0" w:rsidP="005F6BB0">
      <w:pPr>
        <w:spacing w:after="0"/>
        <w:rPr>
          <w:color w:val="000000" w:themeColor="text1"/>
        </w:rPr>
      </w:pPr>
      <w:r w:rsidRPr="005F6BB0">
        <w:rPr>
          <w:color w:val="000000" w:themeColor="text1"/>
        </w:rPr>
        <w:t>After the implementation of the new standard table</w:t>
      </w:r>
      <w:r>
        <w:rPr>
          <w:color w:val="000000" w:themeColor="text1"/>
        </w:rPr>
        <w:t xml:space="preserve">, overall the claims experience </w:t>
      </w:r>
      <w:r w:rsidRPr="005F6BB0">
        <w:rPr>
          <w:color w:val="000000" w:themeColor="text1"/>
        </w:rPr>
        <w:t>loss/profit should be smaller if the new basis more accu</w:t>
      </w:r>
      <w:r>
        <w:rPr>
          <w:color w:val="000000" w:themeColor="text1"/>
        </w:rPr>
        <w:t xml:space="preserve">rately reflect Bambury’s actual </w:t>
      </w:r>
      <w:r w:rsidRPr="005F6BB0">
        <w:rPr>
          <w:color w:val="000000" w:themeColor="text1"/>
        </w:rPr>
        <w:t>experience.</w:t>
      </w:r>
    </w:p>
    <w:p w14:paraId="1D10E775" w14:textId="4E24C80A" w:rsidR="00151769" w:rsidRPr="006A768B" w:rsidRDefault="00151769" w:rsidP="005F6BB0">
      <w:pPr>
        <w:spacing w:after="0"/>
        <w:rPr>
          <w:color w:val="000000" w:themeColor="text1"/>
        </w:rPr>
      </w:pPr>
    </w:p>
    <w:sectPr w:rsidR="00151769" w:rsidRPr="006A768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FE984" w14:textId="77777777" w:rsidR="003F6069" w:rsidRDefault="003F6069" w:rsidP="00565DE9">
      <w:pPr>
        <w:spacing w:after="0" w:line="240" w:lineRule="auto"/>
      </w:pPr>
      <w:r>
        <w:separator/>
      </w:r>
    </w:p>
  </w:endnote>
  <w:endnote w:type="continuationSeparator" w:id="0">
    <w:p w14:paraId="03E07BE8" w14:textId="77777777" w:rsidR="003F6069" w:rsidRDefault="003F6069"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FD832" w14:textId="77777777" w:rsidR="003F6069" w:rsidRDefault="003F6069" w:rsidP="00565DE9">
      <w:pPr>
        <w:spacing w:after="0" w:line="240" w:lineRule="auto"/>
      </w:pPr>
      <w:r>
        <w:separator/>
      </w:r>
    </w:p>
  </w:footnote>
  <w:footnote w:type="continuationSeparator" w:id="0">
    <w:p w14:paraId="25CFFA12" w14:textId="77777777" w:rsidR="003F6069" w:rsidRDefault="003F6069"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6464"/>
    <w:multiLevelType w:val="hybridMultilevel"/>
    <w:tmpl w:val="31F0131A"/>
    <w:lvl w:ilvl="0" w:tplc="C7189164">
      <w:numFmt w:val="bullet"/>
      <w:lvlText w:val="•"/>
      <w:lvlJc w:val="left"/>
      <w:pPr>
        <w:ind w:left="72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16600"/>
    <w:multiLevelType w:val="hybridMultilevel"/>
    <w:tmpl w:val="67AA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22888"/>
    <w:multiLevelType w:val="hybridMultilevel"/>
    <w:tmpl w:val="6C44F980"/>
    <w:lvl w:ilvl="0" w:tplc="C7189164">
      <w:numFmt w:val="bullet"/>
      <w:lvlText w:val="•"/>
      <w:lvlJc w:val="left"/>
      <w:pPr>
        <w:ind w:left="72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70F9"/>
    <w:multiLevelType w:val="hybridMultilevel"/>
    <w:tmpl w:val="C48CE58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36C77"/>
    <w:multiLevelType w:val="hybridMultilevel"/>
    <w:tmpl w:val="C93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A6C74"/>
    <w:multiLevelType w:val="hybridMultilevel"/>
    <w:tmpl w:val="E2847B4E"/>
    <w:lvl w:ilvl="0" w:tplc="61EE7E1C">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6520"/>
    <w:multiLevelType w:val="hybridMultilevel"/>
    <w:tmpl w:val="72BAC4E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357AC"/>
    <w:multiLevelType w:val="hybridMultilevel"/>
    <w:tmpl w:val="E4FE9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36699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9B0AC9"/>
    <w:multiLevelType w:val="hybridMultilevel"/>
    <w:tmpl w:val="E8688D1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11A15"/>
    <w:multiLevelType w:val="hybridMultilevel"/>
    <w:tmpl w:val="9788CB4C"/>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71F6F"/>
    <w:multiLevelType w:val="hybridMultilevel"/>
    <w:tmpl w:val="22F6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100D9"/>
    <w:multiLevelType w:val="hybridMultilevel"/>
    <w:tmpl w:val="49EAEB4A"/>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722C2"/>
    <w:multiLevelType w:val="hybridMultilevel"/>
    <w:tmpl w:val="F274082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A6A8A"/>
    <w:multiLevelType w:val="hybridMultilevel"/>
    <w:tmpl w:val="D8C83436"/>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E2A0B"/>
    <w:multiLevelType w:val="hybridMultilevel"/>
    <w:tmpl w:val="ED405666"/>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0469B"/>
    <w:multiLevelType w:val="hybridMultilevel"/>
    <w:tmpl w:val="3F4CC01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9A455A"/>
    <w:multiLevelType w:val="hybridMultilevel"/>
    <w:tmpl w:val="ACBA07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65F6"/>
    <w:multiLevelType w:val="hybridMultilevel"/>
    <w:tmpl w:val="D0525FBE"/>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84C97"/>
    <w:multiLevelType w:val="hybridMultilevel"/>
    <w:tmpl w:val="07EE8180"/>
    <w:lvl w:ilvl="0" w:tplc="61EE7E1C">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82D6F"/>
    <w:multiLevelType w:val="hybridMultilevel"/>
    <w:tmpl w:val="D7D8213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21C8F"/>
    <w:multiLevelType w:val="hybridMultilevel"/>
    <w:tmpl w:val="ADF4FA52"/>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93097"/>
    <w:multiLevelType w:val="hybridMultilevel"/>
    <w:tmpl w:val="7A2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17D90"/>
    <w:multiLevelType w:val="hybridMultilevel"/>
    <w:tmpl w:val="862CB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5A0609"/>
    <w:multiLevelType w:val="hybridMultilevel"/>
    <w:tmpl w:val="882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52FA2"/>
    <w:multiLevelType w:val="hybridMultilevel"/>
    <w:tmpl w:val="10A27C54"/>
    <w:lvl w:ilvl="0" w:tplc="61EE7E1C">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518DA"/>
    <w:multiLevelType w:val="hybridMultilevel"/>
    <w:tmpl w:val="35D0E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6604C"/>
    <w:multiLevelType w:val="hybridMultilevel"/>
    <w:tmpl w:val="C3924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FE383A"/>
    <w:multiLevelType w:val="hybridMultilevel"/>
    <w:tmpl w:val="8E548E22"/>
    <w:lvl w:ilvl="0" w:tplc="61EE7E1C">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972CB"/>
    <w:multiLevelType w:val="hybridMultilevel"/>
    <w:tmpl w:val="630E93E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F0AA3"/>
    <w:multiLevelType w:val="hybridMultilevel"/>
    <w:tmpl w:val="DA4426D8"/>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3D60A4"/>
    <w:multiLevelType w:val="hybridMultilevel"/>
    <w:tmpl w:val="EF3C6CA8"/>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596B77"/>
    <w:multiLevelType w:val="hybridMultilevel"/>
    <w:tmpl w:val="2B06E5C6"/>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A7E4F"/>
    <w:multiLevelType w:val="hybridMultilevel"/>
    <w:tmpl w:val="4DEA939A"/>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53F3F"/>
    <w:multiLevelType w:val="hybridMultilevel"/>
    <w:tmpl w:val="206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23186"/>
    <w:multiLevelType w:val="hybridMultilevel"/>
    <w:tmpl w:val="36F48154"/>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52479"/>
    <w:multiLevelType w:val="hybridMultilevel"/>
    <w:tmpl w:val="E844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41C69"/>
    <w:multiLevelType w:val="hybridMultilevel"/>
    <w:tmpl w:val="54E8B958"/>
    <w:lvl w:ilvl="0" w:tplc="61EE7E1C">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33C7F"/>
    <w:multiLevelType w:val="hybridMultilevel"/>
    <w:tmpl w:val="3F76F804"/>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C2026"/>
    <w:multiLevelType w:val="hybridMultilevel"/>
    <w:tmpl w:val="1F88F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F3D3C"/>
    <w:multiLevelType w:val="hybridMultilevel"/>
    <w:tmpl w:val="DA56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94914"/>
    <w:multiLevelType w:val="hybridMultilevel"/>
    <w:tmpl w:val="6FA0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64F6D"/>
    <w:multiLevelType w:val="hybridMultilevel"/>
    <w:tmpl w:val="A3905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49584C"/>
    <w:multiLevelType w:val="hybridMultilevel"/>
    <w:tmpl w:val="4BD0D034"/>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3"/>
  </w:num>
  <w:num w:numId="4">
    <w:abstractNumId w:val="6"/>
  </w:num>
  <w:num w:numId="5">
    <w:abstractNumId w:val="10"/>
  </w:num>
  <w:num w:numId="6">
    <w:abstractNumId w:val="30"/>
  </w:num>
  <w:num w:numId="7">
    <w:abstractNumId w:val="15"/>
  </w:num>
  <w:num w:numId="8">
    <w:abstractNumId w:val="21"/>
  </w:num>
  <w:num w:numId="9">
    <w:abstractNumId w:val="29"/>
  </w:num>
  <w:num w:numId="10">
    <w:abstractNumId w:val="20"/>
  </w:num>
  <w:num w:numId="11">
    <w:abstractNumId w:val="14"/>
  </w:num>
  <w:num w:numId="12">
    <w:abstractNumId w:val="31"/>
  </w:num>
  <w:num w:numId="13">
    <w:abstractNumId w:val="24"/>
  </w:num>
  <w:num w:numId="14">
    <w:abstractNumId w:val="39"/>
  </w:num>
  <w:num w:numId="15">
    <w:abstractNumId w:val="40"/>
  </w:num>
  <w:num w:numId="16">
    <w:abstractNumId w:val="32"/>
  </w:num>
  <w:num w:numId="17">
    <w:abstractNumId w:val="12"/>
  </w:num>
  <w:num w:numId="18">
    <w:abstractNumId w:val="18"/>
  </w:num>
  <w:num w:numId="19">
    <w:abstractNumId w:val="34"/>
  </w:num>
  <w:num w:numId="20">
    <w:abstractNumId w:val="23"/>
  </w:num>
  <w:num w:numId="21">
    <w:abstractNumId w:val="22"/>
  </w:num>
  <w:num w:numId="22">
    <w:abstractNumId w:val="36"/>
  </w:num>
  <w:num w:numId="23">
    <w:abstractNumId w:val="11"/>
  </w:num>
  <w:num w:numId="24">
    <w:abstractNumId w:val="38"/>
  </w:num>
  <w:num w:numId="25">
    <w:abstractNumId w:val="43"/>
  </w:num>
  <w:num w:numId="26">
    <w:abstractNumId w:val="2"/>
  </w:num>
  <w:num w:numId="27">
    <w:abstractNumId w:val="0"/>
  </w:num>
  <w:num w:numId="28">
    <w:abstractNumId w:val="33"/>
  </w:num>
  <w:num w:numId="29">
    <w:abstractNumId w:val="35"/>
  </w:num>
  <w:num w:numId="30">
    <w:abstractNumId w:val="26"/>
  </w:num>
  <w:num w:numId="31">
    <w:abstractNumId w:val="37"/>
  </w:num>
  <w:num w:numId="32">
    <w:abstractNumId w:val="25"/>
  </w:num>
  <w:num w:numId="33">
    <w:abstractNumId w:val="28"/>
  </w:num>
  <w:num w:numId="34">
    <w:abstractNumId w:val="5"/>
  </w:num>
  <w:num w:numId="35">
    <w:abstractNumId w:val="19"/>
  </w:num>
  <w:num w:numId="36">
    <w:abstractNumId w:val="1"/>
  </w:num>
  <w:num w:numId="37">
    <w:abstractNumId w:val="42"/>
  </w:num>
  <w:num w:numId="38">
    <w:abstractNumId w:val="4"/>
  </w:num>
  <w:num w:numId="39">
    <w:abstractNumId w:val="41"/>
  </w:num>
  <w:num w:numId="40">
    <w:abstractNumId w:val="3"/>
  </w:num>
  <w:num w:numId="41">
    <w:abstractNumId w:val="17"/>
  </w:num>
  <w:num w:numId="42">
    <w:abstractNumId w:val="8"/>
  </w:num>
  <w:num w:numId="43">
    <w:abstractNumId w:val="7"/>
  </w:num>
  <w:num w:numId="44">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03053"/>
    <w:rsid w:val="00011056"/>
    <w:rsid w:val="00012792"/>
    <w:rsid w:val="00012C43"/>
    <w:rsid w:val="000131AB"/>
    <w:rsid w:val="00014A11"/>
    <w:rsid w:val="000167FC"/>
    <w:rsid w:val="00016D97"/>
    <w:rsid w:val="00020D17"/>
    <w:rsid w:val="00021598"/>
    <w:rsid w:val="000224A3"/>
    <w:rsid w:val="000224D6"/>
    <w:rsid w:val="00022A6F"/>
    <w:rsid w:val="000249E2"/>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7E88"/>
    <w:rsid w:val="000807BE"/>
    <w:rsid w:val="00080DFA"/>
    <w:rsid w:val="000811EB"/>
    <w:rsid w:val="00083E3D"/>
    <w:rsid w:val="000874FD"/>
    <w:rsid w:val="00092372"/>
    <w:rsid w:val="00093A90"/>
    <w:rsid w:val="00093F69"/>
    <w:rsid w:val="00094261"/>
    <w:rsid w:val="000963F9"/>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2BA8"/>
    <w:rsid w:val="000C377D"/>
    <w:rsid w:val="000C3886"/>
    <w:rsid w:val="000C4B35"/>
    <w:rsid w:val="000C6222"/>
    <w:rsid w:val="000C764C"/>
    <w:rsid w:val="000D0132"/>
    <w:rsid w:val="000D1349"/>
    <w:rsid w:val="000D23C3"/>
    <w:rsid w:val="000D2B62"/>
    <w:rsid w:val="000D33CA"/>
    <w:rsid w:val="000D4C8D"/>
    <w:rsid w:val="000D4DE0"/>
    <w:rsid w:val="000D4E30"/>
    <w:rsid w:val="000D5226"/>
    <w:rsid w:val="000D5C83"/>
    <w:rsid w:val="000D650E"/>
    <w:rsid w:val="000D66EA"/>
    <w:rsid w:val="000D6D93"/>
    <w:rsid w:val="000E00D1"/>
    <w:rsid w:val="000E1930"/>
    <w:rsid w:val="000E3D0C"/>
    <w:rsid w:val="000E470E"/>
    <w:rsid w:val="000E57DE"/>
    <w:rsid w:val="000E59D7"/>
    <w:rsid w:val="000F04CC"/>
    <w:rsid w:val="000F1189"/>
    <w:rsid w:val="000F1F68"/>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6F"/>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769"/>
    <w:rsid w:val="00151E84"/>
    <w:rsid w:val="00152031"/>
    <w:rsid w:val="00155049"/>
    <w:rsid w:val="001555AB"/>
    <w:rsid w:val="001555D0"/>
    <w:rsid w:val="00156131"/>
    <w:rsid w:val="00161061"/>
    <w:rsid w:val="00161174"/>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5F7"/>
    <w:rsid w:val="001969E8"/>
    <w:rsid w:val="00197244"/>
    <w:rsid w:val="0019724F"/>
    <w:rsid w:val="001A04B2"/>
    <w:rsid w:val="001A23D6"/>
    <w:rsid w:val="001A353B"/>
    <w:rsid w:val="001A3953"/>
    <w:rsid w:val="001A47A8"/>
    <w:rsid w:val="001A4F0F"/>
    <w:rsid w:val="001A50D4"/>
    <w:rsid w:val="001A61C7"/>
    <w:rsid w:val="001A64EE"/>
    <w:rsid w:val="001A763A"/>
    <w:rsid w:val="001A7B2B"/>
    <w:rsid w:val="001B0C5B"/>
    <w:rsid w:val="001B0F52"/>
    <w:rsid w:val="001B1A96"/>
    <w:rsid w:val="001B2676"/>
    <w:rsid w:val="001B2ECF"/>
    <w:rsid w:val="001B3E3F"/>
    <w:rsid w:val="001B4897"/>
    <w:rsid w:val="001B499D"/>
    <w:rsid w:val="001B577B"/>
    <w:rsid w:val="001B6301"/>
    <w:rsid w:val="001B6A08"/>
    <w:rsid w:val="001B728F"/>
    <w:rsid w:val="001C1DCE"/>
    <w:rsid w:val="001C2AEB"/>
    <w:rsid w:val="001C2D28"/>
    <w:rsid w:val="001C3817"/>
    <w:rsid w:val="001C3970"/>
    <w:rsid w:val="001C3BB4"/>
    <w:rsid w:val="001C431D"/>
    <w:rsid w:val="001C5785"/>
    <w:rsid w:val="001C70ED"/>
    <w:rsid w:val="001C7E5F"/>
    <w:rsid w:val="001D03A8"/>
    <w:rsid w:val="001D07F5"/>
    <w:rsid w:val="001D1585"/>
    <w:rsid w:val="001D1B4F"/>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E76EA"/>
    <w:rsid w:val="001F0735"/>
    <w:rsid w:val="001F166C"/>
    <w:rsid w:val="001F3104"/>
    <w:rsid w:val="001F3534"/>
    <w:rsid w:val="001F3AF4"/>
    <w:rsid w:val="001F5857"/>
    <w:rsid w:val="001F5FAA"/>
    <w:rsid w:val="0020062E"/>
    <w:rsid w:val="0020099A"/>
    <w:rsid w:val="00200EF6"/>
    <w:rsid w:val="0020167B"/>
    <w:rsid w:val="00202B25"/>
    <w:rsid w:val="00203C9A"/>
    <w:rsid w:val="0020429F"/>
    <w:rsid w:val="002043A9"/>
    <w:rsid w:val="00204C32"/>
    <w:rsid w:val="00205626"/>
    <w:rsid w:val="002062EB"/>
    <w:rsid w:val="00206D5C"/>
    <w:rsid w:val="002104EE"/>
    <w:rsid w:val="00210721"/>
    <w:rsid w:val="002116E8"/>
    <w:rsid w:val="00211E15"/>
    <w:rsid w:val="00212EBF"/>
    <w:rsid w:val="00216AA6"/>
    <w:rsid w:val="0022000A"/>
    <w:rsid w:val="00223A40"/>
    <w:rsid w:val="002250E8"/>
    <w:rsid w:val="00225353"/>
    <w:rsid w:val="002273AB"/>
    <w:rsid w:val="0022775E"/>
    <w:rsid w:val="002308C2"/>
    <w:rsid w:val="00230B1C"/>
    <w:rsid w:val="002320A5"/>
    <w:rsid w:val="00232610"/>
    <w:rsid w:val="00232D90"/>
    <w:rsid w:val="00233651"/>
    <w:rsid w:val="0023370D"/>
    <w:rsid w:val="0023416A"/>
    <w:rsid w:val="002345F8"/>
    <w:rsid w:val="0023603E"/>
    <w:rsid w:val="0023744B"/>
    <w:rsid w:val="0023749D"/>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392"/>
    <w:rsid w:val="00255B1D"/>
    <w:rsid w:val="00256F14"/>
    <w:rsid w:val="00260426"/>
    <w:rsid w:val="002604DB"/>
    <w:rsid w:val="00260E3B"/>
    <w:rsid w:val="002614B2"/>
    <w:rsid w:val="00263501"/>
    <w:rsid w:val="0026474F"/>
    <w:rsid w:val="00265DCA"/>
    <w:rsid w:val="00267843"/>
    <w:rsid w:val="0026793B"/>
    <w:rsid w:val="00270102"/>
    <w:rsid w:val="002706F0"/>
    <w:rsid w:val="00270E93"/>
    <w:rsid w:val="0027219A"/>
    <w:rsid w:val="0027336D"/>
    <w:rsid w:val="00273A4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61FF"/>
    <w:rsid w:val="002A7EDB"/>
    <w:rsid w:val="002B12E0"/>
    <w:rsid w:val="002B30A2"/>
    <w:rsid w:val="002B4130"/>
    <w:rsid w:val="002B4A75"/>
    <w:rsid w:val="002B5FDD"/>
    <w:rsid w:val="002B6957"/>
    <w:rsid w:val="002B708D"/>
    <w:rsid w:val="002B7865"/>
    <w:rsid w:val="002B793E"/>
    <w:rsid w:val="002B7C04"/>
    <w:rsid w:val="002C003E"/>
    <w:rsid w:val="002C3A6E"/>
    <w:rsid w:val="002C3CEB"/>
    <w:rsid w:val="002C6C6F"/>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3AA3"/>
    <w:rsid w:val="003054FB"/>
    <w:rsid w:val="00305C75"/>
    <w:rsid w:val="00306809"/>
    <w:rsid w:val="00311251"/>
    <w:rsid w:val="003138A6"/>
    <w:rsid w:val="00313DC2"/>
    <w:rsid w:val="00314844"/>
    <w:rsid w:val="003154D6"/>
    <w:rsid w:val="00316AE0"/>
    <w:rsid w:val="0032131E"/>
    <w:rsid w:val="003217FD"/>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9C1"/>
    <w:rsid w:val="00350D21"/>
    <w:rsid w:val="0035640B"/>
    <w:rsid w:val="00356CD0"/>
    <w:rsid w:val="00356E53"/>
    <w:rsid w:val="0035712B"/>
    <w:rsid w:val="003616C4"/>
    <w:rsid w:val="00361D14"/>
    <w:rsid w:val="0036275C"/>
    <w:rsid w:val="0036317B"/>
    <w:rsid w:val="003633A7"/>
    <w:rsid w:val="00363497"/>
    <w:rsid w:val="00365CD8"/>
    <w:rsid w:val="00365DEB"/>
    <w:rsid w:val="003672D0"/>
    <w:rsid w:val="00372E6A"/>
    <w:rsid w:val="003737C6"/>
    <w:rsid w:val="00373B2F"/>
    <w:rsid w:val="00375170"/>
    <w:rsid w:val="003767E0"/>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1591"/>
    <w:rsid w:val="003D2C33"/>
    <w:rsid w:val="003D56FB"/>
    <w:rsid w:val="003D5AC5"/>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51CF"/>
    <w:rsid w:val="003F6069"/>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17FEB"/>
    <w:rsid w:val="00421560"/>
    <w:rsid w:val="00423588"/>
    <w:rsid w:val="00424FFC"/>
    <w:rsid w:val="004259C4"/>
    <w:rsid w:val="00426532"/>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6CCC"/>
    <w:rsid w:val="0045374B"/>
    <w:rsid w:val="004549FD"/>
    <w:rsid w:val="00454EA8"/>
    <w:rsid w:val="00455110"/>
    <w:rsid w:val="00455627"/>
    <w:rsid w:val="00456DD1"/>
    <w:rsid w:val="00461001"/>
    <w:rsid w:val="004619A3"/>
    <w:rsid w:val="00461D21"/>
    <w:rsid w:val="00462BEA"/>
    <w:rsid w:val="00465B41"/>
    <w:rsid w:val="004675CE"/>
    <w:rsid w:val="0046797E"/>
    <w:rsid w:val="004679CF"/>
    <w:rsid w:val="004706ED"/>
    <w:rsid w:val="00471404"/>
    <w:rsid w:val="00473DD7"/>
    <w:rsid w:val="00473DE7"/>
    <w:rsid w:val="00474A33"/>
    <w:rsid w:val="0047681A"/>
    <w:rsid w:val="00476A42"/>
    <w:rsid w:val="00476E75"/>
    <w:rsid w:val="0047718D"/>
    <w:rsid w:val="00480634"/>
    <w:rsid w:val="00480DA5"/>
    <w:rsid w:val="00482E61"/>
    <w:rsid w:val="00484018"/>
    <w:rsid w:val="0048752A"/>
    <w:rsid w:val="00491180"/>
    <w:rsid w:val="00491C40"/>
    <w:rsid w:val="00492A51"/>
    <w:rsid w:val="004931D6"/>
    <w:rsid w:val="00493759"/>
    <w:rsid w:val="00494C0A"/>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668A"/>
    <w:rsid w:val="004E7486"/>
    <w:rsid w:val="004F0A76"/>
    <w:rsid w:val="004F107C"/>
    <w:rsid w:val="004F18B8"/>
    <w:rsid w:val="004F1D32"/>
    <w:rsid w:val="004F2A73"/>
    <w:rsid w:val="004F529E"/>
    <w:rsid w:val="004F5463"/>
    <w:rsid w:val="004F5D6C"/>
    <w:rsid w:val="00500B5F"/>
    <w:rsid w:val="00500BD5"/>
    <w:rsid w:val="00501811"/>
    <w:rsid w:val="00502D9E"/>
    <w:rsid w:val="005061C5"/>
    <w:rsid w:val="005062FC"/>
    <w:rsid w:val="00506DEC"/>
    <w:rsid w:val="00507441"/>
    <w:rsid w:val="005104D2"/>
    <w:rsid w:val="00511815"/>
    <w:rsid w:val="00511E9C"/>
    <w:rsid w:val="005165B5"/>
    <w:rsid w:val="005176B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23A4"/>
    <w:rsid w:val="0053352F"/>
    <w:rsid w:val="00533D84"/>
    <w:rsid w:val="00534976"/>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5D"/>
    <w:rsid w:val="00594E06"/>
    <w:rsid w:val="00595BD4"/>
    <w:rsid w:val="00595FF1"/>
    <w:rsid w:val="005A0E17"/>
    <w:rsid w:val="005A2755"/>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6BB0"/>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16CD4"/>
    <w:rsid w:val="00620693"/>
    <w:rsid w:val="00620991"/>
    <w:rsid w:val="00626895"/>
    <w:rsid w:val="00626FF5"/>
    <w:rsid w:val="0062716E"/>
    <w:rsid w:val="00627E99"/>
    <w:rsid w:val="00630028"/>
    <w:rsid w:val="006304A3"/>
    <w:rsid w:val="00631414"/>
    <w:rsid w:val="00631FF7"/>
    <w:rsid w:val="00632AFF"/>
    <w:rsid w:val="00632FCC"/>
    <w:rsid w:val="0063511E"/>
    <w:rsid w:val="006357D3"/>
    <w:rsid w:val="006372CD"/>
    <w:rsid w:val="006375D7"/>
    <w:rsid w:val="00637B13"/>
    <w:rsid w:val="00640732"/>
    <w:rsid w:val="00640C5F"/>
    <w:rsid w:val="006438A9"/>
    <w:rsid w:val="0064448E"/>
    <w:rsid w:val="006452DF"/>
    <w:rsid w:val="00646190"/>
    <w:rsid w:val="0064639B"/>
    <w:rsid w:val="006474AF"/>
    <w:rsid w:val="00650131"/>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5194"/>
    <w:rsid w:val="0066594A"/>
    <w:rsid w:val="0066689D"/>
    <w:rsid w:val="0066692E"/>
    <w:rsid w:val="00670117"/>
    <w:rsid w:val="00671995"/>
    <w:rsid w:val="00671E0F"/>
    <w:rsid w:val="00677F24"/>
    <w:rsid w:val="00680C3D"/>
    <w:rsid w:val="00681546"/>
    <w:rsid w:val="00681D4D"/>
    <w:rsid w:val="00682116"/>
    <w:rsid w:val="006822CE"/>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68B"/>
    <w:rsid w:val="006A79D7"/>
    <w:rsid w:val="006B0063"/>
    <w:rsid w:val="006B072A"/>
    <w:rsid w:val="006B0890"/>
    <w:rsid w:val="006B0C6A"/>
    <w:rsid w:val="006B199E"/>
    <w:rsid w:val="006B19F1"/>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3B5E"/>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7066"/>
    <w:rsid w:val="0074034F"/>
    <w:rsid w:val="00740DE3"/>
    <w:rsid w:val="00740E2E"/>
    <w:rsid w:val="007417F8"/>
    <w:rsid w:val="00741920"/>
    <w:rsid w:val="007423DA"/>
    <w:rsid w:val="00742D28"/>
    <w:rsid w:val="0074309C"/>
    <w:rsid w:val="0074376A"/>
    <w:rsid w:val="00744098"/>
    <w:rsid w:val="00744AEB"/>
    <w:rsid w:val="00747F5C"/>
    <w:rsid w:val="00750666"/>
    <w:rsid w:val="00750FA4"/>
    <w:rsid w:val="00751460"/>
    <w:rsid w:val="007534CC"/>
    <w:rsid w:val="007539BA"/>
    <w:rsid w:val="007548ED"/>
    <w:rsid w:val="00755049"/>
    <w:rsid w:val="00755639"/>
    <w:rsid w:val="007557AF"/>
    <w:rsid w:val="00755D5A"/>
    <w:rsid w:val="00756C8C"/>
    <w:rsid w:val="0075791A"/>
    <w:rsid w:val="00760225"/>
    <w:rsid w:val="00762886"/>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085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68D1"/>
    <w:rsid w:val="007D75E1"/>
    <w:rsid w:val="007E0695"/>
    <w:rsid w:val="007E1F9D"/>
    <w:rsid w:val="007E4252"/>
    <w:rsid w:val="007E4DF7"/>
    <w:rsid w:val="007E5B63"/>
    <w:rsid w:val="007E5F54"/>
    <w:rsid w:val="007E64DF"/>
    <w:rsid w:val="007F25B4"/>
    <w:rsid w:val="007F268F"/>
    <w:rsid w:val="007F4643"/>
    <w:rsid w:val="007F4FF6"/>
    <w:rsid w:val="007F52C4"/>
    <w:rsid w:val="007F60EF"/>
    <w:rsid w:val="00801A95"/>
    <w:rsid w:val="00802E22"/>
    <w:rsid w:val="00803054"/>
    <w:rsid w:val="0080613C"/>
    <w:rsid w:val="0080742F"/>
    <w:rsid w:val="0081116A"/>
    <w:rsid w:val="0081201D"/>
    <w:rsid w:val="00812F84"/>
    <w:rsid w:val="0081302B"/>
    <w:rsid w:val="00813432"/>
    <w:rsid w:val="00813B88"/>
    <w:rsid w:val="00814557"/>
    <w:rsid w:val="0081500C"/>
    <w:rsid w:val="00815E28"/>
    <w:rsid w:val="008165A1"/>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3F8E"/>
    <w:rsid w:val="0084403C"/>
    <w:rsid w:val="008441FA"/>
    <w:rsid w:val="00844E77"/>
    <w:rsid w:val="0084553F"/>
    <w:rsid w:val="0084702D"/>
    <w:rsid w:val="00847FF6"/>
    <w:rsid w:val="00850B64"/>
    <w:rsid w:val="00850F19"/>
    <w:rsid w:val="0085416C"/>
    <w:rsid w:val="008552DF"/>
    <w:rsid w:val="008555E7"/>
    <w:rsid w:val="008556F4"/>
    <w:rsid w:val="00855F98"/>
    <w:rsid w:val="0085686B"/>
    <w:rsid w:val="008572CF"/>
    <w:rsid w:val="00861944"/>
    <w:rsid w:val="008622AE"/>
    <w:rsid w:val="00862C6B"/>
    <w:rsid w:val="00863F13"/>
    <w:rsid w:val="008652E5"/>
    <w:rsid w:val="00867328"/>
    <w:rsid w:val="00867B87"/>
    <w:rsid w:val="00870CC2"/>
    <w:rsid w:val="00870CC9"/>
    <w:rsid w:val="00870DCB"/>
    <w:rsid w:val="008726FB"/>
    <w:rsid w:val="0087411C"/>
    <w:rsid w:val="008745BD"/>
    <w:rsid w:val="00875054"/>
    <w:rsid w:val="00875374"/>
    <w:rsid w:val="00877524"/>
    <w:rsid w:val="00877C19"/>
    <w:rsid w:val="00882EA9"/>
    <w:rsid w:val="008830A8"/>
    <w:rsid w:val="0088357D"/>
    <w:rsid w:val="008848FA"/>
    <w:rsid w:val="00884C58"/>
    <w:rsid w:val="00884DB9"/>
    <w:rsid w:val="00885A49"/>
    <w:rsid w:val="00886C57"/>
    <w:rsid w:val="00887055"/>
    <w:rsid w:val="008874A4"/>
    <w:rsid w:val="008907F8"/>
    <w:rsid w:val="0089195B"/>
    <w:rsid w:val="008926E5"/>
    <w:rsid w:val="00892C12"/>
    <w:rsid w:val="00894643"/>
    <w:rsid w:val="008956FD"/>
    <w:rsid w:val="00895926"/>
    <w:rsid w:val="00895CB4"/>
    <w:rsid w:val="008970AB"/>
    <w:rsid w:val="0089729C"/>
    <w:rsid w:val="008A0676"/>
    <w:rsid w:val="008A3A06"/>
    <w:rsid w:val="008A562A"/>
    <w:rsid w:val="008A6B70"/>
    <w:rsid w:val="008B1F6E"/>
    <w:rsid w:val="008B2EFF"/>
    <w:rsid w:val="008B2F99"/>
    <w:rsid w:val="008B31C1"/>
    <w:rsid w:val="008B33FE"/>
    <w:rsid w:val="008B3A3B"/>
    <w:rsid w:val="008B475C"/>
    <w:rsid w:val="008B529D"/>
    <w:rsid w:val="008B65FD"/>
    <w:rsid w:val="008B6FA3"/>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2EBF"/>
    <w:rsid w:val="008F33A3"/>
    <w:rsid w:val="008F58ED"/>
    <w:rsid w:val="008F72D6"/>
    <w:rsid w:val="008F7ACD"/>
    <w:rsid w:val="008F7AEB"/>
    <w:rsid w:val="00900798"/>
    <w:rsid w:val="009028A8"/>
    <w:rsid w:val="009130E8"/>
    <w:rsid w:val="0091407F"/>
    <w:rsid w:val="009158AB"/>
    <w:rsid w:val="009162E7"/>
    <w:rsid w:val="009168A5"/>
    <w:rsid w:val="00917431"/>
    <w:rsid w:val="00917C2C"/>
    <w:rsid w:val="009207E9"/>
    <w:rsid w:val="00922067"/>
    <w:rsid w:val="009222C8"/>
    <w:rsid w:val="00923A08"/>
    <w:rsid w:val="00923D5D"/>
    <w:rsid w:val="009244DA"/>
    <w:rsid w:val="00926BEC"/>
    <w:rsid w:val="00931645"/>
    <w:rsid w:val="00933E6C"/>
    <w:rsid w:val="0093447C"/>
    <w:rsid w:val="0093577A"/>
    <w:rsid w:val="0093620A"/>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0D7"/>
    <w:rsid w:val="00954793"/>
    <w:rsid w:val="00954C61"/>
    <w:rsid w:val="00954DFA"/>
    <w:rsid w:val="009558D5"/>
    <w:rsid w:val="00956037"/>
    <w:rsid w:val="00962247"/>
    <w:rsid w:val="00962578"/>
    <w:rsid w:val="00962794"/>
    <w:rsid w:val="00962F82"/>
    <w:rsid w:val="009634A1"/>
    <w:rsid w:val="00964DFC"/>
    <w:rsid w:val="0096508D"/>
    <w:rsid w:val="00966C67"/>
    <w:rsid w:val="0096763D"/>
    <w:rsid w:val="00967E30"/>
    <w:rsid w:val="00971465"/>
    <w:rsid w:val="00971BE9"/>
    <w:rsid w:val="00971D0E"/>
    <w:rsid w:val="00971D13"/>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0639"/>
    <w:rsid w:val="00993BA8"/>
    <w:rsid w:val="00993C3B"/>
    <w:rsid w:val="00996FDA"/>
    <w:rsid w:val="00997984"/>
    <w:rsid w:val="009A14B5"/>
    <w:rsid w:val="009A1800"/>
    <w:rsid w:val="009A2141"/>
    <w:rsid w:val="009A3E6B"/>
    <w:rsid w:val="009A4123"/>
    <w:rsid w:val="009A4BFD"/>
    <w:rsid w:val="009A61EE"/>
    <w:rsid w:val="009B0117"/>
    <w:rsid w:val="009B0EEF"/>
    <w:rsid w:val="009B1600"/>
    <w:rsid w:val="009B1884"/>
    <w:rsid w:val="009B2BF2"/>
    <w:rsid w:val="009B2DC1"/>
    <w:rsid w:val="009B35C3"/>
    <w:rsid w:val="009B3A0E"/>
    <w:rsid w:val="009B4BB2"/>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BA4"/>
    <w:rsid w:val="009E1273"/>
    <w:rsid w:val="009E1F7F"/>
    <w:rsid w:val="009E3851"/>
    <w:rsid w:val="009E470D"/>
    <w:rsid w:val="009E48F4"/>
    <w:rsid w:val="009E4CAA"/>
    <w:rsid w:val="009E51AB"/>
    <w:rsid w:val="009E54DB"/>
    <w:rsid w:val="009E61D6"/>
    <w:rsid w:val="009E7D6E"/>
    <w:rsid w:val="009F03C4"/>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211BF"/>
    <w:rsid w:val="00A2299D"/>
    <w:rsid w:val="00A23514"/>
    <w:rsid w:val="00A23CB1"/>
    <w:rsid w:val="00A24004"/>
    <w:rsid w:val="00A2429E"/>
    <w:rsid w:val="00A25DB2"/>
    <w:rsid w:val="00A26D8C"/>
    <w:rsid w:val="00A27342"/>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0FC2"/>
    <w:rsid w:val="00A514DC"/>
    <w:rsid w:val="00A51610"/>
    <w:rsid w:val="00A51EC8"/>
    <w:rsid w:val="00A5251F"/>
    <w:rsid w:val="00A5300B"/>
    <w:rsid w:val="00A539DC"/>
    <w:rsid w:val="00A53AF9"/>
    <w:rsid w:val="00A54883"/>
    <w:rsid w:val="00A5590F"/>
    <w:rsid w:val="00A601C5"/>
    <w:rsid w:val="00A6251F"/>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1963"/>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48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21F"/>
    <w:rsid w:val="00B30763"/>
    <w:rsid w:val="00B30A5E"/>
    <w:rsid w:val="00B32199"/>
    <w:rsid w:val="00B335EB"/>
    <w:rsid w:val="00B34500"/>
    <w:rsid w:val="00B348F0"/>
    <w:rsid w:val="00B35378"/>
    <w:rsid w:val="00B365F9"/>
    <w:rsid w:val="00B3788B"/>
    <w:rsid w:val="00B37D60"/>
    <w:rsid w:val="00B4091C"/>
    <w:rsid w:val="00B40D8D"/>
    <w:rsid w:val="00B42BD4"/>
    <w:rsid w:val="00B431B1"/>
    <w:rsid w:val="00B4350C"/>
    <w:rsid w:val="00B466B1"/>
    <w:rsid w:val="00B47109"/>
    <w:rsid w:val="00B472C1"/>
    <w:rsid w:val="00B5279D"/>
    <w:rsid w:val="00B535EF"/>
    <w:rsid w:val="00B53648"/>
    <w:rsid w:val="00B53675"/>
    <w:rsid w:val="00B5477F"/>
    <w:rsid w:val="00B54909"/>
    <w:rsid w:val="00B57918"/>
    <w:rsid w:val="00B6044B"/>
    <w:rsid w:val="00B614E1"/>
    <w:rsid w:val="00B61ECA"/>
    <w:rsid w:val="00B62CED"/>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51BD"/>
    <w:rsid w:val="00B956FA"/>
    <w:rsid w:val="00B9635D"/>
    <w:rsid w:val="00B96754"/>
    <w:rsid w:val="00BA03A9"/>
    <w:rsid w:val="00BA1C3F"/>
    <w:rsid w:val="00BA27B2"/>
    <w:rsid w:val="00BA379D"/>
    <w:rsid w:val="00BA38B5"/>
    <w:rsid w:val="00BA53B8"/>
    <w:rsid w:val="00BA690F"/>
    <w:rsid w:val="00BA75E9"/>
    <w:rsid w:val="00BA7D22"/>
    <w:rsid w:val="00BB1CBF"/>
    <w:rsid w:val="00BB1FDE"/>
    <w:rsid w:val="00BB2313"/>
    <w:rsid w:val="00BB2C65"/>
    <w:rsid w:val="00BB774F"/>
    <w:rsid w:val="00BB7CCA"/>
    <w:rsid w:val="00BC06D8"/>
    <w:rsid w:val="00BC0C0D"/>
    <w:rsid w:val="00BC1328"/>
    <w:rsid w:val="00BC20FE"/>
    <w:rsid w:val="00BC3ED9"/>
    <w:rsid w:val="00BC4A1E"/>
    <w:rsid w:val="00BC4A29"/>
    <w:rsid w:val="00BC4F54"/>
    <w:rsid w:val="00BC66C4"/>
    <w:rsid w:val="00BC71BC"/>
    <w:rsid w:val="00BC733F"/>
    <w:rsid w:val="00BC7AE6"/>
    <w:rsid w:val="00BC7EB6"/>
    <w:rsid w:val="00BD0642"/>
    <w:rsid w:val="00BD130C"/>
    <w:rsid w:val="00BD2CDC"/>
    <w:rsid w:val="00BD3D74"/>
    <w:rsid w:val="00BD4376"/>
    <w:rsid w:val="00BD499F"/>
    <w:rsid w:val="00BD4C83"/>
    <w:rsid w:val="00BD5480"/>
    <w:rsid w:val="00BD5E16"/>
    <w:rsid w:val="00BD79EC"/>
    <w:rsid w:val="00BE1C21"/>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06519"/>
    <w:rsid w:val="00C12043"/>
    <w:rsid w:val="00C1215E"/>
    <w:rsid w:val="00C13779"/>
    <w:rsid w:val="00C13B6C"/>
    <w:rsid w:val="00C13BC5"/>
    <w:rsid w:val="00C14118"/>
    <w:rsid w:val="00C1440B"/>
    <w:rsid w:val="00C14A00"/>
    <w:rsid w:val="00C1711C"/>
    <w:rsid w:val="00C176E8"/>
    <w:rsid w:val="00C17B4A"/>
    <w:rsid w:val="00C2016B"/>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17EB"/>
    <w:rsid w:val="00C4211A"/>
    <w:rsid w:val="00C424F9"/>
    <w:rsid w:val="00C4379B"/>
    <w:rsid w:val="00C45DC3"/>
    <w:rsid w:val="00C46FCC"/>
    <w:rsid w:val="00C510B6"/>
    <w:rsid w:val="00C51297"/>
    <w:rsid w:val="00C5172C"/>
    <w:rsid w:val="00C517D0"/>
    <w:rsid w:val="00C517F7"/>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28D2"/>
    <w:rsid w:val="00C93ADF"/>
    <w:rsid w:val="00C945CF"/>
    <w:rsid w:val="00C94688"/>
    <w:rsid w:val="00C95AB0"/>
    <w:rsid w:val="00C97EF9"/>
    <w:rsid w:val="00CA0ECD"/>
    <w:rsid w:val="00CA0ED1"/>
    <w:rsid w:val="00CA1E3D"/>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386B"/>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376D"/>
    <w:rsid w:val="00CF496E"/>
    <w:rsid w:val="00CF53B9"/>
    <w:rsid w:val="00CF5A73"/>
    <w:rsid w:val="00CF6959"/>
    <w:rsid w:val="00CF7E2D"/>
    <w:rsid w:val="00D00950"/>
    <w:rsid w:val="00D01C00"/>
    <w:rsid w:val="00D0298C"/>
    <w:rsid w:val="00D043E6"/>
    <w:rsid w:val="00D05112"/>
    <w:rsid w:val="00D05B8E"/>
    <w:rsid w:val="00D10E83"/>
    <w:rsid w:val="00D11224"/>
    <w:rsid w:val="00D11690"/>
    <w:rsid w:val="00D1223D"/>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2AA"/>
    <w:rsid w:val="00D31CDE"/>
    <w:rsid w:val="00D31EF7"/>
    <w:rsid w:val="00D321FA"/>
    <w:rsid w:val="00D32C18"/>
    <w:rsid w:val="00D335A4"/>
    <w:rsid w:val="00D33FCD"/>
    <w:rsid w:val="00D34F26"/>
    <w:rsid w:val="00D35295"/>
    <w:rsid w:val="00D356B3"/>
    <w:rsid w:val="00D3591E"/>
    <w:rsid w:val="00D35E54"/>
    <w:rsid w:val="00D373C6"/>
    <w:rsid w:val="00D41931"/>
    <w:rsid w:val="00D4471C"/>
    <w:rsid w:val="00D44BAB"/>
    <w:rsid w:val="00D4521A"/>
    <w:rsid w:val="00D4527E"/>
    <w:rsid w:val="00D45915"/>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580"/>
    <w:rsid w:val="00D72D20"/>
    <w:rsid w:val="00D72D2D"/>
    <w:rsid w:val="00D73561"/>
    <w:rsid w:val="00D76C75"/>
    <w:rsid w:val="00D76E8E"/>
    <w:rsid w:val="00D77AAC"/>
    <w:rsid w:val="00D80A93"/>
    <w:rsid w:val="00D8292C"/>
    <w:rsid w:val="00D82B99"/>
    <w:rsid w:val="00D842B7"/>
    <w:rsid w:val="00D84765"/>
    <w:rsid w:val="00D8592C"/>
    <w:rsid w:val="00D86C3C"/>
    <w:rsid w:val="00D87361"/>
    <w:rsid w:val="00D87A25"/>
    <w:rsid w:val="00D90444"/>
    <w:rsid w:val="00D91448"/>
    <w:rsid w:val="00D92108"/>
    <w:rsid w:val="00D934EA"/>
    <w:rsid w:val="00D95BFC"/>
    <w:rsid w:val="00D96F1B"/>
    <w:rsid w:val="00D973C5"/>
    <w:rsid w:val="00D9771E"/>
    <w:rsid w:val="00D97B37"/>
    <w:rsid w:val="00DA0AB8"/>
    <w:rsid w:val="00DA15BC"/>
    <w:rsid w:val="00DA19F5"/>
    <w:rsid w:val="00DA1EAD"/>
    <w:rsid w:val="00DA1F1C"/>
    <w:rsid w:val="00DA3048"/>
    <w:rsid w:val="00DA4C03"/>
    <w:rsid w:val="00DA5225"/>
    <w:rsid w:val="00DA5CE1"/>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9DC"/>
    <w:rsid w:val="00DC3E66"/>
    <w:rsid w:val="00DC5517"/>
    <w:rsid w:val="00DC57DE"/>
    <w:rsid w:val="00DD1060"/>
    <w:rsid w:val="00DD150C"/>
    <w:rsid w:val="00DD3179"/>
    <w:rsid w:val="00DD641A"/>
    <w:rsid w:val="00DD6AB2"/>
    <w:rsid w:val="00DE37BD"/>
    <w:rsid w:val="00DE4C68"/>
    <w:rsid w:val="00DE5E6A"/>
    <w:rsid w:val="00DE6CF9"/>
    <w:rsid w:val="00DF03BA"/>
    <w:rsid w:val="00DF0678"/>
    <w:rsid w:val="00DF0D89"/>
    <w:rsid w:val="00DF0E68"/>
    <w:rsid w:val="00DF1E95"/>
    <w:rsid w:val="00DF3AF6"/>
    <w:rsid w:val="00DF48B8"/>
    <w:rsid w:val="00DF4B62"/>
    <w:rsid w:val="00DF5A94"/>
    <w:rsid w:val="00DF5B80"/>
    <w:rsid w:val="00DF6CAD"/>
    <w:rsid w:val="00DF6CB8"/>
    <w:rsid w:val="00DF75B1"/>
    <w:rsid w:val="00DF7A5B"/>
    <w:rsid w:val="00E0051D"/>
    <w:rsid w:val="00E02692"/>
    <w:rsid w:val="00E03B98"/>
    <w:rsid w:val="00E067AC"/>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05F8"/>
    <w:rsid w:val="00E41F2E"/>
    <w:rsid w:val="00E426D5"/>
    <w:rsid w:val="00E43CBC"/>
    <w:rsid w:val="00E44950"/>
    <w:rsid w:val="00E500F8"/>
    <w:rsid w:val="00E511EB"/>
    <w:rsid w:val="00E53D27"/>
    <w:rsid w:val="00E54A05"/>
    <w:rsid w:val="00E55698"/>
    <w:rsid w:val="00E5627D"/>
    <w:rsid w:val="00E5669A"/>
    <w:rsid w:val="00E56CBC"/>
    <w:rsid w:val="00E57F89"/>
    <w:rsid w:val="00E60BB4"/>
    <w:rsid w:val="00E62C9C"/>
    <w:rsid w:val="00E638AE"/>
    <w:rsid w:val="00E65062"/>
    <w:rsid w:val="00E67025"/>
    <w:rsid w:val="00E67A64"/>
    <w:rsid w:val="00E70055"/>
    <w:rsid w:val="00E7157A"/>
    <w:rsid w:val="00E725CF"/>
    <w:rsid w:val="00E727F9"/>
    <w:rsid w:val="00E72C1A"/>
    <w:rsid w:val="00E7311C"/>
    <w:rsid w:val="00E73F81"/>
    <w:rsid w:val="00E73FD1"/>
    <w:rsid w:val="00E75A1A"/>
    <w:rsid w:val="00E75D5C"/>
    <w:rsid w:val="00E75F40"/>
    <w:rsid w:val="00E774D6"/>
    <w:rsid w:val="00E806BF"/>
    <w:rsid w:val="00E80736"/>
    <w:rsid w:val="00E821F7"/>
    <w:rsid w:val="00E82A47"/>
    <w:rsid w:val="00E8326A"/>
    <w:rsid w:val="00E87FD0"/>
    <w:rsid w:val="00E925A3"/>
    <w:rsid w:val="00E93991"/>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5869"/>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3A65"/>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5CF"/>
    <w:rsid w:val="00F30F82"/>
    <w:rsid w:val="00F31C22"/>
    <w:rsid w:val="00F32D5F"/>
    <w:rsid w:val="00F3309B"/>
    <w:rsid w:val="00F33355"/>
    <w:rsid w:val="00F33FA5"/>
    <w:rsid w:val="00F343CE"/>
    <w:rsid w:val="00F362E0"/>
    <w:rsid w:val="00F41B3A"/>
    <w:rsid w:val="00F42338"/>
    <w:rsid w:val="00F42899"/>
    <w:rsid w:val="00F43699"/>
    <w:rsid w:val="00F43FB6"/>
    <w:rsid w:val="00F45ABE"/>
    <w:rsid w:val="00F45D82"/>
    <w:rsid w:val="00F4650D"/>
    <w:rsid w:val="00F46929"/>
    <w:rsid w:val="00F5115E"/>
    <w:rsid w:val="00F51C2D"/>
    <w:rsid w:val="00F51C7B"/>
    <w:rsid w:val="00F5240F"/>
    <w:rsid w:val="00F53C17"/>
    <w:rsid w:val="00F55834"/>
    <w:rsid w:val="00F56A17"/>
    <w:rsid w:val="00F56BAE"/>
    <w:rsid w:val="00F57438"/>
    <w:rsid w:val="00F60276"/>
    <w:rsid w:val="00F61DF1"/>
    <w:rsid w:val="00F63774"/>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1812"/>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601329BC-F795-4E84-94F2-1DAE4194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 w:id="206498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6FD58-B921-4E3D-B2B7-CC157779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7</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Jinfeng</cp:lastModifiedBy>
  <cp:revision>1808</cp:revision>
  <dcterms:created xsi:type="dcterms:W3CDTF">2018-07-05T06:44:00Z</dcterms:created>
  <dcterms:modified xsi:type="dcterms:W3CDTF">2020-03-10T14:19:00Z</dcterms:modified>
</cp:coreProperties>
</file>