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299CFD02" w:rsidR="00365DEB" w:rsidRPr="00565DE9" w:rsidRDefault="00E0051D" w:rsidP="00D61965">
      <w:pPr>
        <w:spacing w:after="60"/>
        <w:jc w:val="center"/>
        <w:rPr>
          <w:b/>
        </w:rPr>
      </w:pPr>
      <w:r>
        <w:rPr>
          <w:b/>
        </w:rPr>
        <w:t>201</w:t>
      </w:r>
      <w:r w:rsidR="00403BCB">
        <w:rPr>
          <w:b/>
        </w:rPr>
        <w:t xml:space="preserve">6 </w:t>
      </w:r>
      <w:r w:rsidR="00715CE6">
        <w:rPr>
          <w:b/>
        </w:rPr>
        <w:t>S2</w:t>
      </w:r>
    </w:p>
    <w:p w14:paraId="5DE6D610" w14:textId="54168C2E" w:rsidR="00A02B57" w:rsidRDefault="00BC7AE6" w:rsidP="00403BCB">
      <w:pPr>
        <w:spacing w:after="0"/>
        <w:rPr>
          <w:color w:val="000000" w:themeColor="text1"/>
        </w:rPr>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1A64EE">
        <w:rPr>
          <w:color w:val="000000" w:themeColor="text1"/>
        </w:rPr>
        <w:t xml:space="preserve"> </w:t>
      </w:r>
      <w:r w:rsidR="001C2D28">
        <w:rPr>
          <w:color w:val="000000" w:themeColor="text1"/>
        </w:rPr>
        <w:t xml:space="preserve">[See spreadsheet] </w:t>
      </w:r>
      <w:r w:rsidR="00020D17" w:rsidRPr="00020D17">
        <w:rPr>
          <w:color w:val="000000" w:themeColor="text1"/>
        </w:rPr>
        <w:t>It is first necessary to calculate the BEL at outset.</w:t>
      </w:r>
    </w:p>
    <w:p w14:paraId="1A0133E7" w14:textId="35E8AB23" w:rsidR="00867328" w:rsidRPr="008956FD" w:rsidRDefault="00867328" w:rsidP="00403BCB">
      <w:pPr>
        <w:spacing w:after="0"/>
        <w:rPr>
          <w:color w:val="FF0000"/>
        </w:rPr>
      </w:pPr>
      <w:r w:rsidRPr="008956FD">
        <w:rPr>
          <w:color w:val="FF0000"/>
        </w:rPr>
        <w:t xml:space="preserve">BEL is negative </w:t>
      </w:r>
      <w:r w:rsidRPr="008956FD">
        <w:rPr>
          <w:color w:val="FF0000"/>
        </w:rPr>
        <w:sym w:font="Wingdings" w:char="F0E8"/>
      </w:r>
      <w:r w:rsidRPr="008956FD">
        <w:rPr>
          <w:color w:val="FF0000"/>
        </w:rPr>
        <w:t xml:space="preserve"> PV of profit margin is positive.</w:t>
      </w:r>
    </w:p>
    <w:p w14:paraId="0FE0F425" w14:textId="1FEA36D2" w:rsidR="00020D17" w:rsidRDefault="00020D17" w:rsidP="00403BCB">
      <w:pPr>
        <w:spacing w:after="0"/>
      </w:pPr>
      <w:r>
        <w:rPr>
          <w:noProof/>
        </w:rPr>
        <w:drawing>
          <wp:inline distT="0" distB="0" distL="0" distR="0" wp14:anchorId="7745E0FD" wp14:editId="56E89CA5">
            <wp:extent cx="4578875" cy="50028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8875" cy="5002845"/>
                    </a:xfrm>
                    <a:prstGeom prst="rect">
                      <a:avLst/>
                    </a:prstGeom>
                  </pic:spPr>
                </pic:pic>
              </a:graphicData>
            </a:graphic>
          </wp:inline>
        </w:drawing>
      </w:r>
    </w:p>
    <w:p w14:paraId="6EE27AE0" w14:textId="77777777" w:rsidR="00CA65D4" w:rsidRDefault="00CA65D4" w:rsidP="003E4C85">
      <w:pPr>
        <w:spacing w:after="60"/>
      </w:pPr>
    </w:p>
    <w:p w14:paraId="34CE4E05" w14:textId="726B98D2" w:rsidR="00020D17" w:rsidRPr="008956FD" w:rsidRDefault="00020D17" w:rsidP="003E4C85">
      <w:pPr>
        <w:spacing w:after="60"/>
        <w:rPr>
          <w:strike/>
        </w:rPr>
      </w:pPr>
      <w:r>
        <w:t xml:space="preserve">1b) </w:t>
      </w:r>
      <w:r w:rsidR="00AD3FB9">
        <w:t xml:space="preserve">i. </w:t>
      </w:r>
      <w:r w:rsidR="00AD3FB9" w:rsidRPr="008956FD">
        <w:rPr>
          <w:strike/>
        </w:rPr>
        <w:t>A negative expected policy liability means the business is expected to make profits in the future.</w:t>
      </w:r>
    </w:p>
    <w:p w14:paraId="0A71A5B0" w14:textId="44EE06D0" w:rsidR="00482E61" w:rsidRPr="008956FD" w:rsidRDefault="00482E61" w:rsidP="003E4C85">
      <w:pPr>
        <w:spacing w:after="60"/>
        <w:rPr>
          <w:strike/>
        </w:rPr>
      </w:pPr>
      <w:r w:rsidRPr="008956FD">
        <w:rPr>
          <w:strike/>
        </w:rPr>
        <w:t>PL contains the future profit which will be gradually released in the future.</w:t>
      </w:r>
    </w:p>
    <w:p w14:paraId="01CB6197" w14:textId="62470873" w:rsidR="00AD3FB9" w:rsidRPr="008956FD" w:rsidRDefault="00AD3FB9" w:rsidP="003E4C85">
      <w:pPr>
        <w:spacing w:after="60"/>
        <w:rPr>
          <w:strike/>
        </w:rPr>
      </w:pPr>
      <w:r w:rsidRPr="008956FD">
        <w:rPr>
          <w:strike/>
        </w:rPr>
        <w:t>If the PL at the beginning is positive, the business is in the loss recognition.</w:t>
      </w:r>
    </w:p>
    <w:p w14:paraId="2CB17FE7" w14:textId="77777777" w:rsidR="00F203AC" w:rsidRPr="00F203AC" w:rsidRDefault="00F203AC" w:rsidP="00F203AC">
      <w:pPr>
        <w:spacing w:after="60"/>
        <w:rPr>
          <w:b/>
          <w:color w:val="FF0000"/>
        </w:rPr>
      </w:pPr>
      <w:r w:rsidRPr="00F203AC">
        <w:rPr>
          <w:b/>
          <w:color w:val="FF0000"/>
        </w:rPr>
        <w:t>Key points to include in explaining the policy liability figure:</w:t>
      </w:r>
    </w:p>
    <w:p w14:paraId="30848BEC" w14:textId="1812BFFE" w:rsidR="00F203AC" w:rsidRDefault="00F203AC" w:rsidP="00183A4C">
      <w:pPr>
        <w:pStyle w:val="ListParagraph"/>
        <w:numPr>
          <w:ilvl w:val="0"/>
          <w:numId w:val="2"/>
        </w:numPr>
        <w:spacing w:after="60"/>
      </w:pPr>
      <w:r w:rsidRPr="00F203AC">
        <w:t>The negative liability does indeed behave similarly to an asset and represents a</w:t>
      </w:r>
      <w:r>
        <w:t xml:space="preserve"> realistic expectation of future net cash inflows from policyholders.</w:t>
      </w:r>
    </w:p>
    <w:p w14:paraId="4A7B62D8" w14:textId="00601208" w:rsidR="00F203AC" w:rsidRPr="0071705B" w:rsidRDefault="0071705B" w:rsidP="00183A4C">
      <w:pPr>
        <w:pStyle w:val="ListParagraph"/>
        <w:numPr>
          <w:ilvl w:val="0"/>
          <w:numId w:val="2"/>
        </w:numPr>
        <w:spacing w:after="60"/>
        <w:rPr>
          <w:color w:val="FF0000"/>
        </w:rPr>
      </w:pPr>
      <w:r w:rsidRPr="0071705B">
        <w:rPr>
          <w:color w:val="FF0000"/>
        </w:rPr>
        <w:t xml:space="preserve">It represents an expectation of </w:t>
      </w:r>
      <w:r w:rsidRPr="0071705B">
        <w:rPr>
          <w:b/>
          <w:color w:val="FF0000"/>
        </w:rPr>
        <w:t>future net cash inflow from policyholders</w:t>
      </w:r>
      <w:r w:rsidRPr="0071705B">
        <w:rPr>
          <w:color w:val="FF0000"/>
        </w:rPr>
        <w:t xml:space="preserve">. </w:t>
      </w:r>
      <w:r w:rsidR="00F203AC" w:rsidRPr="0071705B">
        <w:rPr>
          <w:color w:val="FF0000"/>
        </w:rPr>
        <w:t>However, there is actually no ‘obligation’ for policyholders to commit to premiums as they may lapse their policy at any time.</w:t>
      </w:r>
    </w:p>
    <w:p w14:paraId="7A8BC93D" w14:textId="5EE17249" w:rsidR="00F203AC" w:rsidRPr="00867328" w:rsidRDefault="00F203AC" w:rsidP="00183A4C">
      <w:pPr>
        <w:pStyle w:val="ListParagraph"/>
        <w:numPr>
          <w:ilvl w:val="0"/>
          <w:numId w:val="2"/>
        </w:numPr>
        <w:spacing w:after="60"/>
        <w:rPr>
          <w:color w:val="FF0000"/>
        </w:rPr>
      </w:pPr>
      <w:r w:rsidRPr="00867328">
        <w:rPr>
          <w:color w:val="FF0000"/>
        </w:rPr>
        <w:lastRenderedPageBreak/>
        <w:t>The policy liability of -$55.7m is negative, reflecting AUSLIFE has incurred large upfront acquisition expenses (commission (and underwriting /administration) in the first year, which it expects to recover from future premiums.</w:t>
      </w:r>
    </w:p>
    <w:p w14:paraId="5FB42205" w14:textId="14A149F5" w:rsidR="00F203AC" w:rsidRPr="008956FD" w:rsidRDefault="00F203AC" w:rsidP="00183A4C">
      <w:pPr>
        <w:pStyle w:val="ListParagraph"/>
        <w:numPr>
          <w:ilvl w:val="0"/>
          <w:numId w:val="2"/>
        </w:numPr>
        <w:spacing w:after="60"/>
        <w:rPr>
          <w:b/>
          <w:color w:val="FF0000"/>
        </w:rPr>
      </w:pPr>
      <w:r w:rsidRPr="008956FD">
        <w:rPr>
          <w:color w:val="FF0000"/>
        </w:rPr>
        <w:t xml:space="preserve">The policy liability is allowed to go negative under MoS standards to offset the negative net cash flow in the first year, </w:t>
      </w:r>
      <w:r w:rsidRPr="008956FD">
        <w:rPr>
          <w:b/>
          <w:color w:val="FF0000"/>
        </w:rPr>
        <w:t>to prevent a loss being made on business which is expected to be profitable.</w:t>
      </w:r>
    </w:p>
    <w:p w14:paraId="7A88240A" w14:textId="5B5B7AE9" w:rsidR="00482E61" w:rsidRDefault="00F203AC" w:rsidP="00183A4C">
      <w:pPr>
        <w:pStyle w:val="ListParagraph"/>
        <w:numPr>
          <w:ilvl w:val="0"/>
          <w:numId w:val="2"/>
        </w:numPr>
        <w:spacing w:after="60"/>
      </w:pPr>
      <w:r>
        <w:t>The shape of the liability changes over time. It usually starts negative, and may even become slightly more negative in early years, but then increases, moves back to zero and can even become positive depending upon the shape of the premium rates. In this case it starts negative and increases each year (though remaining negative), reaching zero by the end of the contract.</w:t>
      </w:r>
    </w:p>
    <w:p w14:paraId="6F9D0AA6" w14:textId="77777777" w:rsidR="008956FD" w:rsidRDefault="008956FD" w:rsidP="008956FD">
      <w:pPr>
        <w:pStyle w:val="ListParagraph"/>
        <w:spacing w:after="60"/>
        <w:ind w:left="1080"/>
      </w:pPr>
    </w:p>
    <w:p w14:paraId="53DB829A" w14:textId="29459CB6" w:rsidR="00482E61" w:rsidRDefault="00482E61" w:rsidP="003E4C85">
      <w:pPr>
        <w:spacing w:after="60"/>
      </w:pPr>
      <w:r>
        <w:t xml:space="preserve">ii. </w:t>
      </w:r>
      <w:r w:rsidR="00E04587">
        <w:rPr>
          <w:b/>
        </w:rPr>
        <w:t>2</w:t>
      </w:r>
      <w:r w:rsidR="00A05B85" w:rsidRPr="00302CE8">
        <w:rPr>
          <w:b/>
        </w:rPr>
        <w:t xml:space="preserve"> ways to calculate profit:</w:t>
      </w:r>
    </w:p>
    <w:p w14:paraId="73B2F7DD" w14:textId="33D9A64D" w:rsidR="00A05B85" w:rsidRDefault="00A05B85" w:rsidP="00183A4C">
      <w:pPr>
        <w:pStyle w:val="ListParagraph"/>
        <w:numPr>
          <w:ilvl w:val="0"/>
          <w:numId w:val="1"/>
        </w:numPr>
        <w:spacing w:after="60"/>
      </w:pPr>
      <w:r>
        <w:t>Profit = Profit Carrier * Profit Margin</w:t>
      </w:r>
    </w:p>
    <w:p w14:paraId="5E230F88" w14:textId="35C3FF0E" w:rsidR="00A05B85" w:rsidRPr="00312B1C" w:rsidRDefault="00A05B85" w:rsidP="00183A4C">
      <w:pPr>
        <w:pStyle w:val="ListParagraph"/>
        <w:numPr>
          <w:ilvl w:val="0"/>
          <w:numId w:val="1"/>
        </w:numPr>
        <w:spacing w:after="60"/>
        <w:rPr>
          <w:strike/>
        </w:rPr>
      </w:pPr>
      <w:r w:rsidRPr="00312B1C">
        <w:rPr>
          <w:strike/>
        </w:rPr>
        <w:t>Profit  = PV of Carrier</w:t>
      </w:r>
      <w:r w:rsidRPr="00312B1C">
        <w:rPr>
          <w:strike/>
          <w:vertAlign w:val="subscript"/>
        </w:rPr>
        <w:t>t+1</w:t>
      </w:r>
      <w:r w:rsidRPr="00312B1C">
        <w:rPr>
          <w:strike/>
        </w:rPr>
        <w:t xml:space="preserve"> – PV of Carrier</w:t>
      </w:r>
      <w:r w:rsidRPr="00312B1C">
        <w:rPr>
          <w:strike/>
          <w:vertAlign w:val="subscript"/>
        </w:rPr>
        <w:t>t</w:t>
      </w:r>
    </w:p>
    <w:p w14:paraId="12B4BA63" w14:textId="7C9E7C78" w:rsidR="00A05B85" w:rsidRDefault="00A05B85" w:rsidP="00183A4C">
      <w:pPr>
        <w:pStyle w:val="ListParagraph"/>
        <w:numPr>
          <w:ilvl w:val="0"/>
          <w:numId w:val="1"/>
        </w:numPr>
        <w:spacing w:after="60"/>
      </w:pPr>
      <w:r>
        <w:t xml:space="preserve">Profit  = NCF + Interest </w:t>
      </w:r>
      <w:r w:rsidRPr="00A05B85">
        <w:t>premiums</w:t>
      </w:r>
      <w:r>
        <w:t xml:space="preserve"> </w:t>
      </w:r>
      <w:r w:rsidRPr="00A05B85">
        <w:t>– increase in Policy Liability</w:t>
      </w:r>
    </w:p>
    <w:p w14:paraId="5A1C00D6" w14:textId="77777777" w:rsidR="00AD3FB9" w:rsidRDefault="00AD3FB9" w:rsidP="003E4C85">
      <w:pPr>
        <w:spacing w:after="60"/>
      </w:pPr>
    </w:p>
    <w:p w14:paraId="124A5F54" w14:textId="2D7EE11C" w:rsidR="00980C07" w:rsidRDefault="00265DCA" w:rsidP="003E4C85">
      <w:pPr>
        <w:spacing w:after="60"/>
      </w:pPr>
      <w:r>
        <w:t xml:space="preserve">iii. </w:t>
      </w:r>
      <w:r w:rsidR="003B5029">
        <w:t>Negative policy liability</w:t>
      </w:r>
      <w:r w:rsidR="00CB0A24">
        <w:t xml:space="preserve"> is</w:t>
      </w:r>
      <w:r w:rsidR="003B5029">
        <w:t xml:space="preserve"> the expected future </w:t>
      </w:r>
      <w:r w:rsidR="003B5029" w:rsidRPr="00CB0A24">
        <w:rPr>
          <w:strike/>
        </w:rPr>
        <w:t>profit</w:t>
      </w:r>
      <w:r w:rsidR="00CB0A24">
        <w:t xml:space="preserve"> </w:t>
      </w:r>
      <w:r w:rsidR="00CB0A24" w:rsidRPr="00CB0A24">
        <w:rPr>
          <w:color w:val="FF0000"/>
        </w:rPr>
        <w:t>cash inflow</w:t>
      </w:r>
      <w:r w:rsidR="003B5029">
        <w:t>, any assumptions change in the future may affect the profitability embedded in the policy liability.</w:t>
      </w:r>
    </w:p>
    <w:p w14:paraId="1926DE5A" w14:textId="77777777" w:rsidR="00C73A66" w:rsidRPr="00CB0A24" w:rsidRDefault="00C73A66" w:rsidP="00C73A66">
      <w:pPr>
        <w:spacing w:after="60"/>
        <w:rPr>
          <w:b/>
          <w:color w:val="FF0000"/>
        </w:rPr>
      </w:pPr>
      <w:r w:rsidRPr="00CB0A24">
        <w:rPr>
          <w:b/>
          <w:color w:val="FF0000"/>
        </w:rPr>
        <w:t>Key points include:</w:t>
      </w:r>
    </w:p>
    <w:p w14:paraId="032CD055" w14:textId="5F62BE6E" w:rsidR="00C73A66" w:rsidRDefault="00C73A66" w:rsidP="00183A4C">
      <w:pPr>
        <w:pStyle w:val="ListParagraph"/>
        <w:numPr>
          <w:ilvl w:val="0"/>
          <w:numId w:val="2"/>
        </w:numPr>
        <w:spacing w:after="60"/>
      </w:pPr>
      <w:r>
        <w:t>Capital requirements are concerned about policyholder protection, meaning an insurance company’s ability to fulfil its obligations to policyholders in an adverse scenario.</w:t>
      </w:r>
    </w:p>
    <w:p w14:paraId="694108BF" w14:textId="7C44495B" w:rsidR="00C73A66" w:rsidRPr="00CB0A24" w:rsidRDefault="00C73A66" w:rsidP="00183A4C">
      <w:pPr>
        <w:pStyle w:val="ListParagraph"/>
        <w:numPr>
          <w:ilvl w:val="0"/>
          <w:numId w:val="2"/>
        </w:numPr>
        <w:spacing w:after="60"/>
        <w:rPr>
          <w:color w:val="FF0000"/>
        </w:rPr>
      </w:pPr>
      <w:r w:rsidRPr="00CB0A24">
        <w:rPr>
          <w:color w:val="FF0000"/>
        </w:rPr>
        <w:t>A negative liability represents expected future net cash inflows and is not liquid nor freely available to be used to pay losses which the insurer may incur in the short term.</w:t>
      </w:r>
    </w:p>
    <w:p w14:paraId="7EF9663F" w14:textId="61371899" w:rsidR="00C73A66" w:rsidRDefault="00C73A66" w:rsidP="00183A4C">
      <w:pPr>
        <w:pStyle w:val="ListParagraph"/>
        <w:numPr>
          <w:ilvl w:val="0"/>
          <w:numId w:val="2"/>
        </w:numPr>
        <w:spacing w:after="60"/>
      </w:pPr>
      <w:r w:rsidRPr="00CB0A24">
        <w:rPr>
          <w:color w:val="FF0000"/>
        </w:rPr>
        <w:t>In order to absorb losses it would need to be sold to a 3rd party and the realisable sale proceeds may be deemed to be uncertain in the case of a stressed scenario</w:t>
      </w:r>
      <w:r>
        <w:t>. For example, if potential buyers are also under stress.</w:t>
      </w:r>
    </w:p>
    <w:p w14:paraId="40D46E15" w14:textId="4806D635" w:rsidR="00C73A66" w:rsidRPr="00CB0A24" w:rsidRDefault="00C73A66" w:rsidP="00183A4C">
      <w:pPr>
        <w:pStyle w:val="ListParagraph"/>
        <w:numPr>
          <w:ilvl w:val="0"/>
          <w:numId w:val="2"/>
        </w:numPr>
        <w:spacing w:after="60"/>
        <w:rPr>
          <w:color w:val="FF0000"/>
        </w:rPr>
      </w:pPr>
      <w:r w:rsidRPr="00CB0A24">
        <w:rPr>
          <w:color w:val="FF0000"/>
        </w:rPr>
        <w:t>There is a possibility that the expected future net cash inflows may not be realised (e.g. if policies terminate earlier than expected).</w:t>
      </w:r>
    </w:p>
    <w:p w14:paraId="285F29E7" w14:textId="475620D6" w:rsidR="003B5029" w:rsidRDefault="00C73A66" w:rsidP="00183A4C">
      <w:pPr>
        <w:pStyle w:val="ListParagraph"/>
        <w:numPr>
          <w:ilvl w:val="0"/>
          <w:numId w:val="2"/>
        </w:numPr>
        <w:spacing w:after="60"/>
      </w:pPr>
      <w:r>
        <w:t>As such, negative policy liabilities are not eligible to be counted towards meeting capital requirements.</w:t>
      </w:r>
    </w:p>
    <w:p w14:paraId="04FBAB20" w14:textId="77777777" w:rsidR="00CB0A24" w:rsidRDefault="00CB0A24" w:rsidP="00183A4C">
      <w:pPr>
        <w:pStyle w:val="ListParagraph"/>
        <w:numPr>
          <w:ilvl w:val="0"/>
          <w:numId w:val="2"/>
        </w:numPr>
        <w:spacing w:after="60"/>
      </w:pPr>
      <w:r>
        <w:t>For example, a model solution could be:</w:t>
      </w:r>
    </w:p>
    <w:p w14:paraId="75760E6F" w14:textId="3D72EFEA" w:rsidR="00C73A66" w:rsidRDefault="00CB0A24" w:rsidP="00CB0A24">
      <w:pPr>
        <w:pStyle w:val="ListParagraph"/>
        <w:spacing w:after="60"/>
        <w:ind w:left="1080"/>
      </w:pPr>
      <w:r>
        <w:t xml:space="preserve">The negative policy liability is </w:t>
      </w:r>
      <w:r w:rsidRPr="00CB0A24">
        <w:rPr>
          <w:color w:val="FF0000"/>
        </w:rPr>
        <w:t>in effect an intangible asset, representing the expected excess of future premiums over expenses</w:t>
      </w:r>
      <w:r>
        <w:t xml:space="preserve">. One feature of an intangible asset is that </w:t>
      </w:r>
      <w:r w:rsidRPr="00CB0A24">
        <w:rPr>
          <w:color w:val="FF0000"/>
        </w:rPr>
        <w:t>it has no readily realisable market value</w:t>
      </w:r>
      <w:r>
        <w:t xml:space="preserve">. Hence, </w:t>
      </w:r>
      <w:r w:rsidRPr="00CB0A24">
        <w:rPr>
          <w:color w:val="FF0000"/>
        </w:rPr>
        <w:t>in a wind-up situation it has no value which can be used to support policyholder benefits</w:t>
      </w:r>
      <w:r>
        <w:t xml:space="preserve">. Whilst it may be able to be sold or potentially reinsured, there is no guarantee that such a transaction could be structured or without significantly reducing the value. </w:t>
      </w:r>
      <w:r>
        <w:lastRenderedPageBreak/>
        <w:t>Consequently, in order to protect the policyholder interests, APRA has deemed that the policy liability cannot be used to support the capital base.</w:t>
      </w:r>
    </w:p>
    <w:p w14:paraId="7D6AB5FA" w14:textId="77777777" w:rsidR="00CB0A24" w:rsidRDefault="00CB0A24" w:rsidP="00CB0A24">
      <w:pPr>
        <w:pStyle w:val="ListParagraph"/>
        <w:spacing w:after="60"/>
        <w:ind w:left="1080"/>
      </w:pPr>
    </w:p>
    <w:p w14:paraId="4C94DE81" w14:textId="4D86E539" w:rsidR="00430C6F" w:rsidRDefault="003B5029" w:rsidP="003E4C85">
      <w:pPr>
        <w:spacing w:after="60"/>
      </w:pPr>
      <w:r>
        <w:t xml:space="preserve">iv. </w:t>
      </w:r>
      <w:r w:rsidR="00430C6F">
        <w:t>Given YRT is new business, operation risk will be large due to the growth of the business.</w:t>
      </w:r>
    </w:p>
    <w:p w14:paraId="03C677E8" w14:textId="52E8FDCF" w:rsidR="00CB0A24" w:rsidRDefault="00430C6F" w:rsidP="00CB0A24">
      <w:pPr>
        <w:spacing w:after="60"/>
      </w:pPr>
      <w:r>
        <w:t xml:space="preserve">The </w:t>
      </w:r>
      <w:r w:rsidR="00CB0A24">
        <w:t xml:space="preserve">planned </w:t>
      </w:r>
      <w:r>
        <w:t xml:space="preserve">sales volume will be likely different </w:t>
      </w:r>
      <w:r w:rsidR="00CB0A24">
        <w:t>in reality</w:t>
      </w:r>
      <w:r>
        <w:t>,</w:t>
      </w:r>
      <w:r w:rsidR="00CB0A24">
        <w:t xml:space="preserve"> resulting in more uncertainty.</w:t>
      </w:r>
    </w:p>
    <w:p w14:paraId="62D451C3" w14:textId="6FF2B7ED" w:rsidR="00CB0A24" w:rsidRDefault="00CB0A24" w:rsidP="00CB0A24">
      <w:pPr>
        <w:spacing w:after="60"/>
      </w:pPr>
      <w:r>
        <w:rPr>
          <w:color w:val="FF0000"/>
        </w:rPr>
        <w:t xml:space="preserve">[Explanation] </w:t>
      </w:r>
      <w:r w:rsidRPr="00CB0A24">
        <w:rPr>
          <w:color w:val="FF0000"/>
        </w:rPr>
        <w:t>Target surplus aims to provide a buffer such that a company can be reasonably confident it can maintain its Capital Base in excess of its Prudential Capital Requirement during a set period e.g. 12 months. It is also held to maintain an acceptable credit rating.</w:t>
      </w:r>
    </w:p>
    <w:p w14:paraId="23DC9D87" w14:textId="06519B7B" w:rsidR="00430C6F" w:rsidRDefault="00CB0A24" w:rsidP="00CB0A24">
      <w:pPr>
        <w:spacing w:after="60"/>
      </w:pPr>
      <w:r>
        <w:t xml:space="preserve">The commencement of writing of significant YRT new business poses a risk of a reduction to the capital base due to the </w:t>
      </w:r>
      <w:r w:rsidRPr="00CB0A24">
        <w:rPr>
          <w:color w:val="FF0000"/>
        </w:rPr>
        <w:t xml:space="preserve">high initial expenses and termination value floor </w:t>
      </w:r>
      <w:r>
        <w:t xml:space="preserve">(and potentially adverse lapse and claims experience, and the fact that AUSLIFE </w:t>
      </w:r>
      <w:r w:rsidRPr="00CB0A24">
        <w:rPr>
          <w:color w:val="FF0000"/>
        </w:rPr>
        <w:t>isn’t experienced in writing risk business</w:t>
      </w:r>
      <w:r>
        <w:t xml:space="preserve">), and as such it </w:t>
      </w:r>
      <w:r w:rsidRPr="00CB0A24">
        <w:rPr>
          <w:color w:val="FF0000"/>
        </w:rPr>
        <w:t>may be appropriate to hold some additional target surplus to protect against the risk of breaching capital requirements</w:t>
      </w:r>
      <w:r>
        <w:t>, should the planned new business materialise.</w:t>
      </w:r>
    </w:p>
    <w:p w14:paraId="09FD9C45" w14:textId="77777777" w:rsidR="00430C6F" w:rsidRDefault="00430C6F" w:rsidP="003E4C85">
      <w:pPr>
        <w:spacing w:after="60"/>
      </w:pPr>
    </w:p>
    <w:p w14:paraId="09D712F1" w14:textId="152ACD74" w:rsidR="00B472C1" w:rsidRDefault="00F85B51" w:rsidP="00B472C1">
      <w:pPr>
        <w:spacing w:after="60"/>
      </w:pPr>
      <w:r>
        <w:t xml:space="preserve">1c) </w:t>
      </w:r>
      <w:r w:rsidR="00B472C1">
        <w:t xml:space="preserve">i. Considering the capital (net assets) required at the end of the first year: </w:t>
      </w:r>
    </w:p>
    <w:p w14:paraId="2C40875D" w14:textId="77777777" w:rsidR="00B472C1" w:rsidRPr="00B472C1" w:rsidRDefault="00B472C1" w:rsidP="00183A4C">
      <w:pPr>
        <w:pStyle w:val="ListParagraph"/>
        <w:numPr>
          <w:ilvl w:val="0"/>
          <w:numId w:val="3"/>
        </w:numPr>
        <w:spacing w:after="60"/>
        <w:rPr>
          <w:color w:val="FF0000"/>
        </w:rPr>
      </w:pPr>
      <w:r w:rsidRPr="00B472C1">
        <w:rPr>
          <w:color w:val="FF0000"/>
        </w:rPr>
        <w:t>regulatory adjustment made to CET1</w:t>
      </w:r>
    </w:p>
    <w:p w14:paraId="375582DE" w14:textId="44CABC57" w:rsidR="00B472C1" w:rsidRPr="00B472C1" w:rsidRDefault="00B472C1" w:rsidP="00B472C1">
      <w:pPr>
        <w:pStyle w:val="ListParagraph"/>
        <w:spacing w:after="60"/>
        <w:ind w:left="465"/>
        <w:rPr>
          <w:color w:val="FF0000"/>
        </w:rPr>
      </w:pPr>
      <w:r>
        <w:rPr>
          <w:color w:val="FF0000"/>
        </w:rPr>
        <w:t xml:space="preserve"> = Adjusted PL – PL</w:t>
      </w:r>
      <w:r w:rsidRPr="00B472C1">
        <w:rPr>
          <w:color w:val="FF0000"/>
        </w:rPr>
        <w:t xml:space="preserve"> + DTA </w:t>
      </w:r>
      <w:r w:rsidR="00093152">
        <w:rPr>
          <w:color w:val="FF0000"/>
        </w:rPr>
        <w:t xml:space="preserve">+ </w:t>
      </w:r>
      <w:bookmarkStart w:id="0" w:name="_GoBack"/>
      <w:bookmarkEnd w:id="0"/>
      <w:r w:rsidRPr="00B472C1">
        <w:rPr>
          <w:color w:val="FF0000"/>
        </w:rPr>
        <w:t>DAC</w:t>
      </w:r>
    </w:p>
    <w:p w14:paraId="06D76926" w14:textId="6AA9FAFB" w:rsidR="00B472C1" w:rsidRDefault="00B472C1" w:rsidP="00B472C1">
      <w:pPr>
        <w:spacing w:after="60"/>
        <w:ind w:left="450"/>
      </w:pPr>
      <w:r>
        <w:t>Adjusted PL = max(RFBEL, Termination value)</w:t>
      </w:r>
    </w:p>
    <w:p w14:paraId="6DA5FE91" w14:textId="1AFE5782" w:rsidR="00B472C1" w:rsidRPr="00B472C1" w:rsidRDefault="00B472C1" w:rsidP="00B472C1">
      <w:pPr>
        <w:spacing w:after="60"/>
        <w:ind w:left="450"/>
        <w:rPr>
          <w:color w:val="FF0000"/>
        </w:rPr>
      </w:pPr>
      <w:r w:rsidRPr="00B472C1">
        <w:rPr>
          <w:color w:val="FF0000"/>
        </w:rPr>
        <w:t>The termination value (and hence the adjusted policy liability) for the YRT business is assumed to be zero, given there is no IBNR or RBNA (as the question states there is no claims delay), and there is no unearned premium (as all sales occur at the beginning of the year).</w:t>
      </w:r>
    </w:p>
    <w:p w14:paraId="1423F917" w14:textId="40AC1378" w:rsidR="00B472C1" w:rsidRDefault="00B472C1" w:rsidP="00B472C1">
      <w:pPr>
        <w:spacing w:after="60"/>
        <w:ind w:left="450"/>
      </w:pPr>
      <w:r>
        <w:t>As such, the difference between the termination value and the policy liability needs to be held as capital because it is not eligible for the capital base. That is, the amount calculated in 1a) of $55.7m is the liability adjustment.</w:t>
      </w:r>
    </w:p>
    <w:p w14:paraId="431796EF" w14:textId="5E3D2C5D" w:rsidR="00B472C1" w:rsidRDefault="00B472C1" w:rsidP="00183A4C">
      <w:pPr>
        <w:pStyle w:val="ListParagraph"/>
        <w:numPr>
          <w:ilvl w:val="0"/>
          <w:numId w:val="3"/>
        </w:numPr>
        <w:spacing w:after="60"/>
      </w:pPr>
      <w:r>
        <w:t>Furthermore the question states that there is no insurance risk charge, asset risk charge, and asset concentration risk charge.</w:t>
      </w:r>
    </w:p>
    <w:p w14:paraId="7B0635C6" w14:textId="77777777" w:rsidR="00B472C1" w:rsidRDefault="00B472C1" w:rsidP="00B472C1">
      <w:pPr>
        <w:spacing w:after="60"/>
        <w:ind w:left="450"/>
      </w:pPr>
      <w:r>
        <w:t xml:space="preserve">The only contributor to the Prescribed Capital Amount (PCA) of SF2 therefore is the </w:t>
      </w:r>
      <w:r w:rsidRPr="00B472C1">
        <w:rPr>
          <w:color w:val="FF0000"/>
        </w:rPr>
        <w:t>Operational Risk Charge.</w:t>
      </w:r>
    </w:p>
    <w:p w14:paraId="3849DCCC" w14:textId="77777777" w:rsidR="00B472C1" w:rsidRDefault="00B472C1" w:rsidP="00B472C1">
      <w:pPr>
        <w:spacing w:after="60"/>
        <w:ind w:left="450"/>
      </w:pPr>
      <w:r>
        <w:t>Based on LPS118, the Operational Risk Charge for risk business (ORCR)</w:t>
      </w:r>
    </w:p>
    <w:p w14:paraId="04A85F4C" w14:textId="64F22003" w:rsidR="00B472C1" w:rsidRDefault="00B472C1" w:rsidP="00B472C1">
      <w:pPr>
        <w:spacing w:after="60"/>
        <w:ind w:left="450"/>
      </w:pPr>
      <w:r>
        <w:t>= 3%*[max(40,0) + max(abs(40-0)-0.2*0,0)]</w:t>
      </w:r>
    </w:p>
    <w:p w14:paraId="4A5C8A46" w14:textId="77777777" w:rsidR="00B472C1" w:rsidRDefault="00B472C1" w:rsidP="00B472C1">
      <w:pPr>
        <w:spacing w:after="60"/>
        <w:ind w:left="450"/>
      </w:pPr>
      <w:r>
        <w:t>= 3%*80m = $2.4m.</w:t>
      </w:r>
    </w:p>
    <w:p w14:paraId="5B318AF3" w14:textId="69B15B9A" w:rsidR="00B472C1" w:rsidRDefault="00B472C1" w:rsidP="00183A4C">
      <w:pPr>
        <w:pStyle w:val="ListParagraph"/>
        <w:numPr>
          <w:ilvl w:val="0"/>
          <w:numId w:val="3"/>
        </w:numPr>
        <w:spacing w:after="60"/>
      </w:pPr>
      <w:r w:rsidRPr="00B472C1">
        <w:rPr>
          <w:color w:val="FF0000"/>
        </w:rPr>
        <w:t xml:space="preserve">Assume no regulatory adjustment to PCA </w:t>
      </w:r>
      <w:r>
        <w:t>so Prudential Capital Requirement (PCR) = PCA.</w:t>
      </w:r>
    </w:p>
    <w:p w14:paraId="16AC7F38" w14:textId="7D244CC9" w:rsidR="00B472C1" w:rsidRDefault="00B472C1" w:rsidP="00183A4C">
      <w:pPr>
        <w:pStyle w:val="ListParagraph"/>
        <w:numPr>
          <w:ilvl w:val="0"/>
          <w:numId w:val="3"/>
        </w:numPr>
        <w:spacing w:after="60"/>
      </w:pPr>
      <w:r w:rsidRPr="00B472C1">
        <w:rPr>
          <w:color w:val="FF0000"/>
        </w:rPr>
        <w:t>Assume the capital supporting the investment-linked business exceeds $10m, so the floor of $10m for the PC</w:t>
      </w:r>
      <w:r>
        <w:rPr>
          <w:color w:val="FF0000"/>
        </w:rPr>
        <w:t>A</w:t>
      </w:r>
      <w:r w:rsidRPr="00B472C1">
        <w:rPr>
          <w:color w:val="FF0000"/>
        </w:rPr>
        <w:t xml:space="preserve"> is already met</w:t>
      </w:r>
      <w:r>
        <w:t>. Hence PCR for the insurance business = $2.4m.</w:t>
      </w:r>
    </w:p>
    <w:p w14:paraId="71817E61" w14:textId="22E9A063" w:rsidR="00F85B51" w:rsidRDefault="00B472C1" w:rsidP="00183A4C">
      <w:pPr>
        <w:pStyle w:val="ListParagraph"/>
        <w:numPr>
          <w:ilvl w:val="0"/>
          <w:numId w:val="3"/>
        </w:numPr>
        <w:spacing w:after="60"/>
      </w:pPr>
      <w:r>
        <w:t xml:space="preserve">As such, total capital (net assets) of $55.7m (liability adjustment to net assets to obtain capital base from net assets) + $2.4m (PCR) = $58.1m is required to </w:t>
      </w:r>
      <w:r w:rsidRPr="00B472C1">
        <w:t>support the new business at the end of the first year.</w:t>
      </w:r>
    </w:p>
    <w:p w14:paraId="20483765" w14:textId="77777777" w:rsidR="00430C6F" w:rsidRDefault="00430C6F" w:rsidP="003E4C85">
      <w:pPr>
        <w:spacing w:after="60"/>
      </w:pPr>
    </w:p>
    <w:p w14:paraId="4511018F" w14:textId="77777777" w:rsidR="00C17B4A" w:rsidRDefault="00646190" w:rsidP="00C17B4A">
      <w:pPr>
        <w:spacing w:after="60"/>
      </w:pPr>
      <w:r>
        <w:t xml:space="preserve">ii. </w:t>
      </w:r>
      <w:r w:rsidR="00C17B4A">
        <w:t xml:space="preserve">The insurance risk charge for the YRT business can be zero </w:t>
      </w:r>
      <w:r w:rsidR="00C17B4A" w:rsidRPr="00C17B4A">
        <w:rPr>
          <w:color w:val="00B050"/>
        </w:rPr>
        <w:t xml:space="preserve">if the business is highly profitable </w:t>
      </w:r>
      <w:r w:rsidR="00C17B4A">
        <w:t>so that:</w:t>
      </w:r>
    </w:p>
    <w:p w14:paraId="3875A64A" w14:textId="74D9DDF5" w:rsidR="00C17B4A" w:rsidRDefault="00C17B4A" w:rsidP="00183A4C">
      <w:pPr>
        <w:pStyle w:val="ListParagraph"/>
        <w:numPr>
          <w:ilvl w:val="0"/>
          <w:numId w:val="2"/>
        </w:numPr>
        <w:spacing w:after="60"/>
      </w:pPr>
      <w:r>
        <w:t>The maximum of (shocked risk free best estimate liabilities, shocked adjusted policy liability) in 12 months’ time; plus</w:t>
      </w:r>
    </w:p>
    <w:p w14:paraId="14792879" w14:textId="448EF5C4" w:rsidR="00C17B4A" w:rsidRDefault="00C17B4A" w:rsidP="00183A4C">
      <w:pPr>
        <w:pStyle w:val="ListParagraph"/>
        <w:numPr>
          <w:ilvl w:val="0"/>
          <w:numId w:val="2"/>
        </w:numPr>
        <w:spacing w:after="60"/>
      </w:pPr>
      <w:r>
        <w:t>The shocked claims and expenses over the next 12 months; less</w:t>
      </w:r>
    </w:p>
    <w:p w14:paraId="5E23E92A" w14:textId="77777777" w:rsidR="00C17B4A" w:rsidRDefault="00C17B4A" w:rsidP="00183A4C">
      <w:pPr>
        <w:pStyle w:val="ListParagraph"/>
        <w:numPr>
          <w:ilvl w:val="0"/>
          <w:numId w:val="2"/>
        </w:numPr>
        <w:spacing w:after="60"/>
      </w:pPr>
      <w:r>
        <w:t xml:space="preserve">The shocked premiums over the next 12 months </w:t>
      </w:r>
    </w:p>
    <w:p w14:paraId="65AB8799" w14:textId="22B4D6B0" w:rsidR="00C17B4A" w:rsidRDefault="00C17B4A" w:rsidP="00C17B4A">
      <w:pPr>
        <w:spacing w:after="60"/>
      </w:pPr>
      <w:r>
        <w:t>is less than the termination value/adjusted policy liability (of zero in this case).</w:t>
      </w:r>
    </w:p>
    <w:p w14:paraId="0D81EE05" w14:textId="007DF0FF" w:rsidR="00430C6F" w:rsidRDefault="00C17B4A" w:rsidP="00C17B4A">
      <w:pPr>
        <w:spacing w:after="60"/>
      </w:pPr>
      <w:r>
        <w:t xml:space="preserve">That is, </w:t>
      </w:r>
      <w:r w:rsidRPr="00C17B4A">
        <w:rPr>
          <w:color w:val="FF0000"/>
        </w:rPr>
        <w:t>there is enough stressed profit margin emerging over the next twelve months (under the insurance stresses) to cover any increase in the stressed adjusted policy liability over the next twelve months due to the insurance stresses applied, and enough profit margin to ensure the stressed RFBEL in 12 months’ is still negative.</w:t>
      </w:r>
    </w:p>
    <w:p w14:paraId="7F590281" w14:textId="77777777" w:rsidR="00AD3FB9" w:rsidRDefault="00AD3FB9" w:rsidP="003E4C85">
      <w:pPr>
        <w:spacing w:after="60"/>
      </w:pPr>
    </w:p>
    <w:p w14:paraId="1A160D3F" w14:textId="1F554D14" w:rsidR="0022775E" w:rsidRDefault="0022775E" w:rsidP="003E4C85">
      <w:pPr>
        <w:spacing w:after="60"/>
      </w:pPr>
      <w:r>
        <w:t xml:space="preserve">iii. </w:t>
      </w:r>
      <w:r w:rsidRPr="0022775E">
        <w:t>The estimated dividend capacity at the end of the year is determined by subtracting the capital required to support the new business from the profit expected to be earned from the new business, and adding the $20m from the old business:</w:t>
      </w:r>
    </w:p>
    <w:p w14:paraId="5B06DD10" w14:textId="78243013" w:rsidR="0022775E" w:rsidRDefault="0022775E" w:rsidP="003E4C85">
      <w:pPr>
        <w:spacing w:after="60"/>
      </w:pPr>
      <w:r>
        <w:t>T</w:t>
      </w:r>
      <w:r w:rsidRPr="0022775E">
        <w:t>here is no ability for dividends to be paid to ASIANLIFE but instead a capital injection into SF2 is required (which exceeds the distributable profit from SF1).</w:t>
      </w:r>
    </w:p>
    <w:p w14:paraId="5C62204B" w14:textId="77777777" w:rsidR="00AD3FB9" w:rsidRDefault="00AD3FB9" w:rsidP="003E4C85">
      <w:pPr>
        <w:spacing w:after="60"/>
      </w:pPr>
    </w:p>
    <w:p w14:paraId="1496D933" w14:textId="77777777" w:rsidR="00767EB2" w:rsidRDefault="00B67284" w:rsidP="00767EB2">
      <w:pPr>
        <w:spacing w:after="60"/>
      </w:pPr>
      <w:r>
        <w:t xml:space="preserve">1d) </w:t>
      </w:r>
      <w:r w:rsidR="00767EB2">
        <w:t>MEMORANDUM</w:t>
      </w:r>
    </w:p>
    <w:p w14:paraId="7A17461A" w14:textId="77777777" w:rsidR="00767EB2" w:rsidRDefault="00767EB2" w:rsidP="00767EB2">
      <w:pPr>
        <w:spacing w:after="60"/>
      </w:pPr>
      <w:r>
        <w:t>FROM: Valuation and Capital Actuary, AUSLIFE</w:t>
      </w:r>
    </w:p>
    <w:p w14:paraId="69E945B5" w14:textId="77777777" w:rsidR="00767EB2" w:rsidRDefault="00767EB2" w:rsidP="00767EB2">
      <w:pPr>
        <w:spacing w:after="60"/>
      </w:pPr>
      <w:r>
        <w:t>TO: CEO, ASIANLIFE</w:t>
      </w:r>
    </w:p>
    <w:p w14:paraId="3524311B" w14:textId="1F5C09C4" w:rsidR="00767EB2" w:rsidRDefault="00767EB2" w:rsidP="00767EB2">
      <w:pPr>
        <w:spacing w:after="60"/>
      </w:pPr>
      <w:r>
        <w:t>SUBJECT: ROE of AUSLIFE</w:t>
      </w:r>
    </w:p>
    <w:p w14:paraId="487CB86B" w14:textId="77777777" w:rsidR="00767EB2" w:rsidRDefault="00767EB2" w:rsidP="00767EB2">
      <w:pPr>
        <w:spacing w:after="60"/>
      </w:pPr>
      <w:r>
        <w:t>Dear CEO,</w:t>
      </w:r>
    </w:p>
    <w:p w14:paraId="267ABBA1" w14:textId="5349F1EA" w:rsidR="0022775E" w:rsidRDefault="00767EB2" w:rsidP="00767EB2">
      <w:pPr>
        <w:spacing w:after="60"/>
      </w:pPr>
      <w:r w:rsidRPr="00767EB2">
        <w:rPr>
          <w:b/>
        </w:rPr>
        <w:t>i)</w:t>
      </w:r>
      <w:r>
        <w:t xml:space="preserve"> In response to your concern around the Return on Equity (ROE) of AUSLIFE, below I have set out the underlying calculations that demonstrate the expected ROE with the insurance business is 13.5%, compared to 16.7% without the insurance business:</w:t>
      </w:r>
    </w:p>
    <w:p w14:paraId="7710B0D1" w14:textId="77777777" w:rsidR="00767EB2" w:rsidRDefault="00767EB2" w:rsidP="00767EB2">
      <w:pPr>
        <w:spacing w:after="60"/>
      </w:pPr>
      <w:r>
        <w:t>Profit after tax for SF1 for the year = $20m</w:t>
      </w:r>
    </w:p>
    <w:p w14:paraId="565C30AB" w14:textId="77777777" w:rsidR="00767EB2" w:rsidRDefault="00767EB2" w:rsidP="00767EB2">
      <w:pPr>
        <w:spacing w:after="60"/>
      </w:pPr>
      <w:r>
        <w:t>Profit after tax for SF2 for the year = $4m</w:t>
      </w:r>
    </w:p>
    <w:p w14:paraId="29C3FBCB" w14:textId="77777777" w:rsidR="00767EB2" w:rsidRPr="00767EB2" w:rsidRDefault="00767EB2" w:rsidP="00767EB2">
      <w:pPr>
        <w:spacing w:after="60"/>
        <w:rPr>
          <w:color w:val="FF0000"/>
        </w:rPr>
      </w:pPr>
      <w:r w:rsidRPr="00767EB2">
        <w:rPr>
          <w:color w:val="FF0000"/>
        </w:rPr>
        <w:t xml:space="preserve">Shareholders’ equity at end of year </w:t>
      </w:r>
      <w:r w:rsidRPr="00767EB2">
        <w:rPr>
          <w:b/>
          <w:color w:val="FF0000"/>
        </w:rPr>
        <w:t>with</w:t>
      </w:r>
      <w:r w:rsidRPr="00767EB2">
        <w:rPr>
          <w:color w:val="FF0000"/>
        </w:rPr>
        <w:t xml:space="preserve"> insurance business</w:t>
      </w:r>
    </w:p>
    <w:p w14:paraId="5E9F7542" w14:textId="77777777" w:rsidR="00767EB2" w:rsidRPr="00767EB2" w:rsidRDefault="00767EB2" w:rsidP="00767EB2">
      <w:pPr>
        <w:spacing w:after="60"/>
        <w:rPr>
          <w:color w:val="FF0000"/>
        </w:rPr>
      </w:pPr>
      <w:r w:rsidRPr="00767EB2">
        <w:rPr>
          <w:color w:val="FF0000"/>
        </w:rPr>
        <w:t>= beginning of year equity + profit earned during the year + necessary capital injections</w:t>
      </w:r>
    </w:p>
    <w:p w14:paraId="247D8DAA" w14:textId="2D497C34" w:rsidR="00767EB2" w:rsidRDefault="00767EB2" w:rsidP="00767EB2">
      <w:pPr>
        <w:spacing w:after="60"/>
      </w:pPr>
      <w:r>
        <w:t>= $100m + $20m +$4m + $54.1m = $178.1m</w:t>
      </w:r>
    </w:p>
    <w:p w14:paraId="7FB0845A" w14:textId="77777777" w:rsidR="00767EB2" w:rsidRDefault="00767EB2" w:rsidP="00767EB2">
      <w:pPr>
        <w:spacing w:after="60"/>
      </w:pPr>
      <w:r>
        <w:t xml:space="preserve">(Note: </w:t>
      </w:r>
      <w:r w:rsidRPr="00767EB2">
        <w:rPr>
          <w:color w:val="FF0000"/>
        </w:rPr>
        <w:t>this assumes that $54.1m is injected, as the $4m in profit is available to meet the capital requirements at the end of the year. It is also acceptable to assume $58.1m is injected, as capital is technically required before the profit emerges.</w:t>
      </w:r>
      <w:r>
        <w:t>)</w:t>
      </w:r>
    </w:p>
    <w:p w14:paraId="31D2697B" w14:textId="77777777" w:rsidR="00767EB2" w:rsidRPr="00767EB2" w:rsidRDefault="00767EB2" w:rsidP="00767EB2">
      <w:pPr>
        <w:spacing w:after="60"/>
        <w:rPr>
          <w:color w:val="FF0000"/>
        </w:rPr>
      </w:pPr>
      <w:r w:rsidRPr="00767EB2">
        <w:rPr>
          <w:color w:val="FF0000"/>
        </w:rPr>
        <w:t xml:space="preserve">Shareholders’ equity at end of year </w:t>
      </w:r>
      <w:r w:rsidRPr="00767EB2">
        <w:rPr>
          <w:b/>
          <w:color w:val="FF0000"/>
        </w:rPr>
        <w:t>without</w:t>
      </w:r>
      <w:r w:rsidRPr="00767EB2">
        <w:rPr>
          <w:color w:val="FF0000"/>
        </w:rPr>
        <w:t xml:space="preserve"> insurance business</w:t>
      </w:r>
    </w:p>
    <w:p w14:paraId="70256607" w14:textId="77777777" w:rsidR="00767EB2" w:rsidRPr="00767EB2" w:rsidRDefault="00767EB2" w:rsidP="00767EB2">
      <w:pPr>
        <w:spacing w:after="60"/>
        <w:rPr>
          <w:color w:val="FF0000"/>
        </w:rPr>
      </w:pPr>
      <w:r w:rsidRPr="00767EB2">
        <w:rPr>
          <w:color w:val="FF0000"/>
        </w:rPr>
        <w:t>= beginning of year equity + profit earned during the year + necessary capital injections</w:t>
      </w:r>
    </w:p>
    <w:p w14:paraId="468C1C05" w14:textId="505F56BC" w:rsidR="00767EB2" w:rsidRPr="00767EB2" w:rsidRDefault="00767EB2" w:rsidP="00767EB2">
      <w:pPr>
        <w:spacing w:after="60"/>
        <w:rPr>
          <w:color w:val="FF0000"/>
        </w:rPr>
      </w:pPr>
      <w:r>
        <w:rPr>
          <w:color w:val="FF0000"/>
        </w:rPr>
        <w:lastRenderedPageBreak/>
        <w:t xml:space="preserve">= $100m + $20m </w:t>
      </w:r>
      <w:r w:rsidRPr="00767EB2">
        <w:rPr>
          <w:color w:val="FF0000"/>
        </w:rPr>
        <w:t>= $120m</w:t>
      </w:r>
    </w:p>
    <w:p w14:paraId="081BBAF2" w14:textId="7B83EB71" w:rsidR="00767EB2" w:rsidRDefault="00767EB2" w:rsidP="00767EB2">
      <w:pPr>
        <w:spacing w:after="60"/>
      </w:pPr>
      <w:r>
        <w:t xml:space="preserve">Therefore the expected </w:t>
      </w:r>
      <w:r w:rsidRPr="00767EB2">
        <w:rPr>
          <w:color w:val="FF0000"/>
        </w:rPr>
        <w:t>ROE = Profit / Shareholders’ equity at end of year</w:t>
      </w:r>
    </w:p>
    <w:p w14:paraId="2ADF8233" w14:textId="77777777" w:rsidR="00767EB2" w:rsidRPr="00767EB2" w:rsidRDefault="00767EB2" w:rsidP="00183A4C">
      <w:pPr>
        <w:pStyle w:val="ListParagraph"/>
        <w:numPr>
          <w:ilvl w:val="0"/>
          <w:numId w:val="4"/>
        </w:numPr>
        <w:spacing w:after="0"/>
        <w:rPr>
          <w:i/>
        </w:rPr>
      </w:pPr>
      <w:r w:rsidRPr="00767EB2">
        <w:rPr>
          <w:i/>
        </w:rPr>
        <w:t>Without insurance business = 20 / 120 = 16.7%</w:t>
      </w:r>
    </w:p>
    <w:p w14:paraId="5B929F6A" w14:textId="77777777" w:rsidR="00767EB2" w:rsidRPr="00767EB2" w:rsidRDefault="00767EB2" w:rsidP="00183A4C">
      <w:pPr>
        <w:pStyle w:val="ListParagraph"/>
        <w:numPr>
          <w:ilvl w:val="0"/>
          <w:numId w:val="4"/>
        </w:numPr>
        <w:spacing w:after="0"/>
        <w:rPr>
          <w:i/>
        </w:rPr>
      </w:pPr>
      <w:r w:rsidRPr="00767EB2">
        <w:rPr>
          <w:i/>
        </w:rPr>
        <w:t>With insurance business = 24 / 178.1 = 13.5%</w:t>
      </w:r>
    </w:p>
    <w:p w14:paraId="30F48875" w14:textId="22FA8AE3" w:rsidR="00767EB2" w:rsidRDefault="00767EB2" w:rsidP="00767EB2">
      <w:pPr>
        <w:spacing w:after="60"/>
      </w:pPr>
      <w:r>
        <w:t>Therefore, while the target ROE of 12% p.a. is met with the new distribution agreement. This is due to the investment-linked business’s ROE of 17% subsidising the ROE of the insurance business (which is below 12%).</w:t>
      </w:r>
    </w:p>
    <w:p w14:paraId="7D0E8CBB" w14:textId="77777777" w:rsidR="00767EB2" w:rsidRDefault="00767EB2" w:rsidP="00767EB2">
      <w:pPr>
        <w:spacing w:after="60"/>
      </w:pPr>
    </w:p>
    <w:p w14:paraId="789A73BC" w14:textId="72C9EEC2" w:rsidR="00767EB2" w:rsidRPr="00767EB2" w:rsidRDefault="00767EB2" w:rsidP="00767EB2">
      <w:pPr>
        <w:spacing w:after="60"/>
        <w:rPr>
          <w:b/>
        </w:rPr>
      </w:pPr>
      <w:r>
        <w:rPr>
          <w:b/>
        </w:rPr>
        <w:t xml:space="preserve">ii) </w:t>
      </w:r>
      <w:r>
        <w:t>In terms of enhancing the ROE of AUSLIFE, I present below two suggestions</w:t>
      </w:r>
    </w:p>
    <w:p w14:paraId="47D98CCD" w14:textId="4D3390EB" w:rsidR="00767EB2" w:rsidRPr="00767EB2" w:rsidRDefault="00767EB2" w:rsidP="00767EB2">
      <w:pPr>
        <w:spacing w:after="60"/>
        <w:rPr>
          <w:b/>
        </w:rPr>
      </w:pPr>
      <w:r w:rsidRPr="00767EB2">
        <w:rPr>
          <w:b/>
        </w:rPr>
        <w:t xml:space="preserve">Issue Tier 2 capital: </w:t>
      </w:r>
    </w:p>
    <w:p w14:paraId="5856F260" w14:textId="7FFB65C4" w:rsidR="00767EB2" w:rsidRDefault="00767EB2" w:rsidP="00767EB2">
      <w:pPr>
        <w:spacing w:after="60"/>
        <w:ind w:left="360"/>
      </w:pPr>
      <w:r>
        <w:t>If Tier 2 capital is issued then this will be treated as debt for accounting purposes and therefore not be included within the denominator of the ROE calculation. Assuming the interest paid is relatively low, this will be ROE accretive.</w:t>
      </w:r>
    </w:p>
    <w:p w14:paraId="1A9D291D" w14:textId="177396D7" w:rsidR="00767EB2" w:rsidRPr="00767EB2" w:rsidRDefault="00767EB2" w:rsidP="00767EB2">
      <w:pPr>
        <w:spacing w:after="60"/>
        <w:rPr>
          <w:b/>
        </w:rPr>
      </w:pPr>
      <w:r>
        <w:rPr>
          <w:b/>
        </w:rPr>
        <w:tab/>
      </w:r>
      <w:r w:rsidRPr="00767EB2">
        <w:rPr>
          <w:b/>
        </w:rPr>
        <w:t>Pros</w:t>
      </w:r>
    </w:p>
    <w:p w14:paraId="1A3F0804" w14:textId="705492E5" w:rsidR="00767EB2" w:rsidRDefault="00767EB2" w:rsidP="00183A4C">
      <w:pPr>
        <w:pStyle w:val="ListParagraph"/>
        <w:numPr>
          <w:ilvl w:val="0"/>
          <w:numId w:val="2"/>
        </w:numPr>
        <w:spacing w:after="60"/>
      </w:pPr>
      <w:r>
        <w:t>Means that it is not necessary for a capital injection to be provided and ASIANLIFE’s capital can be put to alternative uses</w:t>
      </w:r>
    </w:p>
    <w:p w14:paraId="7F234A0E" w14:textId="486E8528" w:rsidR="00767EB2" w:rsidRPr="00767EB2" w:rsidRDefault="00767EB2" w:rsidP="00767EB2">
      <w:pPr>
        <w:spacing w:after="60"/>
        <w:rPr>
          <w:b/>
        </w:rPr>
      </w:pPr>
      <w:r>
        <w:rPr>
          <w:b/>
        </w:rPr>
        <w:tab/>
      </w:r>
      <w:r w:rsidRPr="00767EB2">
        <w:rPr>
          <w:b/>
        </w:rPr>
        <w:t>Cons</w:t>
      </w:r>
    </w:p>
    <w:p w14:paraId="07DCFBAB" w14:textId="4253FE21" w:rsidR="00767EB2" w:rsidRDefault="00767EB2" w:rsidP="00183A4C">
      <w:pPr>
        <w:pStyle w:val="ListParagraph"/>
        <w:numPr>
          <w:ilvl w:val="0"/>
          <w:numId w:val="2"/>
        </w:numPr>
        <w:spacing w:after="60"/>
      </w:pPr>
      <w:r>
        <w:t>Interest cost reduces profit</w:t>
      </w:r>
    </w:p>
    <w:p w14:paraId="43AF76E8" w14:textId="0CD54976" w:rsidR="00767EB2" w:rsidRDefault="00767EB2" w:rsidP="00183A4C">
      <w:pPr>
        <w:pStyle w:val="ListParagraph"/>
        <w:numPr>
          <w:ilvl w:val="0"/>
          <w:numId w:val="2"/>
        </w:numPr>
        <w:spacing w:after="60"/>
      </w:pPr>
      <w:r>
        <w:t>Only limited scope to effectively issue tier 2 debt under APRA capital regulations. Effectively limited to 20% of PCR</w:t>
      </w:r>
    </w:p>
    <w:p w14:paraId="3D718D6E" w14:textId="548B1912" w:rsidR="00767EB2" w:rsidRDefault="00767EB2" w:rsidP="00183A4C">
      <w:pPr>
        <w:pStyle w:val="ListParagraph"/>
        <w:numPr>
          <w:ilvl w:val="0"/>
          <w:numId w:val="2"/>
        </w:numPr>
        <w:spacing w:after="60"/>
      </w:pPr>
      <w:r>
        <w:t>Requires regulatory approval</w:t>
      </w:r>
    </w:p>
    <w:p w14:paraId="484B850F" w14:textId="4A4BAB5B" w:rsidR="00767EB2" w:rsidRDefault="00767EB2" w:rsidP="00183A4C">
      <w:pPr>
        <w:pStyle w:val="ListParagraph"/>
        <w:numPr>
          <w:ilvl w:val="0"/>
          <w:numId w:val="2"/>
        </w:numPr>
        <w:spacing w:after="60"/>
      </w:pPr>
      <w:r>
        <w:t>Will consume management time and external legal costs to attract external investors, produce legal documents etc.</w:t>
      </w:r>
    </w:p>
    <w:p w14:paraId="48B64FDD" w14:textId="77777777" w:rsidR="00767EB2" w:rsidRPr="00767EB2" w:rsidRDefault="00767EB2" w:rsidP="00767EB2">
      <w:pPr>
        <w:spacing w:after="60"/>
        <w:rPr>
          <w:b/>
        </w:rPr>
      </w:pPr>
      <w:r w:rsidRPr="00767EB2">
        <w:rPr>
          <w:b/>
        </w:rPr>
        <w:t xml:space="preserve">Externally </w:t>
      </w:r>
      <w:r w:rsidRPr="00240B2A">
        <w:rPr>
          <w:b/>
          <w:color w:val="00B050"/>
        </w:rPr>
        <w:t xml:space="preserve">reinsure </w:t>
      </w:r>
      <w:r w:rsidRPr="00767EB2">
        <w:rPr>
          <w:b/>
        </w:rPr>
        <w:t>the business</w:t>
      </w:r>
    </w:p>
    <w:p w14:paraId="143C70F6" w14:textId="1522A775" w:rsidR="00767EB2" w:rsidRDefault="00767EB2" w:rsidP="00767EB2">
      <w:pPr>
        <w:spacing w:after="60"/>
        <w:ind w:left="360"/>
      </w:pPr>
      <w:r>
        <w:t xml:space="preserve">If the business is externally reinsured under a quota share structure then the </w:t>
      </w:r>
      <w:r w:rsidRPr="00240B2A">
        <w:rPr>
          <w:color w:val="FF0000"/>
        </w:rPr>
        <w:t xml:space="preserve">reinsurer would be expected to pay significant reinsurance commissions which effectively fund part or all of the commissions to the distributors </w:t>
      </w:r>
      <w:r>
        <w:t>and neutralise the impact on the capital base.</w:t>
      </w:r>
    </w:p>
    <w:p w14:paraId="6DC63F0B" w14:textId="784D1336" w:rsidR="00767EB2" w:rsidRPr="00767EB2" w:rsidRDefault="00767EB2" w:rsidP="00767EB2">
      <w:pPr>
        <w:spacing w:after="60"/>
        <w:rPr>
          <w:b/>
        </w:rPr>
      </w:pPr>
      <w:r>
        <w:rPr>
          <w:b/>
        </w:rPr>
        <w:tab/>
      </w:r>
      <w:r w:rsidRPr="00767EB2">
        <w:rPr>
          <w:b/>
        </w:rPr>
        <w:t>Pros</w:t>
      </w:r>
    </w:p>
    <w:p w14:paraId="696D733E" w14:textId="71F82AAC" w:rsidR="00767EB2" w:rsidRDefault="00767EB2" w:rsidP="00183A4C">
      <w:pPr>
        <w:pStyle w:val="ListParagraph"/>
        <w:numPr>
          <w:ilvl w:val="0"/>
          <w:numId w:val="2"/>
        </w:numPr>
        <w:spacing w:after="60"/>
      </w:pPr>
      <w:r>
        <w:t xml:space="preserve">Means that it is </w:t>
      </w:r>
      <w:r w:rsidRPr="00240B2A">
        <w:rPr>
          <w:color w:val="FF0000"/>
        </w:rPr>
        <w:t xml:space="preserve">not necessary for such a large capital injection </w:t>
      </w:r>
      <w:r>
        <w:t>to be provided and ASIANLIFE’s capital can be put to alternative uses</w:t>
      </w:r>
    </w:p>
    <w:p w14:paraId="26EB0118" w14:textId="7AB8AB6B" w:rsidR="00767EB2" w:rsidRDefault="00767EB2" w:rsidP="00183A4C">
      <w:pPr>
        <w:pStyle w:val="ListParagraph"/>
        <w:numPr>
          <w:ilvl w:val="0"/>
          <w:numId w:val="2"/>
        </w:numPr>
        <w:spacing w:after="60"/>
      </w:pPr>
      <w:r>
        <w:t xml:space="preserve">Also </w:t>
      </w:r>
      <w:r w:rsidRPr="00240B2A">
        <w:rPr>
          <w:color w:val="FF0000"/>
        </w:rPr>
        <w:t xml:space="preserve">transfers mortality and morbidity risks </w:t>
      </w:r>
      <w:r>
        <w:t>to the external reinsurer meaning less exposure to extreme events for AUSLIFE</w:t>
      </w:r>
    </w:p>
    <w:p w14:paraId="2095BAF4" w14:textId="7AF8A281" w:rsidR="00767EB2" w:rsidRDefault="00767EB2" w:rsidP="00183A4C">
      <w:pPr>
        <w:pStyle w:val="ListParagraph"/>
        <w:numPr>
          <w:ilvl w:val="0"/>
          <w:numId w:val="2"/>
        </w:numPr>
        <w:spacing w:after="60"/>
      </w:pPr>
      <w:r w:rsidRPr="00240B2A">
        <w:rPr>
          <w:color w:val="FF0000"/>
        </w:rPr>
        <w:t xml:space="preserve">knowledge and expertise from the reinsurer </w:t>
      </w:r>
      <w:r>
        <w:t xml:space="preserve">should be able to help AUSLIFE manage YRT business, </w:t>
      </w:r>
      <w:r w:rsidRPr="00240B2A">
        <w:rPr>
          <w:color w:val="FF0000"/>
        </w:rPr>
        <w:t>leading to better cost savings and risk mitigation in the long run</w:t>
      </w:r>
      <w:r>
        <w:t>.</w:t>
      </w:r>
    </w:p>
    <w:p w14:paraId="2B31F630" w14:textId="2D936775" w:rsidR="00767EB2" w:rsidRPr="00767EB2" w:rsidRDefault="00767EB2" w:rsidP="00767EB2">
      <w:pPr>
        <w:spacing w:after="60"/>
        <w:rPr>
          <w:b/>
        </w:rPr>
      </w:pPr>
      <w:r>
        <w:rPr>
          <w:b/>
        </w:rPr>
        <w:tab/>
      </w:r>
      <w:r w:rsidRPr="00767EB2">
        <w:rPr>
          <w:b/>
        </w:rPr>
        <w:t>Cons</w:t>
      </w:r>
    </w:p>
    <w:p w14:paraId="36BE5738" w14:textId="6CB244EA" w:rsidR="00767EB2" w:rsidRPr="00240B2A" w:rsidRDefault="00767EB2" w:rsidP="00183A4C">
      <w:pPr>
        <w:pStyle w:val="ListParagraph"/>
        <w:numPr>
          <w:ilvl w:val="0"/>
          <w:numId w:val="2"/>
        </w:numPr>
        <w:spacing w:after="60"/>
        <w:rPr>
          <w:color w:val="FF0000"/>
        </w:rPr>
      </w:pPr>
      <w:r w:rsidRPr="00240B2A">
        <w:rPr>
          <w:color w:val="FF0000"/>
        </w:rPr>
        <w:t xml:space="preserve">Likely to be a significant </w:t>
      </w:r>
      <w:r w:rsidRPr="00240B2A">
        <w:rPr>
          <w:b/>
          <w:color w:val="FF0000"/>
        </w:rPr>
        <w:t>leakage of profit</w:t>
      </w:r>
      <w:r w:rsidRPr="00240B2A">
        <w:rPr>
          <w:color w:val="FF0000"/>
        </w:rPr>
        <w:t xml:space="preserve"> to the external reinsurer</w:t>
      </w:r>
    </w:p>
    <w:p w14:paraId="3F24D9A2" w14:textId="0E9F9F3C" w:rsidR="00767EB2" w:rsidRDefault="00767EB2" w:rsidP="00183A4C">
      <w:pPr>
        <w:pStyle w:val="ListParagraph"/>
        <w:numPr>
          <w:ilvl w:val="0"/>
          <w:numId w:val="2"/>
        </w:numPr>
        <w:spacing w:after="60"/>
      </w:pPr>
      <w:r>
        <w:t xml:space="preserve">The </w:t>
      </w:r>
      <w:r w:rsidRPr="00240B2A">
        <w:rPr>
          <w:color w:val="FF0000"/>
        </w:rPr>
        <w:t>reinsurance arrangement would need to be explained to the regulator</w:t>
      </w:r>
    </w:p>
    <w:p w14:paraId="03BDF0F9" w14:textId="6A3B23FC" w:rsidR="00767EB2" w:rsidRDefault="00767EB2" w:rsidP="00183A4C">
      <w:pPr>
        <w:pStyle w:val="ListParagraph"/>
        <w:numPr>
          <w:ilvl w:val="0"/>
          <w:numId w:val="2"/>
        </w:numPr>
        <w:spacing w:after="60"/>
      </w:pPr>
      <w:r>
        <w:lastRenderedPageBreak/>
        <w:t xml:space="preserve">The </w:t>
      </w:r>
      <w:r w:rsidRPr="00240B2A">
        <w:rPr>
          <w:color w:val="FF0000"/>
        </w:rPr>
        <w:t>reinsurance arrangement would need to be justified to be on arm’s length terms to the tax authorities</w:t>
      </w:r>
    </w:p>
    <w:p w14:paraId="28D2411F" w14:textId="05511F0A" w:rsidR="00767EB2" w:rsidRDefault="00767EB2" w:rsidP="00183A4C">
      <w:pPr>
        <w:pStyle w:val="ListParagraph"/>
        <w:numPr>
          <w:ilvl w:val="0"/>
          <w:numId w:val="2"/>
        </w:numPr>
        <w:spacing w:after="60"/>
      </w:pPr>
      <w:r>
        <w:t xml:space="preserve">May </w:t>
      </w:r>
      <w:r w:rsidRPr="00240B2A">
        <w:rPr>
          <w:color w:val="FF0000"/>
        </w:rPr>
        <w:t xml:space="preserve">need some system development </w:t>
      </w:r>
      <w:r>
        <w:t>to ensure the reinsurance contract is appropriately administered.</w:t>
      </w:r>
    </w:p>
    <w:p w14:paraId="3239D7CC" w14:textId="765D774E" w:rsidR="00767EB2" w:rsidRDefault="001B6A08" w:rsidP="00767EB2">
      <w:pPr>
        <w:spacing w:after="60"/>
      </w:pPr>
      <w:r>
        <w:t xml:space="preserve">Regards, </w:t>
      </w:r>
      <w:r w:rsidR="00767EB2">
        <w:t>An Actuary</w:t>
      </w:r>
    </w:p>
    <w:p w14:paraId="3B7DC925" w14:textId="77777777" w:rsidR="00AD3FB9" w:rsidRDefault="00AD3FB9" w:rsidP="003E4C85">
      <w:pPr>
        <w:spacing w:after="60"/>
      </w:pPr>
    </w:p>
    <w:p w14:paraId="7AB6E1A5" w14:textId="2B37404F" w:rsidR="001B6A08" w:rsidRDefault="001B6A08" w:rsidP="003E4C85">
      <w:pPr>
        <w:spacing w:after="60"/>
      </w:pPr>
      <w:r w:rsidRPr="001B6A08">
        <w:rPr>
          <w:b/>
        </w:rPr>
        <w:t xml:space="preserve">Q2 </w:t>
      </w:r>
      <w:r>
        <w:t>a)</w:t>
      </w:r>
      <w:r w:rsidR="003B728B">
        <w:t xml:space="preserve"> </w:t>
      </w:r>
      <w:r w:rsidR="00D6593C">
        <w:t>see spreadsheet</w:t>
      </w:r>
    </w:p>
    <w:p w14:paraId="639A597F" w14:textId="4B99C659" w:rsidR="00AD3FB9" w:rsidRPr="00D6593C" w:rsidRDefault="000F2BD7" w:rsidP="003E4C85">
      <w:pPr>
        <w:spacing w:after="60"/>
        <w:rPr>
          <w:i/>
        </w:rPr>
      </w:pPr>
      <w:r w:rsidRPr="00D6593C">
        <w:rPr>
          <w:i/>
        </w:rPr>
        <w:t>Investment Return (net of tax) = (PL + PCR + Target Surplus) * earning rate</w:t>
      </w:r>
      <w:r w:rsidR="00D6593C">
        <w:rPr>
          <w:i/>
        </w:rPr>
        <w:t xml:space="preserve"> * (1 – tax rate)</w:t>
      </w:r>
    </w:p>
    <w:p w14:paraId="01AAEAFF" w14:textId="77777777" w:rsidR="00D6593C" w:rsidRDefault="00D6593C" w:rsidP="003E4C85">
      <w:pPr>
        <w:spacing w:after="60"/>
      </w:pPr>
    </w:p>
    <w:p w14:paraId="75448423" w14:textId="77777777" w:rsidR="00522870" w:rsidRPr="00522870" w:rsidRDefault="00522870" w:rsidP="00522870">
      <w:pPr>
        <w:spacing w:after="60"/>
        <w:rPr>
          <w:i/>
        </w:rPr>
      </w:pPr>
      <w:r>
        <w:t xml:space="preserve">2b) i. </w:t>
      </w:r>
      <w:r w:rsidRPr="00522870">
        <w:rPr>
          <w:i/>
        </w:rPr>
        <w:t>The two main components driving the EV are:</w:t>
      </w:r>
    </w:p>
    <w:p w14:paraId="608E1CE3" w14:textId="007D98C6" w:rsidR="00522870" w:rsidRDefault="00522870" w:rsidP="00522870">
      <w:pPr>
        <w:pStyle w:val="ListParagraph"/>
        <w:numPr>
          <w:ilvl w:val="0"/>
          <w:numId w:val="6"/>
        </w:numPr>
        <w:spacing w:after="60"/>
      </w:pPr>
      <w:r w:rsidRPr="00522870">
        <w:rPr>
          <w:color w:val="FF0000"/>
        </w:rPr>
        <w:t>the gradual release of the $263m capital supporting the business</w:t>
      </w:r>
      <w:r>
        <w:t>, including investment earnings on this capital;</w:t>
      </w:r>
    </w:p>
    <w:p w14:paraId="1505F961" w14:textId="6C5E0AAD" w:rsidR="00D6593C" w:rsidRDefault="00522870" w:rsidP="00522870">
      <w:pPr>
        <w:pStyle w:val="ListParagraph"/>
        <w:numPr>
          <w:ilvl w:val="0"/>
          <w:numId w:val="6"/>
        </w:numPr>
        <w:spacing w:after="60"/>
      </w:pPr>
      <w:r w:rsidRPr="00522870">
        <w:rPr>
          <w:color w:val="FF0000"/>
        </w:rPr>
        <w:t>an assumption that 5% investment earnings is able to be achieved compared to the discount rate used for liability valuation of 3%</w:t>
      </w:r>
      <w:r>
        <w:t>. This reflects differences between the discount rate requirements for the valuation of policy liabilities and the investment strategy adopted by ANNUITYLIFE.</w:t>
      </w:r>
    </w:p>
    <w:p w14:paraId="21EBC891" w14:textId="63819CFF" w:rsidR="00D11224" w:rsidRPr="00D11224" w:rsidRDefault="00B93D8F" w:rsidP="00D11224">
      <w:pPr>
        <w:spacing w:after="60"/>
        <w:rPr>
          <w:i/>
        </w:rPr>
      </w:pPr>
      <w:r>
        <w:t xml:space="preserve">ii. </w:t>
      </w:r>
      <w:r w:rsidR="00D11224" w:rsidRPr="00D11224">
        <w:rPr>
          <w:i/>
        </w:rPr>
        <w:t>Possible assumptions/allowances which could be changed, if appropriate, include:</w:t>
      </w:r>
    </w:p>
    <w:p w14:paraId="6D7A1E17" w14:textId="77777777" w:rsidR="00D11224" w:rsidRPr="00D11224" w:rsidRDefault="00D11224" w:rsidP="00D11224">
      <w:pPr>
        <w:spacing w:after="60"/>
        <w:rPr>
          <w:b/>
        </w:rPr>
      </w:pPr>
      <w:r w:rsidRPr="00D11224">
        <w:rPr>
          <w:b/>
          <w:color w:val="00B050"/>
        </w:rPr>
        <w:t>Expenses</w:t>
      </w:r>
      <w:r w:rsidRPr="00D11224">
        <w:rPr>
          <w:b/>
        </w:rPr>
        <w:t>:</w:t>
      </w:r>
    </w:p>
    <w:p w14:paraId="00E15A23" w14:textId="0B081B1B" w:rsidR="00D11224" w:rsidRPr="00D11224" w:rsidRDefault="00D11224" w:rsidP="00D11224">
      <w:pPr>
        <w:pStyle w:val="ListParagraph"/>
        <w:numPr>
          <w:ilvl w:val="0"/>
          <w:numId w:val="2"/>
        </w:numPr>
        <w:spacing w:after="60"/>
        <w:rPr>
          <w:color w:val="00B050"/>
        </w:rPr>
      </w:pPr>
      <w:r>
        <w:t xml:space="preserve">It may be that </w:t>
      </w:r>
      <w:r w:rsidRPr="00D11224">
        <w:rPr>
          <w:color w:val="FF0000"/>
        </w:rPr>
        <w:t>there are some expense synergies</w:t>
      </w:r>
      <w:r>
        <w:t xml:space="preserve"> between DIVERSIFIEDLIFE and ANNUITYLIFE such that the </w:t>
      </w:r>
      <w:r w:rsidRPr="00D11224">
        <w:rPr>
          <w:color w:val="00B050"/>
        </w:rPr>
        <w:t>additional expenses incurred to service the annuity policies are less than those assumed in the ANNUITYLIFE EV calculation</w:t>
      </w:r>
      <w:r>
        <w:t xml:space="preserve">. </w:t>
      </w:r>
      <w:r w:rsidRPr="00D11224">
        <w:rPr>
          <w:color w:val="00B050"/>
        </w:rPr>
        <w:t>Reducing expenses would increase distributable profits.</w:t>
      </w:r>
    </w:p>
    <w:p w14:paraId="604B94E7" w14:textId="33E50405" w:rsidR="00D11224" w:rsidRDefault="00D11224" w:rsidP="00D11224">
      <w:pPr>
        <w:pStyle w:val="ListParagraph"/>
        <w:numPr>
          <w:ilvl w:val="0"/>
          <w:numId w:val="2"/>
        </w:numPr>
        <w:spacing w:after="60"/>
      </w:pPr>
      <w:r>
        <w:t xml:space="preserve">In order to reduce the expense assumption </w:t>
      </w:r>
      <w:r w:rsidRPr="00D11224">
        <w:rPr>
          <w:color w:val="FF0000"/>
        </w:rPr>
        <w:t>there would need to be a detailed integration plan put together specifying where the synergies would arise</w:t>
      </w:r>
      <w:r>
        <w:t>. For example, head count reduction by function, system cost savings from migration projects etc.</w:t>
      </w:r>
    </w:p>
    <w:p w14:paraId="4E9C57DB" w14:textId="77777777" w:rsidR="00D11224" w:rsidRPr="00D11224" w:rsidRDefault="00D11224" w:rsidP="00D11224">
      <w:pPr>
        <w:spacing w:after="60"/>
        <w:rPr>
          <w:b/>
          <w:color w:val="FF0000"/>
        </w:rPr>
      </w:pPr>
      <w:r w:rsidRPr="00D11224">
        <w:rPr>
          <w:b/>
          <w:color w:val="FF0000"/>
        </w:rPr>
        <w:t>Capital Benefits:</w:t>
      </w:r>
    </w:p>
    <w:p w14:paraId="5EE34E1D" w14:textId="622F010C" w:rsidR="00D11224" w:rsidRPr="00D11224" w:rsidRDefault="00D11224" w:rsidP="00D11224">
      <w:pPr>
        <w:pStyle w:val="ListParagraph"/>
        <w:numPr>
          <w:ilvl w:val="0"/>
          <w:numId w:val="2"/>
        </w:numPr>
        <w:spacing w:after="60"/>
        <w:rPr>
          <w:color w:val="FF0000"/>
        </w:rPr>
      </w:pPr>
      <w:r>
        <w:t xml:space="preserve">It may be that the </w:t>
      </w:r>
      <w:r w:rsidRPr="00D11224">
        <w:rPr>
          <w:color w:val="FF0000"/>
        </w:rPr>
        <w:t>additional capital required to support the annuities on the DIVERSIFIEDLIFE balance sheet is less than the capital required to support the annuities on a stand-alone basis for ANNUITYLIFE</w:t>
      </w:r>
      <w:r>
        <w:t xml:space="preserve">. If so, </w:t>
      </w:r>
      <w:r w:rsidRPr="00D11224">
        <w:rPr>
          <w:color w:val="FF0000"/>
        </w:rPr>
        <w:t>this would increase the Adjusted Net Worth</w:t>
      </w:r>
      <w:r>
        <w:t xml:space="preserve"> and </w:t>
      </w:r>
      <w:r w:rsidRPr="00D11224">
        <w:rPr>
          <w:color w:val="FF0000"/>
        </w:rPr>
        <w:t>reduce the Value of Inforce business with the net effect being positive due to the discounting effect on the capital</w:t>
      </w:r>
      <w:r>
        <w:t xml:space="preserve">. </w:t>
      </w:r>
      <w:r w:rsidRPr="00D11224">
        <w:rPr>
          <w:color w:val="FF0000"/>
        </w:rPr>
        <w:t>That is, a greater release of capital now with smaller future capital releases.</w:t>
      </w:r>
    </w:p>
    <w:p w14:paraId="51389B68" w14:textId="103F69FE" w:rsidR="00D11224" w:rsidRDefault="00D11224" w:rsidP="00D11224">
      <w:pPr>
        <w:pStyle w:val="ListParagraph"/>
        <w:numPr>
          <w:ilvl w:val="0"/>
          <w:numId w:val="2"/>
        </w:numPr>
        <w:spacing w:after="60"/>
      </w:pPr>
      <w:r w:rsidRPr="00D11224">
        <w:rPr>
          <w:color w:val="FF0000"/>
        </w:rPr>
        <w:t>Diversification benefits could arise due to the relatively low correlation between longevity risk and mortality risk</w:t>
      </w:r>
      <w:r>
        <w:t xml:space="preserve"> or possibly also by improving any interest rate mismatch.</w:t>
      </w:r>
    </w:p>
    <w:p w14:paraId="03AEBBB4" w14:textId="4511660D" w:rsidR="00D11224" w:rsidRPr="00D11224" w:rsidRDefault="00D11224" w:rsidP="00D11224">
      <w:pPr>
        <w:pStyle w:val="ListParagraph"/>
        <w:numPr>
          <w:ilvl w:val="0"/>
          <w:numId w:val="2"/>
        </w:numPr>
        <w:spacing w:after="60"/>
        <w:rPr>
          <w:color w:val="FF0000"/>
        </w:rPr>
      </w:pPr>
      <w:r w:rsidRPr="00D11224">
        <w:rPr>
          <w:color w:val="FF0000"/>
        </w:rPr>
        <w:t>It would be necessary to do a transfer in order to realise any diversification benefits as otherwise the capital calculations would remain separate (if separate statutory funds are maintained).</w:t>
      </w:r>
    </w:p>
    <w:p w14:paraId="6163907A" w14:textId="0F0D6543" w:rsidR="00D11224" w:rsidRDefault="00D11224" w:rsidP="00D11224">
      <w:pPr>
        <w:pStyle w:val="ListParagraph"/>
        <w:numPr>
          <w:ilvl w:val="0"/>
          <w:numId w:val="2"/>
        </w:numPr>
        <w:spacing w:after="60"/>
      </w:pPr>
      <w:r>
        <w:lastRenderedPageBreak/>
        <w:t>It would be necessary to do a pro forma calculation of the capital base and prudential capital amount after the acquisition and subsequent transfer and compare this to the pre-acquisition figures.</w:t>
      </w:r>
    </w:p>
    <w:p w14:paraId="43AA78FA" w14:textId="77777777" w:rsidR="00D11224" w:rsidRPr="00D11224" w:rsidRDefault="00D11224" w:rsidP="00D11224">
      <w:pPr>
        <w:spacing w:after="60"/>
        <w:rPr>
          <w:b/>
          <w:color w:val="00B050"/>
        </w:rPr>
      </w:pPr>
      <w:r w:rsidRPr="00D11224">
        <w:rPr>
          <w:b/>
          <w:color w:val="00B050"/>
        </w:rPr>
        <w:t>Investment Return:</w:t>
      </w:r>
    </w:p>
    <w:p w14:paraId="7DEFF4CB" w14:textId="1A395C75" w:rsidR="00D11224" w:rsidRDefault="00D11224" w:rsidP="00D11224">
      <w:pPr>
        <w:pStyle w:val="ListParagraph"/>
        <w:numPr>
          <w:ilvl w:val="0"/>
          <w:numId w:val="2"/>
        </w:numPr>
        <w:spacing w:after="60"/>
      </w:pPr>
      <w:r>
        <w:t>It may be that the asset mix of predominantly bonds (where credit quality is not mentioned) and the small property portion is more conservative than what DIVERSIFIEDLIFE would prefer to invest in.</w:t>
      </w:r>
    </w:p>
    <w:p w14:paraId="798F181D" w14:textId="009462D1" w:rsidR="00D11224" w:rsidRDefault="00D11224" w:rsidP="00D11224">
      <w:pPr>
        <w:pStyle w:val="ListParagraph"/>
        <w:numPr>
          <w:ilvl w:val="0"/>
          <w:numId w:val="2"/>
        </w:numPr>
        <w:spacing w:after="60"/>
      </w:pPr>
      <w:r>
        <w:t xml:space="preserve">A more aggressive asset mix would tend to increase the assumption for future investment earnings within the VIF (and hence increase the VIF) </w:t>
      </w:r>
      <w:r w:rsidRPr="00D11224">
        <w:rPr>
          <w:color w:val="FF0000"/>
        </w:rPr>
        <w:t>but would also potentially increase capital requirements (which would reduce ANW).</w:t>
      </w:r>
    </w:p>
    <w:p w14:paraId="5ADF901B" w14:textId="2DB85AE9" w:rsidR="00B93D8F" w:rsidRPr="00D11224" w:rsidRDefault="00D11224" w:rsidP="00D11224">
      <w:pPr>
        <w:pStyle w:val="ListParagraph"/>
        <w:numPr>
          <w:ilvl w:val="0"/>
          <w:numId w:val="2"/>
        </w:numPr>
        <w:spacing w:after="60"/>
        <w:rPr>
          <w:color w:val="FF0000"/>
        </w:rPr>
      </w:pPr>
      <w:r w:rsidRPr="00D11224">
        <w:rPr>
          <w:color w:val="FF0000"/>
        </w:rPr>
        <w:t>The net impact of these two effects from a more aggressive asset mix would need to be determined before altering the assumption.</w:t>
      </w:r>
    </w:p>
    <w:p w14:paraId="18D09CCA" w14:textId="77777777" w:rsidR="00D11224" w:rsidRPr="00D11224" w:rsidRDefault="00D11224" w:rsidP="00D11224">
      <w:pPr>
        <w:spacing w:after="60"/>
        <w:rPr>
          <w:b/>
          <w:color w:val="FF0000"/>
        </w:rPr>
      </w:pPr>
      <w:r w:rsidRPr="00D11224">
        <w:rPr>
          <w:b/>
          <w:color w:val="FF0000"/>
        </w:rPr>
        <w:t>Reinsurance:</w:t>
      </w:r>
    </w:p>
    <w:p w14:paraId="161BA683" w14:textId="5C8C239C" w:rsidR="00D11224" w:rsidRPr="002A539B" w:rsidRDefault="00D11224" w:rsidP="00D11224">
      <w:pPr>
        <w:pStyle w:val="ListParagraph"/>
        <w:numPr>
          <w:ilvl w:val="0"/>
          <w:numId w:val="2"/>
        </w:numPr>
        <w:spacing w:after="60"/>
        <w:rPr>
          <w:color w:val="FF0000"/>
        </w:rPr>
      </w:pPr>
      <w:r w:rsidRPr="002A539B">
        <w:rPr>
          <w:color w:val="FF0000"/>
        </w:rPr>
        <w:t>It may be that a reinsurance structure could be put in place to reduce the capital requirement and hence increase EV. For example, reinsuring the longevity risk via a longevity swap.</w:t>
      </w:r>
    </w:p>
    <w:p w14:paraId="3DCF9AC0" w14:textId="4B94507D" w:rsidR="00D11224" w:rsidRPr="002A539B" w:rsidRDefault="00D11224" w:rsidP="00D11224">
      <w:pPr>
        <w:pStyle w:val="ListParagraph"/>
        <w:numPr>
          <w:ilvl w:val="0"/>
          <w:numId w:val="2"/>
        </w:numPr>
        <w:spacing w:after="60"/>
        <w:rPr>
          <w:color w:val="FF0000"/>
        </w:rPr>
      </w:pPr>
      <w:r w:rsidRPr="002A539B">
        <w:rPr>
          <w:color w:val="FF0000"/>
        </w:rPr>
        <w:t>It would be necessary to first obtain an indicative quote from a reinsurer to determine what premium would need to be transferred to the reinsurer for the risk transfer.</w:t>
      </w:r>
    </w:p>
    <w:p w14:paraId="60708333" w14:textId="77777777" w:rsidR="00D11224" w:rsidRPr="002A539B" w:rsidRDefault="00D11224" w:rsidP="00D11224">
      <w:pPr>
        <w:spacing w:after="60"/>
        <w:rPr>
          <w:b/>
          <w:color w:val="FF0000"/>
        </w:rPr>
      </w:pPr>
      <w:r w:rsidRPr="002A539B">
        <w:rPr>
          <w:b/>
          <w:color w:val="FF0000"/>
        </w:rPr>
        <w:t>Imputation Credits:</w:t>
      </w:r>
    </w:p>
    <w:p w14:paraId="5766385B" w14:textId="576D015C" w:rsidR="00D11224" w:rsidRDefault="00D11224" w:rsidP="00D11224">
      <w:pPr>
        <w:pStyle w:val="ListParagraph"/>
        <w:numPr>
          <w:ilvl w:val="0"/>
          <w:numId w:val="2"/>
        </w:numPr>
        <w:spacing w:after="60"/>
      </w:pPr>
      <w:r>
        <w:t>It is possible depending on the ownership structure of DIVERSIFIEDLIFE for Imputation Credits to be recognised as increasing the EV of ANNUITYLIFE. Imputation credits are tax benefits that are passed to shareholders with their dividend distribution. Shareholders may utilise these credits to reduce their own tax liability.</w:t>
      </w:r>
    </w:p>
    <w:p w14:paraId="078CEC6E" w14:textId="3071DAE5" w:rsidR="00D11224" w:rsidRDefault="00D11224" w:rsidP="00D11224">
      <w:pPr>
        <w:pStyle w:val="ListParagraph"/>
        <w:numPr>
          <w:ilvl w:val="0"/>
          <w:numId w:val="2"/>
        </w:numPr>
        <w:spacing w:after="60"/>
      </w:pPr>
      <w:r>
        <w:t>However, not all shareholders can do this. Foreign shareholders generally are not able to obtain any value from imputation credits.</w:t>
      </w:r>
    </w:p>
    <w:p w14:paraId="4456E49E" w14:textId="2F4CE102" w:rsidR="00D11224" w:rsidRDefault="00D11224" w:rsidP="00D11224">
      <w:pPr>
        <w:pStyle w:val="ListParagraph"/>
        <w:numPr>
          <w:ilvl w:val="0"/>
          <w:numId w:val="2"/>
        </w:numPr>
        <w:spacing w:after="60"/>
      </w:pPr>
      <w:r>
        <w:t>It would be necessary to consider the ownership structure of DIVERSIFIEDLIFE, particularly the proportion of overseas shareholders, and determine an appropriate level of usage of imputation credits. Typically only a proportion of imputation credits are valued in an EV.</w:t>
      </w:r>
    </w:p>
    <w:p w14:paraId="548D6521" w14:textId="77777777" w:rsidR="00D11224" w:rsidRPr="00D11224" w:rsidRDefault="00D11224" w:rsidP="00D11224">
      <w:pPr>
        <w:spacing w:after="60"/>
        <w:rPr>
          <w:b/>
          <w:color w:val="FF0000"/>
        </w:rPr>
      </w:pPr>
      <w:r w:rsidRPr="00D11224">
        <w:rPr>
          <w:b/>
          <w:color w:val="FF0000"/>
        </w:rPr>
        <w:t>Risk Discount Rate:</w:t>
      </w:r>
    </w:p>
    <w:p w14:paraId="4F6D73C3" w14:textId="539E92FB" w:rsidR="00D11224" w:rsidRDefault="00D11224" w:rsidP="00D11224">
      <w:pPr>
        <w:pStyle w:val="ListParagraph"/>
        <w:numPr>
          <w:ilvl w:val="0"/>
          <w:numId w:val="2"/>
        </w:numPr>
        <w:spacing w:after="60"/>
      </w:pPr>
      <w:r w:rsidRPr="002A539B">
        <w:rPr>
          <w:color w:val="FF0000"/>
        </w:rPr>
        <w:t>A lower risk discount rate will increase the EV</w:t>
      </w:r>
      <w:r>
        <w:t xml:space="preserve">, as the future distributable profits and capital are discounted at a lower rate </w:t>
      </w:r>
      <w:r w:rsidRPr="002A539B">
        <w:rPr>
          <w:color w:val="FF0000"/>
        </w:rPr>
        <w:t>increasing the value of the VIF</w:t>
      </w:r>
      <w:r>
        <w:t>.</w:t>
      </w:r>
    </w:p>
    <w:p w14:paraId="34FED256" w14:textId="58BC3D6B" w:rsidR="00D11224" w:rsidRPr="002A539B" w:rsidRDefault="00D11224" w:rsidP="00D11224">
      <w:pPr>
        <w:pStyle w:val="ListParagraph"/>
        <w:numPr>
          <w:ilvl w:val="0"/>
          <w:numId w:val="2"/>
        </w:numPr>
        <w:spacing w:after="60"/>
        <w:rPr>
          <w:color w:val="FF0000"/>
        </w:rPr>
      </w:pPr>
      <w:r>
        <w:t xml:space="preserve">The risk discount rate is usually set at a margin above the risk free rate, with margins between 3% and 5% commonly used. </w:t>
      </w:r>
      <w:r w:rsidRPr="002A539B">
        <w:rPr>
          <w:color w:val="FF0000"/>
        </w:rPr>
        <w:t xml:space="preserve">The risk discount rate used to value ANNUITYLIFE’s EV is 10%, which is significantly higher than the 3% rate used to discount the policy liabilities. This high rate may </w:t>
      </w:r>
      <w:r w:rsidRPr="002A539B">
        <w:rPr>
          <w:b/>
          <w:color w:val="FF0000"/>
        </w:rPr>
        <w:t>represent a high profit volatility or investment and other risks</w:t>
      </w:r>
      <w:r w:rsidRPr="002A539B">
        <w:rPr>
          <w:color w:val="FF0000"/>
        </w:rPr>
        <w:t xml:space="preserve"> associated with ANNUITYLIFE.</w:t>
      </w:r>
    </w:p>
    <w:p w14:paraId="213CAF52" w14:textId="15EADD15" w:rsidR="00D6593C" w:rsidRDefault="00D11224" w:rsidP="003E4C85">
      <w:pPr>
        <w:pStyle w:val="ListParagraph"/>
        <w:numPr>
          <w:ilvl w:val="0"/>
          <w:numId w:val="2"/>
        </w:numPr>
        <w:spacing w:after="60"/>
      </w:pPr>
      <w:r>
        <w:lastRenderedPageBreak/>
        <w:t xml:space="preserve">It would be necessary for DIVSIFIEDLIFE to </w:t>
      </w:r>
      <w:r w:rsidRPr="002A539B">
        <w:rPr>
          <w:color w:val="FF0000"/>
        </w:rPr>
        <w:t xml:space="preserve">consider whether its profit volatility and/or associated risks are lower when the annuity book is combined with its other businesses. </w:t>
      </w:r>
      <w:r>
        <w:t xml:space="preserve">While DIVERSIFIEDLIFE do not have any annuities, it is a large company with a large portfolio of group and YRT business. </w:t>
      </w:r>
      <w:r w:rsidRPr="002A539B">
        <w:rPr>
          <w:color w:val="FF0000"/>
        </w:rPr>
        <w:t>Overall risk may be reduced given the natural offset between longevity risk and mortality risk</w:t>
      </w:r>
      <w:r>
        <w:t>.</w:t>
      </w:r>
    </w:p>
    <w:p w14:paraId="6E302506" w14:textId="77777777" w:rsidR="000E00D1" w:rsidRDefault="000E00D1" w:rsidP="000E00D1">
      <w:pPr>
        <w:pStyle w:val="ListParagraph"/>
        <w:spacing w:after="60"/>
        <w:ind w:left="1080"/>
      </w:pPr>
    </w:p>
    <w:p w14:paraId="23D7F82F" w14:textId="25702A63" w:rsidR="00522870" w:rsidRDefault="000E00D1" w:rsidP="003E4C85">
      <w:pPr>
        <w:spacing w:after="60"/>
      </w:pPr>
      <w:r>
        <w:t>2c)</w:t>
      </w:r>
      <w:r w:rsidR="00585EC8">
        <w:t xml:space="preserve"> i. see spreadsheet</w:t>
      </w:r>
    </w:p>
    <w:p w14:paraId="1034F9BE" w14:textId="77777777" w:rsidR="00585EC8" w:rsidRDefault="00585EC8" w:rsidP="00585EC8">
      <w:pPr>
        <w:spacing w:after="60"/>
      </w:pPr>
      <w:r>
        <w:t>ii. The ANW falls by the full amount of the target surplus as this now forms a constraint on what is immediately distributable.</w:t>
      </w:r>
    </w:p>
    <w:p w14:paraId="5B5D95A9" w14:textId="77777777" w:rsidR="00585EC8" w:rsidRDefault="00585EC8" w:rsidP="00585EC8">
      <w:pPr>
        <w:spacing w:after="60"/>
      </w:pPr>
      <w:r>
        <w:t>The VIF increases but not by as much as the fall in the ANW. This is because the target surplus is only returned slowly over time and earns an investment earning rate lower than the risk discount rate.</w:t>
      </w:r>
    </w:p>
    <w:p w14:paraId="5B16EBF5" w14:textId="3043519B" w:rsidR="00585EC8" w:rsidRDefault="00585EC8" w:rsidP="00585EC8">
      <w:pPr>
        <w:spacing w:after="60"/>
      </w:pPr>
      <w:r w:rsidRPr="00585EC8">
        <w:rPr>
          <w:color w:val="FF0000"/>
        </w:rPr>
        <w:t xml:space="preserve">The ANW is now negative, reflecting a capital injection is required </w:t>
      </w:r>
      <w:r>
        <w:t>if the stated amount of target surplus needs to be held (as there are insufficient net assets to provide for both the PCA and target surplus).</w:t>
      </w:r>
    </w:p>
    <w:p w14:paraId="219E7FA7" w14:textId="77777777" w:rsidR="00585EC8" w:rsidRDefault="00585EC8" w:rsidP="00585EC8">
      <w:pPr>
        <w:spacing w:after="60"/>
      </w:pPr>
    </w:p>
    <w:p w14:paraId="5893E310" w14:textId="246041C3" w:rsidR="00585EC8" w:rsidRDefault="00585EC8" w:rsidP="00585EC8">
      <w:pPr>
        <w:spacing w:after="60"/>
      </w:pPr>
      <w:r>
        <w:t xml:space="preserve">2d) </w:t>
      </w:r>
      <w:r w:rsidR="00AA1AEF">
        <w:t xml:space="preserve">i. </w:t>
      </w:r>
      <w:r w:rsidR="00AA1AEF">
        <w:rPr>
          <w:i/>
        </w:rPr>
        <w:t>EV roll-</w:t>
      </w:r>
      <w:r w:rsidR="00AA1AEF" w:rsidRPr="00AA1AEF">
        <w:rPr>
          <w:i/>
        </w:rPr>
        <w:t>forward:</w:t>
      </w:r>
      <w:r w:rsidR="00AA1AEF" w:rsidRPr="00AA1AEF">
        <w:rPr>
          <w:noProof/>
        </w:rPr>
        <w:drawing>
          <wp:inline distT="0" distB="0" distL="0" distR="0" wp14:anchorId="1ADBBC8A" wp14:editId="7AF0CE1D">
            <wp:extent cx="5486400" cy="263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33544"/>
                    </a:xfrm>
                    <a:prstGeom prst="rect">
                      <a:avLst/>
                    </a:prstGeom>
                    <a:noFill/>
                    <a:ln>
                      <a:noFill/>
                    </a:ln>
                  </pic:spPr>
                </pic:pic>
              </a:graphicData>
            </a:graphic>
          </wp:inline>
        </w:drawing>
      </w:r>
    </w:p>
    <w:p w14:paraId="679DEE27" w14:textId="77777777" w:rsidR="00585EC8" w:rsidRDefault="00585EC8" w:rsidP="003E4C85">
      <w:pPr>
        <w:spacing w:after="60"/>
      </w:pPr>
    </w:p>
    <w:p w14:paraId="7DFCCB9B" w14:textId="77777777" w:rsidR="005E7468" w:rsidRDefault="00AA1AEF" w:rsidP="005E7468">
      <w:pPr>
        <w:spacing w:after="60"/>
      </w:pPr>
      <w:r>
        <w:t xml:space="preserve">ii. </w:t>
      </w:r>
      <w:r w:rsidR="005E7468">
        <w:t>Dear CEO,</w:t>
      </w:r>
    </w:p>
    <w:p w14:paraId="661BE355" w14:textId="77777777" w:rsidR="005E7468" w:rsidRDefault="005E7468" w:rsidP="005E7468">
      <w:pPr>
        <w:spacing w:after="60"/>
      </w:pPr>
      <w:r>
        <w:t>I am writing to inform you of the change in Embedded Value (EV) of ANNUITYLIFE during the period from 31 Dec 2016 to 31 Dec 2017. The key changes were as follows:</w:t>
      </w:r>
    </w:p>
    <w:p w14:paraId="56ED1A01" w14:textId="77777777" w:rsidR="005E7468" w:rsidRDefault="005E7468" w:rsidP="005E7468">
      <w:pPr>
        <w:spacing w:after="60"/>
      </w:pPr>
      <w:r>
        <w:t>EV at 31 Dec 2016 of $387m</w:t>
      </w:r>
    </w:p>
    <w:p w14:paraId="610B884E" w14:textId="77777777" w:rsidR="005E7468" w:rsidRPr="005E7468" w:rsidRDefault="005E7468" w:rsidP="005E7468">
      <w:pPr>
        <w:spacing w:after="60"/>
        <w:rPr>
          <w:b/>
          <w:color w:val="FF0000"/>
        </w:rPr>
      </w:pPr>
      <w:r w:rsidRPr="005E7468">
        <w:rPr>
          <w:b/>
          <w:color w:val="FF0000"/>
        </w:rPr>
        <w:t>Expected change in EV of +$38m:</w:t>
      </w:r>
    </w:p>
    <w:p w14:paraId="1279006A" w14:textId="77777777" w:rsidR="005E7468" w:rsidRDefault="005E7468" w:rsidP="005E7468">
      <w:pPr>
        <w:pStyle w:val="ListParagraph"/>
        <w:numPr>
          <w:ilvl w:val="0"/>
          <w:numId w:val="13"/>
        </w:numPr>
        <w:spacing w:after="60"/>
      </w:pPr>
      <w:r>
        <w:t>This relates to the increase in EV which is expected purely as a result of the passing of time and the fact that one less year of discounting needs to be applied to the cash flows.</w:t>
      </w:r>
    </w:p>
    <w:p w14:paraId="4711A173" w14:textId="77777777" w:rsidR="005E7468" w:rsidRPr="005E7468" w:rsidRDefault="005E7468" w:rsidP="005E7468">
      <w:pPr>
        <w:spacing w:after="60"/>
        <w:rPr>
          <w:b/>
        </w:rPr>
      </w:pPr>
      <w:r w:rsidRPr="005E7468">
        <w:rPr>
          <w:b/>
        </w:rPr>
        <w:lastRenderedPageBreak/>
        <w:t>Expected 2017 profit and capital release</w:t>
      </w:r>
    </w:p>
    <w:p w14:paraId="0A6B826F" w14:textId="77777777" w:rsidR="005E7468" w:rsidRDefault="005E7468" w:rsidP="005E7468">
      <w:pPr>
        <w:pStyle w:val="ListParagraph"/>
        <w:numPr>
          <w:ilvl w:val="0"/>
          <w:numId w:val="13"/>
        </w:numPr>
        <w:spacing w:after="60"/>
      </w:pPr>
      <w:r>
        <w:t>There is no impact on the EV from the expected 2017 profit and expected release of capital as the business runs off an additional year. This is because it has been taken into account in determining the EV last year.</w:t>
      </w:r>
    </w:p>
    <w:p w14:paraId="5977A501" w14:textId="77777777" w:rsidR="005E7468" w:rsidRPr="005E7468" w:rsidRDefault="005E7468" w:rsidP="005E7468">
      <w:pPr>
        <w:spacing w:after="60"/>
        <w:rPr>
          <w:b/>
        </w:rPr>
      </w:pPr>
      <w:r w:rsidRPr="005E7468">
        <w:rPr>
          <w:b/>
        </w:rPr>
        <w:t>Expense experience variance of ($1m):</w:t>
      </w:r>
    </w:p>
    <w:p w14:paraId="5E01F88B" w14:textId="77777777" w:rsidR="005E7468" w:rsidRDefault="005E7468" w:rsidP="005E7468">
      <w:pPr>
        <w:pStyle w:val="ListParagraph"/>
        <w:numPr>
          <w:ilvl w:val="0"/>
          <w:numId w:val="13"/>
        </w:numPr>
        <w:spacing w:after="60"/>
      </w:pPr>
      <w:r>
        <w:t xml:space="preserve">This relates to the additional expenses paid out over the past 12 months (after tax) of $1,500 per policy, compared with the assumed expense outflow of $1,200 per policy which was incorporated in the 31 Dec 2016 projection. That is, the actual profit after tax over 2017 was less than expected a year ago by $1m due to higher expenses, which </w:t>
      </w:r>
      <w:r w:rsidRPr="000131AB">
        <w:rPr>
          <w:color w:val="FF0000"/>
        </w:rPr>
        <w:t xml:space="preserve">directly reduces the net assets </w:t>
      </w:r>
      <w:r>
        <w:t>of ANNUITYLIFE.</w:t>
      </w:r>
    </w:p>
    <w:p w14:paraId="0CA8DCE4" w14:textId="77777777" w:rsidR="005E7468" w:rsidRPr="005E7468" w:rsidRDefault="005E7468" w:rsidP="005E7468">
      <w:pPr>
        <w:spacing w:after="60"/>
        <w:rPr>
          <w:b/>
        </w:rPr>
      </w:pPr>
      <w:r w:rsidRPr="005E7468">
        <w:rPr>
          <w:b/>
        </w:rPr>
        <w:t>Impact of investment earnings assumption change of ($110m):</w:t>
      </w:r>
    </w:p>
    <w:p w14:paraId="452EDBFD" w14:textId="77777777" w:rsidR="005E7468" w:rsidRDefault="005E7468" w:rsidP="005E7468">
      <w:pPr>
        <w:pStyle w:val="ListParagraph"/>
        <w:numPr>
          <w:ilvl w:val="0"/>
          <w:numId w:val="13"/>
        </w:numPr>
        <w:spacing w:after="60"/>
      </w:pPr>
      <w:r w:rsidRPr="000131AB">
        <w:rPr>
          <w:color w:val="FF0000"/>
        </w:rPr>
        <w:t xml:space="preserve">This has no immediate impact on the net assets of ANNUITYLIFE, but reduces the future distributable profits due to lower investment returns expected to be earned on the reserves and capital </w:t>
      </w:r>
      <w:r>
        <w:t>of ANNUITYLIFE (4% p.a., down from 5% p.a.). This has a large impact due to the size of the policy liability and capital held.</w:t>
      </w:r>
    </w:p>
    <w:p w14:paraId="31BA457D" w14:textId="77777777" w:rsidR="005E7468" w:rsidRPr="005E7468" w:rsidRDefault="005E7468" w:rsidP="005E7468">
      <w:pPr>
        <w:spacing w:after="60"/>
        <w:rPr>
          <w:b/>
        </w:rPr>
      </w:pPr>
      <w:r w:rsidRPr="005E7468">
        <w:rPr>
          <w:b/>
        </w:rPr>
        <w:t>Impact of mortality assumption change of ($44m):</w:t>
      </w:r>
    </w:p>
    <w:p w14:paraId="52089850" w14:textId="77777777" w:rsidR="005E7468" w:rsidRDefault="005E7468" w:rsidP="005E7468">
      <w:pPr>
        <w:pStyle w:val="ListParagraph"/>
        <w:numPr>
          <w:ilvl w:val="0"/>
          <w:numId w:val="13"/>
        </w:numPr>
        <w:spacing w:after="60"/>
      </w:pPr>
      <w:r>
        <w:t xml:space="preserve">This relates to an expectation of higher future annuity benefits being paid out to policyholders as a result of policyholders expected to live longer. </w:t>
      </w:r>
      <w:r w:rsidRPr="000131AB">
        <w:rPr>
          <w:color w:val="FF0000"/>
        </w:rPr>
        <w:t>Due to the business being in loss recognition it is required to increase the policy liability immediately for this assumption change meaning the net assets are reduced now</w:t>
      </w:r>
      <w:r>
        <w:t xml:space="preserve">. </w:t>
      </w:r>
      <w:r w:rsidRPr="000131AB">
        <w:rPr>
          <w:color w:val="FF0000"/>
        </w:rPr>
        <w:t>This also results in an increased capital requirement, reducing the free assets further</w:t>
      </w:r>
      <w:r>
        <w:t>, but these are expected to be released gradually if experience emerges in line with the (revised) assumptions.</w:t>
      </w:r>
    </w:p>
    <w:p w14:paraId="301EA64C" w14:textId="77777777" w:rsidR="00D6593C" w:rsidRDefault="00D6593C" w:rsidP="003E4C85">
      <w:pPr>
        <w:spacing w:after="60"/>
      </w:pPr>
    </w:p>
    <w:p w14:paraId="33683ACC" w14:textId="18B2C1CB" w:rsidR="00AD3FB9" w:rsidRDefault="00A66A55" w:rsidP="003E4C85">
      <w:pPr>
        <w:spacing w:after="60"/>
      </w:pPr>
      <w:r w:rsidRPr="00A66A55">
        <w:rPr>
          <w:b/>
        </w:rPr>
        <w:t>Q3</w:t>
      </w:r>
      <w:r>
        <w:t xml:space="preserve"> a)</w:t>
      </w:r>
      <w:r w:rsidR="00051D92">
        <w:t xml:space="preserve"> Estimate the PL for new business</w:t>
      </w:r>
      <w:r w:rsidR="00145332">
        <w:t xml:space="preserve"> </w:t>
      </w:r>
    </w:p>
    <w:p w14:paraId="478D47C0" w14:textId="77777777" w:rsidR="00051D92" w:rsidRDefault="00051D92" w:rsidP="00051D92">
      <w:pPr>
        <w:spacing w:after="60"/>
      </w:pPr>
      <w:r>
        <w:t>MEMORANDUM</w:t>
      </w:r>
    </w:p>
    <w:p w14:paraId="12067ED3" w14:textId="77777777" w:rsidR="00051D92" w:rsidRDefault="00051D92" w:rsidP="00051D92">
      <w:pPr>
        <w:spacing w:after="60"/>
      </w:pPr>
      <w:r>
        <w:t>TO: CFO, STARLIFE</w:t>
      </w:r>
    </w:p>
    <w:p w14:paraId="1E3C119D" w14:textId="77777777" w:rsidR="00051D92" w:rsidRDefault="00051D92" w:rsidP="00051D92">
      <w:pPr>
        <w:spacing w:after="60"/>
      </w:pPr>
      <w:r>
        <w:t>FROM: Valuation &amp; Capital Actuary</w:t>
      </w:r>
    </w:p>
    <w:p w14:paraId="017C66EA" w14:textId="77777777" w:rsidR="00051D92" w:rsidRDefault="00051D92" w:rsidP="00051D92">
      <w:pPr>
        <w:spacing w:after="60"/>
      </w:pPr>
      <w:r>
        <w:t>SUBJECT: New Business Policy Liability Approach for Monthly Valuations</w:t>
      </w:r>
    </w:p>
    <w:p w14:paraId="1C84DF4C" w14:textId="77777777" w:rsidR="00051D92" w:rsidRDefault="00051D92" w:rsidP="00051D92">
      <w:pPr>
        <w:spacing w:after="60"/>
      </w:pPr>
      <w:r>
        <w:t>Dear Ms. CFO:</w:t>
      </w:r>
    </w:p>
    <w:p w14:paraId="30773A9B" w14:textId="77777777" w:rsidR="00051D92" w:rsidRDefault="00051D92" w:rsidP="00051D92">
      <w:pPr>
        <w:spacing w:after="60"/>
      </w:pPr>
      <w:r>
        <w:t xml:space="preserve">In the absence of full projection result and to meet the Working Day 4 time frame for month-ends not falling on a quarter-end, we would like to propose the following </w:t>
      </w:r>
      <w:r w:rsidRPr="00051D92">
        <w:rPr>
          <w:b/>
          <w:color w:val="FF0000"/>
        </w:rPr>
        <w:t>accumulation approach</w:t>
      </w:r>
      <w:r>
        <w:t xml:space="preserve"> to be adopted for valuing the policy liability for policies joining since the previous quarter-end.</w:t>
      </w:r>
    </w:p>
    <w:p w14:paraId="69102309" w14:textId="44936671" w:rsidR="00051D92" w:rsidRPr="00F23019" w:rsidRDefault="00F23019" w:rsidP="00051D92">
      <w:pPr>
        <w:spacing w:after="60"/>
        <w:rPr>
          <w:b/>
          <w:i/>
        </w:rPr>
      </w:pPr>
      <w:r w:rsidRPr="00F23019">
        <w:rPr>
          <w:b/>
          <w:i/>
        </w:rPr>
        <w:t>i.</w:t>
      </w:r>
      <w:r w:rsidR="00051D92" w:rsidRPr="00F23019">
        <w:rPr>
          <w:b/>
          <w:i/>
        </w:rPr>
        <w:t xml:space="preserve"> Approach Overview</w:t>
      </w:r>
    </w:p>
    <w:p w14:paraId="2B1D06D8" w14:textId="77777777" w:rsidR="00051D92" w:rsidRDefault="00051D92" w:rsidP="00051D92">
      <w:pPr>
        <w:spacing w:after="60"/>
      </w:pPr>
      <w:r>
        <w:t>The policy liability (net of reinsurance) for policies joining since the previous quarter-end will be determined as follows:</w:t>
      </w:r>
    </w:p>
    <w:p w14:paraId="139C644A" w14:textId="77777777" w:rsidR="00051D92" w:rsidRPr="00051D92" w:rsidRDefault="00051D92" w:rsidP="00051D92">
      <w:pPr>
        <w:spacing w:after="60"/>
        <w:rPr>
          <w:b/>
        </w:rPr>
      </w:pPr>
      <w:r w:rsidRPr="00051D92">
        <w:rPr>
          <w:b/>
        </w:rPr>
        <w:t>APPROACH 1</w:t>
      </w:r>
    </w:p>
    <w:p w14:paraId="71C019DC" w14:textId="77777777" w:rsidR="00051D92" w:rsidRDefault="00051D92" w:rsidP="00051D92">
      <w:pPr>
        <w:spacing w:after="60"/>
      </w:pPr>
      <w:r>
        <w:lastRenderedPageBreak/>
        <w:t xml:space="preserve">Determine the policy liability by </w:t>
      </w:r>
      <w:r w:rsidRPr="00051D92">
        <w:rPr>
          <w:color w:val="FF0000"/>
        </w:rPr>
        <w:t xml:space="preserve">assuming the actual profit over the period from these policies </w:t>
      </w:r>
      <w:r>
        <w:t xml:space="preserve">(as a % of actual premiums) </w:t>
      </w:r>
      <w:r w:rsidRPr="00051D92">
        <w:rPr>
          <w:color w:val="FF0000"/>
        </w:rPr>
        <w:t xml:space="preserve">is the same as the expected profit </w:t>
      </w:r>
      <w:r>
        <w:t>(as a % of expected premiums), i.e. determine policy liability as:</w:t>
      </w:r>
    </w:p>
    <w:p w14:paraId="71AD08DA" w14:textId="772986DC" w:rsidR="00051D92" w:rsidRDefault="00051D92" w:rsidP="00051D92">
      <w:pPr>
        <w:pStyle w:val="ListParagraph"/>
        <w:numPr>
          <w:ilvl w:val="0"/>
          <w:numId w:val="13"/>
        </w:numPr>
        <w:spacing w:after="0"/>
      </w:pPr>
      <w:r w:rsidRPr="00051D92">
        <w:rPr>
          <w:color w:val="FF0000"/>
        </w:rPr>
        <w:t xml:space="preserve">Actual </w:t>
      </w:r>
      <w:r>
        <w:t>gross premium received;</w:t>
      </w:r>
    </w:p>
    <w:p w14:paraId="16397DAC" w14:textId="737C2F7B" w:rsidR="00051D92" w:rsidRDefault="00051D92" w:rsidP="00051D92">
      <w:pPr>
        <w:pStyle w:val="ListParagraph"/>
        <w:numPr>
          <w:ilvl w:val="0"/>
          <w:numId w:val="13"/>
        </w:numPr>
        <w:spacing w:after="0"/>
      </w:pPr>
      <w:r>
        <w:t xml:space="preserve">Less </w:t>
      </w:r>
      <w:r w:rsidRPr="00051D92">
        <w:rPr>
          <w:color w:val="FF0000"/>
        </w:rPr>
        <w:t xml:space="preserve">Actual </w:t>
      </w:r>
      <w:r>
        <w:t>gross claims (claims incurred, but see below for further discussion);</w:t>
      </w:r>
    </w:p>
    <w:p w14:paraId="3696E74F" w14:textId="0EAA75CE" w:rsidR="00051D92" w:rsidRDefault="00051D92" w:rsidP="00051D92">
      <w:pPr>
        <w:pStyle w:val="ListParagraph"/>
        <w:numPr>
          <w:ilvl w:val="0"/>
          <w:numId w:val="13"/>
        </w:numPr>
        <w:spacing w:after="0"/>
      </w:pPr>
      <w:r>
        <w:t>Less Actual Commission (commission paid or payable);</w:t>
      </w:r>
    </w:p>
    <w:p w14:paraId="56348189" w14:textId="07768F71" w:rsidR="00051D92" w:rsidRDefault="00051D92" w:rsidP="00051D92">
      <w:pPr>
        <w:pStyle w:val="ListParagraph"/>
        <w:numPr>
          <w:ilvl w:val="0"/>
          <w:numId w:val="13"/>
        </w:numPr>
        <w:spacing w:after="0"/>
      </w:pPr>
      <w:r>
        <w:t>Less Other actual acquisition expenses;</w:t>
      </w:r>
    </w:p>
    <w:p w14:paraId="375A5BAE" w14:textId="5B83AAE3" w:rsidR="00051D92" w:rsidRDefault="00051D92" w:rsidP="00051D92">
      <w:pPr>
        <w:pStyle w:val="ListParagraph"/>
        <w:numPr>
          <w:ilvl w:val="0"/>
          <w:numId w:val="13"/>
        </w:numPr>
        <w:spacing w:after="0"/>
      </w:pPr>
      <w:r>
        <w:t>Less Actual non-acquisition expenses;</w:t>
      </w:r>
    </w:p>
    <w:p w14:paraId="207C062B" w14:textId="2F1D3EF7" w:rsidR="00051D92" w:rsidRDefault="00051D92" w:rsidP="00051D92">
      <w:pPr>
        <w:pStyle w:val="ListParagraph"/>
        <w:numPr>
          <w:ilvl w:val="0"/>
          <w:numId w:val="13"/>
        </w:numPr>
        <w:spacing w:after="0"/>
      </w:pPr>
      <w:r>
        <w:t>plus Actual investment income;</w:t>
      </w:r>
    </w:p>
    <w:p w14:paraId="51055EEF" w14:textId="0BE04F37" w:rsidR="00051D92" w:rsidRDefault="00051D92" w:rsidP="00051D92">
      <w:pPr>
        <w:pStyle w:val="ListParagraph"/>
        <w:numPr>
          <w:ilvl w:val="0"/>
          <w:numId w:val="13"/>
        </w:numPr>
        <w:spacing w:after="0"/>
      </w:pPr>
      <w:r>
        <w:t>Less Reinsurance premiums (typically no reinsurance premiums are paid in the first year of a policy, so this is likely to be zero);</w:t>
      </w:r>
    </w:p>
    <w:p w14:paraId="5617E352" w14:textId="0E2F0A8A" w:rsidR="00051D92" w:rsidRDefault="00051D92" w:rsidP="00051D92">
      <w:pPr>
        <w:pStyle w:val="ListParagraph"/>
        <w:numPr>
          <w:ilvl w:val="0"/>
          <w:numId w:val="13"/>
        </w:numPr>
        <w:spacing w:after="0"/>
      </w:pPr>
      <w:r>
        <w:t>plus Reinsurance recoveries on actual claims;</w:t>
      </w:r>
    </w:p>
    <w:p w14:paraId="6D789B3A" w14:textId="187084E3" w:rsidR="00051D92" w:rsidRDefault="00051D92" w:rsidP="00051D92">
      <w:pPr>
        <w:pStyle w:val="ListParagraph"/>
        <w:numPr>
          <w:ilvl w:val="0"/>
          <w:numId w:val="13"/>
        </w:numPr>
        <w:spacing w:after="0"/>
      </w:pPr>
      <w:r>
        <w:t>Less Estimated profit (i.e. expected profit margin release).</w:t>
      </w:r>
    </w:p>
    <w:p w14:paraId="46E7E320" w14:textId="6FD691C5" w:rsidR="00051D92" w:rsidRDefault="00051D92" w:rsidP="00051D92">
      <w:pPr>
        <w:pStyle w:val="ListParagraph"/>
        <w:numPr>
          <w:ilvl w:val="0"/>
          <w:numId w:val="13"/>
        </w:numPr>
        <w:spacing w:after="0"/>
      </w:pPr>
      <w:r>
        <w:t>N.B. all items e.g. investment income are in relation to the policies being valued only</w:t>
      </w:r>
    </w:p>
    <w:p w14:paraId="6867933C" w14:textId="276561B7" w:rsidR="00A66A55" w:rsidRPr="00051D92" w:rsidRDefault="00051D92" w:rsidP="00051D92">
      <w:pPr>
        <w:pStyle w:val="ListParagraph"/>
        <w:numPr>
          <w:ilvl w:val="0"/>
          <w:numId w:val="13"/>
        </w:numPr>
        <w:spacing w:after="0"/>
        <w:rPr>
          <w:color w:val="FF0000"/>
        </w:rPr>
      </w:pPr>
      <w:r w:rsidRPr="00051D92">
        <w:rPr>
          <w:color w:val="FF0000"/>
        </w:rPr>
        <w:t>N.B. No experience profit/loss will emerge under this method.</w:t>
      </w:r>
    </w:p>
    <w:p w14:paraId="0111509C" w14:textId="77777777" w:rsidR="00051D92" w:rsidRDefault="00051D92" w:rsidP="00051D92">
      <w:pPr>
        <w:spacing w:after="60"/>
      </w:pPr>
      <w:r>
        <w:t>OR</w:t>
      </w:r>
    </w:p>
    <w:p w14:paraId="104E32C3" w14:textId="77777777" w:rsidR="00051D92" w:rsidRPr="00051D92" w:rsidRDefault="00051D92" w:rsidP="00051D92">
      <w:pPr>
        <w:spacing w:after="60"/>
        <w:rPr>
          <w:b/>
        </w:rPr>
      </w:pPr>
      <w:r w:rsidRPr="00051D92">
        <w:rPr>
          <w:b/>
        </w:rPr>
        <w:t>APPROACH 2</w:t>
      </w:r>
    </w:p>
    <w:p w14:paraId="22FE1E43" w14:textId="77777777" w:rsidR="00051D92" w:rsidRDefault="00051D92" w:rsidP="00051D92">
      <w:pPr>
        <w:spacing w:after="60"/>
      </w:pPr>
      <w:r>
        <w:t xml:space="preserve">Determine the policy liability similar to the approach above, except </w:t>
      </w:r>
      <w:r w:rsidRPr="00051D92">
        <w:rPr>
          <w:color w:val="FF0000"/>
        </w:rPr>
        <w:t xml:space="preserve">substitute most of the Actual items with Expected items to allow some experience items to come through (e.g. claims), </w:t>
      </w:r>
      <w:r>
        <w:t>i.e. determine policy liability as:</w:t>
      </w:r>
    </w:p>
    <w:p w14:paraId="09DBB0E5" w14:textId="242C69BD" w:rsidR="00051D92" w:rsidRDefault="00051D92" w:rsidP="00051D92">
      <w:pPr>
        <w:pStyle w:val="ListParagraph"/>
        <w:numPr>
          <w:ilvl w:val="0"/>
          <w:numId w:val="13"/>
        </w:numPr>
        <w:spacing w:after="60"/>
      </w:pPr>
      <w:r w:rsidRPr="00051D92">
        <w:rPr>
          <w:color w:val="FF0000"/>
        </w:rPr>
        <w:t xml:space="preserve">Expected </w:t>
      </w:r>
      <w:r>
        <w:t>gross premium received;</w:t>
      </w:r>
    </w:p>
    <w:p w14:paraId="4C1DF408" w14:textId="4347630B" w:rsidR="00051D92" w:rsidRDefault="00051D92" w:rsidP="00051D92">
      <w:pPr>
        <w:pStyle w:val="ListParagraph"/>
        <w:numPr>
          <w:ilvl w:val="0"/>
          <w:numId w:val="13"/>
        </w:numPr>
        <w:spacing w:after="60"/>
      </w:pPr>
      <w:r>
        <w:t xml:space="preserve">Less </w:t>
      </w:r>
      <w:r w:rsidRPr="00051D92">
        <w:rPr>
          <w:color w:val="FF0000"/>
        </w:rPr>
        <w:t xml:space="preserve">Expected </w:t>
      </w:r>
      <w:r>
        <w:t>gross claims (claims incurred, but see below for further discussion);</w:t>
      </w:r>
    </w:p>
    <w:p w14:paraId="3427A6E5" w14:textId="13A85D9F" w:rsidR="00051D92" w:rsidRDefault="00051D92" w:rsidP="00051D92">
      <w:pPr>
        <w:pStyle w:val="ListParagraph"/>
        <w:numPr>
          <w:ilvl w:val="0"/>
          <w:numId w:val="13"/>
        </w:numPr>
        <w:spacing w:after="60"/>
      </w:pPr>
      <w:r>
        <w:t>Less Actual Commission (commission paid or payable);</w:t>
      </w:r>
    </w:p>
    <w:p w14:paraId="703A621A" w14:textId="7BCE5C25" w:rsidR="00051D92" w:rsidRDefault="00051D92" w:rsidP="00051D92">
      <w:pPr>
        <w:pStyle w:val="ListParagraph"/>
        <w:numPr>
          <w:ilvl w:val="0"/>
          <w:numId w:val="13"/>
        </w:numPr>
        <w:spacing w:after="60"/>
      </w:pPr>
      <w:r>
        <w:t>Less Other actual acquisition expenses;</w:t>
      </w:r>
    </w:p>
    <w:p w14:paraId="05316F50" w14:textId="4C850D64" w:rsidR="00051D92" w:rsidRDefault="00051D92" w:rsidP="00051D92">
      <w:pPr>
        <w:pStyle w:val="ListParagraph"/>
        <w:numPr>
          <w:ilvl w:val="0"/>
          <w:numId w:val="13"/>
        </w:numPr>
        <w:spacing w:after="60"/>
      </w:pPr>
      <w:r>
        <w:t xml:space="preserve">Less </w:t>
      </w:r>
      <w:r w:rsidRPr="00051D92">
        <w:rPr>
          <w:color w:val="FF0000"/>
        </w:rPr>
        <w:t xml:space="preserve">Expected </w:t>
      </w:r>
      <w:r>
        <w:t>non-acquisition expenses;</w:t>
      </w:r>
    </w:p>
    <w:p w14:paraId="254530B4" w14:textId="243B0B55" w:rsidR="00051D92" w:rsidRDefault="00051D92" w:rsidP="00051D92">
      <w:pPr>
        <w:pStyle w:val="ListParagraph"/>
        <w:numPr>
          <w:ilvl w:val="0"/>
          <w:numId w:val="13"/>
        </w:numPr>
        <w:spacing w:after="60"/>
      </w:pPr>
      <w:r>
        <w:t xml:space="preserve">plus </w:t>
      </w:r>
      <w:r w:rsidRPr="00051D92">
        <w:rPr>
          <w:color w:val="FF0000"/>
        </w:rPr>
        <w:t xml:space="preserve">Expected </w:t>
      </w:r>
      <w:r>
        <w:t>investment income;</w:t>
      </w:r>
    </w:p>
    <w:p w14:paraId="6A6A3358" w14:textId="098E49AE" w:rsidR="00051D92" w:rsidRDefault="00051D92" w:rsidP="00051D92">
      <w:pPr>
        <w:pStyle w:val="ListParagraph"/>
        <w:numPr>
          <w:ilvl w:val="0"/>
          <w:numId w:val="13"/>
        </w:numPr>
        <w:spacing w:after="60"/>
      </w:pPr>
      <w:r>
        <w:t xml:space="preserve">Less </w:t>
      </w:r>
      <w:r w:rsidRPr="00051D92">
        <w:rPr>
          <w:color w:val="FF0000"/>
        </w:rPr>
        <w:t xml:space="preserve">Expected </w:t>
      </w:r>
      <w:r>
        <w:t>premiums (typically no reinsurance premiums are paid in the first year of a policy, so this is likely to be zero);</w:t>
      </w:r>
    </w:p>
    <w:p w14:paraId="07409B87" w14:textId="5975CA24" w:rsidR="00051D92" w:rsidRDefault="00051D92" w:rsidP="00051D92">
      <w:pPr>
        <w:pStyle w:val="ListParagraph"/>
        <w:numPr>
          <w:ilvl w:val="0"/>
          <w:numId w:val="13"/>
        </w:numPr>
        <w:spacing w:after="60"/>
      </w:pPr>
      <w:r>
        <w:t xml:space="preserve">plus Reinsurance recoveries on </w:t>
      </w:r>
      <w:r w:rsidRPr="00051D92">
        <w:rPr>
          <w:color w:val="FF0000"/>
        </w:rPr>
        <w:t xml:space="preserve">expected </w:t>
      </w:r>
      <w:r>
        <w:t>claims;</w:t>
      </w:r>
    </w:p>
    <w:p w14:paraId="549B3460" w14:textId="1072F436" w:rsidR="00051D92" w:rsidRDefault="00051D92" w:rsidP="00051D92">
      <w:pPr>
        <w:pStyle w:val="ListParagraph"/>
        <w:numPr>
          <w:ilvl w:val="0"/>
          <w:numId w:val="13"/>
        </w:numPr>
        <w:spacing w:after="60"/>
      </w:pPr>
      <w:r>
        <w:t>Less Estimated profit (i.e. expected profit margin release).</w:t>
      </w:r>
    </w:p>
    <w:p w14:paraId="613538C4" w14:textId="77777777" w:rsidR="00051D92" w:rsidRDefault="00051D92" w:rsidP="00051D92">
      <w:pPr>
        <w:pStyle w:val="ListParagraph"/>
        <w:numPr>
          <w:ilvl w:val="0"/>
          <w:numId w:val="14"/>
        </w:numPr>
        <w:spacing w:after="60"/>
      </w:pPr>
      <w:r w:rsidRPr="00051D92">
        <w:rPr>
          <w:color w:val="FF0000"/>
        </w:rPr>
        <w:t>Note: under this method, commissions and acquisition expenses should still be ACTUALS to ensure these are deferred appropriately</w:t>
      </w:r>
      <w:r>
        <w:t>.</w:t>
      </w:r>
    </w:p>
    <w:p w14:paraId="51CF94A3" w14:textId="77777777" w:rsidR="00051D92" w:rsidRDefault="00051D92" w:rsidP="00051D92">
      <w:pPr>
        <w:spacing w:after="60"/>
      </w:pPr>
      <w:r>
        <w:t>OR</w:t>
      </w:r>
    </w:p>
    <w:p w14:paraId="23861E76" w14:textId="77777777" w:rsidR="00051D92" w:rsidRPr="00051D92" w:rsidRDefault="00051D92" w:rsidP="00051D92">
      <w:pPr>
        <w:spacing w:after="60"/>
        <w:rPr>
          <w:b/>
        </w:rPr>
      </w:pPr>
      <w:r w:rsidRPr="00051D92">
        <w:rPr>
          <w:b/>
        </w:rPr>
        <w:t>APPROACH 3</w:t>
      </w:r>
    </w:p>
    <w:p w14:paraId="6B4B6843" w14:textId="77777777" w:rsidR="00051D92" w:rsidRDefault="00051D92" w:rsidP="00051D92">
      <w:pPr>
        <w:spacing w:after="60"/>
      </w:pPr>
      <w:r>
        <w:t>Determine the policy liability as:</w:t>
      </w:r>
    </w:p>
    <w:p w14:paraId="46EBB28C" w14:textId="016AC5BC" w:rsidR="00051D92" w:rsidRDefault="00051D92" w:rsidP="0087411C">
      <w:pPr>
        <w:pStyle w:val="ListParagraph"/>
        <w:numPr>
          <w:ilvl w:val="0"/>
          <w:numId w:val="14"/>
        </w:numPr>
        <w:spacing w:after="60"/>
      </w:pPr>
      <w:r w:rsidRPr="0087411C">
        <w:rPr>
          <w:color w:val="FF0000"/>
        </w:rPr>
        <w:t>Unearned Office Premium</w:t>
      </w:r>
      <w:r>
        <w:t xml:space="preserve"> (i.e. the portion of the last premium paid that represents payment for cover beyond the end of the month being valued, e.g. due to annual prepayments, monthly payments mid-month, etc. – these premiums haven’t yet been earned so must be held as a liability);</w:t>
      </w:r>
    </w:p>
    <w:p w14:paraId="5B2D8764" w14:textId="310F53C9" w:rsidR="00051D92" w:rsidRDefault="00051D92" w:rsidP="0087411C">
      <w:pPr>
        <w:pStyle w:val="ListParagraph"/>
        <w:numPr>
          <w:ilvl w:val="0"/>
          <w:numId w:val="14"/>
        </w:numPr>
        <w:spacing w:after="60"/>
      </w:pPr>
      <w:r w:rsidRPr="0087411C">
        <w:rPr>
          <w:color w:val="FF0000"/>
        </w:rPr>
        <w:lastRenderedPageBreak/>
        <w:t xml:space="preserve">less Unearned Reinsurance Premium </w:t>
      </w:r>
      <w:r>
        <w:t>(same as the above, except for reinsurance premiums. Typically no reinsurance premiums are paid in the first year of a policy, so this is likely to be zero);</w:t>
      </w:r>
    </w:p>
    <w:p w14:paraId="7CAFDBB2" w14:textId="0DC4C385" w:rsidR="00051D92" w:rsidRDefault="00051D92" w:rsidP="0087411C">
      <w:pPr>
        <w:pStyle w:val="ListParagraph"/>
        <w:numPr>
          <w:ilvl w:val="0"/>
          <w:numId w:val="14"/>
        </w:numPr>
        <w:spacing w:after="60"/>
      </w:pPr>
      <w:r w:rsidRPr="0087411C">
        <w:rPr>
          <w:color w:val="FF0000"/>
        </w:rPr>
        <w:t xml:space="preserve">less Estimated Deferred Acquisition Costs </w:t>
      </w:r>
      <w:r>
        <w:t>(this represents the amount of expenses that were incurred and are to be deferred from an accounting perspective, expected to be recovered from future premiums over the life of the policy).</w:t>
      </w:r>
    </w:p>
    <w:p w14:paraId="018C29BD" w14:textId="178BD4EA" w:rsidR="00051D92" w:rsidRDefault="00051D92" w:rsidP="00051D92">
      <w:pPr>
        <w:spacing w:after="60"/>
      </w:pPr>
      <w:r>
        <w:t xml:space="preserve">(Alternatively the Estimated Deferred Acquisition Costs </w:t>
      </w:r>
      <w:r w:rsidR="0087411C">
        <w:t xml:space="preserve">could be reduced by the initial </w:t>
      </w:r>
      <w:r>
        <w:t>reinsurance commission, and the unearned premium adjusted by the unearned gross reinsurance premium.)</w:t>
      </w:r>
    </w:p>
    <w:p w14:paraId="43E5E99D" w14:textId="7929E4B0" w:rsidR="00051D92" w:rsidRDefault="00051D92" w:rsidP="00051D92">
      <w:pPr>
        <w:spacing w:after="60"/>
      </w:pPr>
      <w:r>
        <w:t>(Claims reserves– IBNR, RBNA, CICP – can be included here – or, can be ignored because it is an ‘estimate’ and these items for new business will be quite small, and then this can be listed as a potential disadvantages in part (iii))</w:t>
      </w:r>
    </w:p>
    <w:p w14:paraId="63AF5EF7" w14:textId="77777777" w:rsidR="00051D92" w:rsidRPr="0087411C" w:rsidRDefault="00051D92" w:rsidP="00051D92">
      <w:pPr>
        <w:spacing w:after="60"/>
        <w:rPr>
          <w:b/>
        </w:rPr>
      </w:pPr>
      <w:r w:rsidRPr="0087411C">
        <w:rPr>
          <w:b/>
        </w:rPr>
        <w:t>Additional points:</w:t>
      </w:r>
    </w:p>
    <w:p w14:paraId="59DB0345" w14:textId="6256A49E" w:rsidR="00051D92" w:rsidRDefault="00051D92" w:rsidP="0087411C">
      <w:pPr>
        <w:pStyle w:val="ListParagraph"/>
        <w:numPr>
          <w:ilvl w:val="0"/>
          <w:numId w:val="14"/>
        </w:numPr>
        <w:spacing w:after="60"/>
      </w:pPr>
      <w:r>
        <w:t>The approach proposed would produce the same outcome as a projection approach if the profit margin release/ acquisition expense deferral is valued accurately, but our approach will use certain approximations in order to meet the timetable suggested.</w:t>
      </w:r>
    </w:p>
    <w:p w14:paraId="42194A3A" w14:textId="22FA447D" w:rsidR="00051D92" w:rsidRDefault="00051D92" w:rsidP="0087411C">
      <w:pPr>
        <w:pStyle w:val="ListParagraph"/>
        <w:numPr>
          <w:ilvl w:val="0"/>
          <w:numId w:val="14"/>
        </w:numPr>
        <w:spacing w:after="60"/>
      </w:pPr>
      <w:r>
        <w:t>If the approach uses cash flows (e.g. the first two methods above) then all the types of cash flows that are in the projection model should be accounted for to ensure consistency.</w:t>
      </w:r>
    </w:p>
    <w:p w14:paraId="57373A82" w14:textId="6E631CA3" w:rsidR="00051D92" w:rsidRDefault="00051D92" w:rsidP="00051D92">
      <w:pPr>
        <w:spacing w:after="60"/>
      </w:pPr>
      <w:r>
        <w:t>Note: Another valid approach (which does not utilise the accumulation method) is to use the projection model in conjunction with grouped or approximated model points (since the full policy extract is not available). These model points could be constructed, or the previous quarters’ extract used with appropriate scaling, to reflect new business volumes since the last quarter (e.g. sum insured, premium, policy count).</w:t>
      </w:r>
    </w:p>
    <w:p w14:paraId="4B6B8A5E" w14:textId="77777777" w:rsidR="00051D92" w:rsidRDefault="00051D92" w:rsidP="00051D92">
      <w:pPr>
        <w:spacing w:after="60"/>
      </w:pPr>
    </w:p>
    <w:p w14:paraId="241785AE" w14:textId="4724BCB1" w:rsidR="00F23019" w:rsidRPr="00F23019" w:rsidRDefault="00F23019" w:rsidP="00F23019">
      <w:pPr>
        <w:spacing w:after="60"/>
        <w:rPr>
          <w:b/>
          <w:i/>
        </w:rPr>
      </w:pPr>
      <w:r w:rsidRPr="00F23019">
        <w:rPr>
          <w:b/>
          <w:i/>
        </w:rPr>
        <w:t>ii. Source of Data and Approximations</w:t>
      </w:r>
    </w:p>
    <w:p w14:paraId="3570288C" w14:textId="77777777" w:rsidR="00F23019" w:rsidRPr="00F23019" w:rsidRDefault="00F23019" w:rsidP="00F23019">
      <w:pPr>
        <w:spacing w:after="60"/>
        <w:rPr>
          <w:b/>
        </w:rPr>
      </w:pPr>
      <w:r w:rsidRPr="00F23019">
        <w:rPr>
          <w:b/>
        </w:rPr>
        <w:t>ALL APPROACHES:</w:t>
      </w:r>
    </w:p>
    <w:p w14:paraId="2AD04F83" w14:textId="77777777" w:rsidR="00F23019" w:rsidRPr="00F23019" w:rsidRDefault="00F23019" w:rsidP="00F23019">
      <w:pPr>
        <w:spacing w:after="60"/>
        <w:rPr>
          <w:b/>
        </w:rPr>
      </w:pPr>
      <w:r w:rsidRPr="00F23019">
        <w:rPr>
          <w:b/>
        </w:rPr>
        <w:t>Claims reserves:</w:t>
      </w:r>
    </w:p>
    <w:p w14:paraId="14872777" w14:textId="0D700194" w:rsidR="00F23019" w:rsidRDefault="00F23019" w:rsidP="00F23019">
      <w:pPr>
        <w:pStyle w:val="ListParagraph"/>
        <w:numPr>
          <w:ilvl w:val="0"/>
          <w:numId w:val="14"/>
        </w:numPr>
        <w:spacing w:after="60"/>
      </w:pPr>
      <w:r>
        <w:t>To obtain an accurate view of profit, claims reserves (for incurred claims that have been unreported - IBNR, still awaiting admission - RBNA, or disability claims in payment – CICP/DLR) should be incorporated into the liability.</w:t>
      </w:r>
    </w:p>
    <w:p w14:paraId="2001AFAA" w14:textId="77777777" w:rsidR="00F23019" w:rsidRPr="00EB6C56" w:rsidRDefault="00F23019" w:rsidP="00F23019">
      <w:pPr>
        <w:pStyle w:val="ListParagraph"/>
        <w:numPr>
          <w:ilvl w:val="0"/>
          <w:numId w:val="16"/>
        </w:numPr>
        <w:spacing w:after="60"/>
        <w:rPr>
          <w:color w:val="FF0000"/>
        </w:rPr>
      </w:pPr>
      <w:r>
        <w:t xml:space="preserve">However, </w:t>
      </w:r>
      <w:r w:rsidRPr="00EB6C56">
        <w:rPr>
          <w:color w:val="FF0000"/>
        </w:rPr>
        <w:t>since we are only valuing one or two months’ worth of new business using the approximate method proposed in part a), these are likely to be small so can be assumed to be zero.</w:t>
      </w:r>
    </w:p>
    <w:p w14:paraId="7BBCBF68" w14:textId="3D884819" w:rsidR="00F23019" w:rsidRDefault="00F23019" w:rsidP="00F23019">
      <w:pPr>
        <w:pStyle w:val="ListParagraph"/>
        <w:numPr>
          <w:ilvl w:val="0"/>
          <w:numId w:val="16"/>
        </w:numPr>
        <w:spacing w:after="60"/>
      </w:pPr>
      <w:r>
        <w:t>For approach 1, since the expected profit is emerging, this would implicitly include an allowance for IBNR and RBNA</w:t>
      </w:r>
    </w:p>
    <w:p w14:paraId="1307F0E5" w14:textId="14EDCB8E" w:rsidR="00F23019" w:rsidRPr="00EB6C56" w:rsidRDefault="00F23019" w:rsidP="00F23019">
      <w:pPr>
        <w:pStyle w:val="ListParagraph"/>
        <w:numPr>
          <w:ilvl w:val="0"/>
          <w:numId w:val="16"/>
        </w:numPr>
        <w:spacing w:after="60"/>
        <w:rPr>
          <w:color w:val="FF0000"/>
        </w:rPr>
      </w:pPr>
      <w:r w:rsidRPr="00EB6C56">
        <w:rPr>
          <w:color w:val="FF0000"/>
        </w:rPr>
        <w:t>If a more accurate approach is needed, can approximate:</w:t>
      </w:r>
    </w:p>
    <w:p w14:paraId="32B13B43" w14:textId="369EA18F" w:rsidR="00F23019" w:rsidRDefault="00F23019" w:rsidP="00F23019">
      <w:pPr>
        <w:pStyle w:val="ListParagraph"/>
        <w:numPr>
          <w:ilvl w:val="1"/>
          <w:numId w:val="16"/>
        </w:numPr>
        <w:spacing w:after="60"/>
      </w:pPr>
      <w:r w:rsidRPr="00EB6C56">
        <w:rPr>
          <w:color w:val="FF0000"/>
        </w:rPr>
        <w:t xml:space="preserve">IBNR using past experience </w:t>
      </w:r>
      <w:r>
        <w:t>(e.g. derive a % of premiums from past new business tranches in advance)</w:t>
      </w:r>
    </w:p>
    <w:p w14:paraId="543B4A69" w14:textId="3A5FC99A" w:rsidR="00F23019" w:rsidRDefault="00F23019" w:rsidP="00F23019">
      <w:pPr>
        <w:pStyle w:val="ListParagraph"/>
        <w:numPr>
          <w:ilvl w:val="1"/>
          <w:numId w:val="16"/>
        </w:numPr>
        <w:spacing w:after="60"/>
      </w:pPr>
      <w:r>
        <w:lastRenderedPageBreak/>
        <w:t>RBNA using the actual number of claims reported in the last two months, sourced from the Claim Database/System or Claims team. This is expected to be negligible.</w:t>
      </w:r>
    </w:p>
    <w:p w14:paraId="01A28C85" w14:textId="786B6CCE" w:rsidR="00F23019" w:rsidRDefault="00F23019" w:rsidP="00F23019">
      <w:pPr>
        <w:pStyle w:val="ListParagraph"/>
        <w:numPr>
          <w:ilvl w:val="1"/>
          <w:numId w:val="16"/>
        </w:numPr>
        <w:spacing w:after="60"/>
      </w:pPr>
      <w:r>
        <w:t>CICP (if any disability claims have been admitted) can be approximated using a projection from a previous quarter-end, and scaling for the sum insured (or including an estimate: Monthly Payment x Max no. of payments x Factor, where Factor roughly approximates the impact of claim indexation, discounting and termination).</w:t>
      </w:r>
    </w:p>
    <w:p w14:paraId="53F56CC8" w14:textId="77777777" w:rsidR="00F23019" w:rsidRPr="00EB6C56" w:rsidRDefault="00F23019" w:rsidP="00F23019">
      <w:pPr>
        <w:spacing w:after="60"/>
        <w:rPr>
          <w:b/>
        </w:rPr>
      </w:pPr>
      <w:r w:rsidRPr="00EB6C56">
        <w:rPr>
          <w:b/>
        </w:rPr>
        <w:t>APPROACH 1 SPECIFIC:</w:t>
      </w:r>
    </w:p>
    <w:p w14:paraId="095B23C8" w14:textId="3618A4DE" w:rsidR="00F23019" w:rsidRDefault="00F23019" w:rsidP="00EB6C56">
      <w:pPr>
        <w:pStyle w:val="ListParagraph"/>
        <w:numPr>
          <w:ilvl w:val="0"/>
          <w:numId w:val="16"/>
        </w:numPr>
        <w:spacing w:after="60"/>
      </w:pPr>
      <w:r>
        <w:t>Actual cashflow can be sourced from the general ledger (but would need this for the new business tranche only – may not be readily available)/ sales statistics for the actual month. We may want to approximate the other expected cashflows, such as interest earned on cashflow and the profit margin release.</w:t>
      </w:r>
    </w:p>
    <w:p w14:paraId="0878568C" w14:textId="2932A81E" w:rsidR="00F23019" w:rsidRDefault="00F23019" w:rsidP="00EB6C56">
      <w:pPr>
        <w:pStyle w:val="ListParagraph"/>
        <w:numPr>
          <w:ilvl w:val="0"/>
          <w:numId w:val="16"/>
        </w:numPr>
        <w:spacing w:after="60"/>
      </w:pPr>
      <w:r>
        <w:t>For example, Interest could be determined as the risk free rate at end of month applied to the capital supporting the new business.</w:t>
      </w:r>
    </w:p>
    <w:p w14:paraId="40A47FE6" w14:textId="08B32D1B" w:rsidR="00AD3FB9" w:rsidRDefault="00F23019" w:rsidP="00EB6C56">
      <w:pPr>
        <w:pStyle w:val="ListParagraph"/>
        <w:numPr>
          <w:ilvl w:val="0"/>
          <w:numId w:val="16"/>
        </w:numPr>
        <w:spacing w:after="60"/>
      </w:pPr>
      <w:r w:rsidRPr="009E61D6">
        <w:rPr>
          <w:color w:val="FF0000"/>
        </w:rPr>
        <w:t>The profit margin release can be the profit margin from last quarter’s new business times the profit margin carrier</w:t>
      </w:r>
      <w:r>
        <w:t xml:space="preserve"> (e.g. premium perf above, multiplied by the assumed loss ratio if carrier is claims).</w:t>
      </w:r>
    </w:p>
    <w:p w14:paraId="5B23590C" w14:textId="77777777" w:rsidR="00F23019" w:rsidRPr="00EB6C56" w:rsidRDefault="00F23019" w:rsidP="00F23019">
      <w:pPr>
        <w:spacing w:after="60"/>
        <w:rPr>
          <w:b/>
        </w:rPr>
      </w:pPr>
      <w:r w:rsidRPr="00EB6C56">
        <w:rPr>
          <w:b/>
        </w:rPr>
        <w:t>APPROACH 2 SPECIFIC:</w:t>
      </w:r>
    </w:p>
    <w:p w14:paraId="761C15A5" w14:textId="0B0BA779" w:rsidR="00F23019" w:rsidRDefault="00F23019" w:rsidP="009E61D6">
      <w:pPr>
        <w:pStyle w:val="ListParagraph"/>
        <w:numPr>
          <w:ilvl w:val="0"/>
          <w:numId w:val="16"/>
        </w:numPr>
        <w:spacing w:after="60"/>
      </w:pPr>
      <w:r>
        <w:t>Expected cash flows can be sourced from the budget set at the beginning of the year, which should be split into in-force and new business at the time.</w:t>
      </w:r>
    </w:p>
    <w:p w14:paraId="2E77578C" w14:textId="74AB54B2" w:rsidR="00F23019" w:rsidRDefault="00F23019" w:rsidP="009E61D6">
      <w:pPr>
        <w:pStyle w:val="ListParagraph"/>
        <w:numPr>
          <w:ilvl w:val="0"/>
          <w:numId w:val="16"/>
        </w:numPr>
        <w:spacing w:after="60"/>
      </w:pPr>
      <w:r>
        <w:t xml:space="preserve">Alternatively, these can be based on new business sales data. For example, expected premium received could be based upon on </w:t>
      </w:r>
      <w:r w:rsidRPr="009E61D6">
        <w:rPr>
          <w:color w:val="FF0000"/>
        </w:rPr>
        <w:t xml:space="preserve">sales statistics </w:t>
      </w:r>
      <w:r>
        <w:t>for the actual month(s) and the past experience of annual versus monthly, etc sales proportions.</w:t>
      </w:r>
    </w:p>
    <w:p w14:paraId="33667266" w14:textId="33F90D77" w:rsidR="00F23019" w:rsidRDefault="00F23019" w:rsidP="009E61D6">
      <w:pPr>
        <w:pStyle w:val="ListParagraph"/>
        <w:numPr>
          <w:ilvl w:val="0"/>
          <w:numId w:val="16"/>
        </w:numPr>
        <w:spacing w:after="60"/>
      </w:pPr>
      <w:r w:rsidRPr="009E61D6">
        <w:rPr>
          <w:color w:val="FF0000"/>
        </w:rPr>
        <w:t xml:space="preserve">The profit margin release can be the profit margin from last quarter’s new business times the profit margin carrier </w:t>
      </w:r>
      <w:r>
        <w:t>(e.g. premium perf above, multiplied by the assumed loss ratio if carrier is claims).</w:t>
      </w:r>
    </w:p>
    <w:p w14:paraId="7C3F730A" w14:textId="77777777" w:rsidR="00F23019" w:rsidRPr="009E61D6" w:rsidRDefault="00F23019" w:rsidP="00F23019">
      <w:pPr>
        <w:spacing w:after="60"/>
        <w:rPr>
          <w:b/>
        </w:rPr>
      </w:pPr>
      <w:r w:rsidRPr="009E61D6">
        <w:rPr>
          <w:b/>
        </w:rPr>
        <w:t>APPROACH 3 SPECIFIC:</w:t>
      </w:r>
    </w:p>
    <w:p w14:paraId="292D4B7B" w14:textId="0874F005" w:rsidR="00F23019" w:rsidRDefault="00F23019" w:rsidP="009E61D6">
      <w:pPr>
        <w:pStyle w:val="ListParagraph"/>
        <w:numPr>
          <w:ilvl w:val="0"/>
          <w:numId w:val="16"/>
        </w:numPr>
        <w:spacing w:after="60"/>
      </w:pPr>
      <w:r>
        <w:t>Unearned premium can be derived using statistical sal</w:t>
      </w:r>
      <w:r w:rsidR="008B475C">
        <w:t xml:space="preserve">es data (relating to new annual </w:t>
      </w:r>
      <w:r>
        <w:t>premiums), as well as past experience (e.g. the % of policies that pay annually).</w:t>
      </w:r>
    </w:p>
    <w:p w14:paraId="1FB2FEF1" w14:textId="1E0DA516" w:rsidR="00F23019" w:rsidRDefault="00F23019" w:rsidP="009E61D6">
      <w:pPr>
        <w:pStyle w:val="ListParagraph"/>
        <w:numPr>
          <w:ilvl w:val="0"/>
          <w:numId w:val="16"/>
        </w:numPr>
        <w:spacing w:after="60"/>
      </w:pPr>
      <w:r>
        <w:t>Deferred acquisitions costs can be approximat</w:t>
      </w:r>
      <w:r w:rsidR="008B475C">
        <w:t xml:space="preserve">ed as the actual commission and </w:t>
      </w:r>
      <w:r>
        <w:t>acquisition expenses paid in excess of the recurring/maintenance equivalents</w:t>
      </w:r>
      <w:r w:rsidR="008B475C">
        <w:t>.</w:t>
      </w:r>
    </w:p>
    <w:p w14:paraId="78CE5130" w14:textId="77777777" w:rsidR="008B475C" w:rsidRDefault="008B475C" w:rsidP="008B475C">
      <w:pPr>
        <w:spacing w:after="60"/>
      </w:pPr>
    </w:p>
    <w:p w14:paraId="323243C8" w14:textId="77777777" w:rsidR="008B475C" w:rsidRPr="008B475C" w:rsidRDefault="008B475C" w:rsidP="008B475C">
      <w:pPr>
        <w:spacing w:after="60"/>
        <w:rPr>
          <w:b/>
          <w:i/>
        </w:rPr>
      </w:pPr>
      <w:r w:rsidRPr="008B475C">
        <w:rPr>
          <w:b/>
          <w:i/>
        </w:rPr>
        <w:t>iii. Disadvantages</w:t>
      </w:r>
    </w:p>
    <w:p w14:paraId="4D5F24D9" w14:textId="3B5FF1F5" w:rsidR="008B475C" w:rsidRDefault="008B475C" w:rsidP="00C45DC3">
      <w:pPr>
        <w:pStyle w:val="ListParagraph"/>
        <w:numPr>
          <w:ilvl w:val="0"/>
          <w:numId w:val="16"/>
        </w:numPr>
        <w:spacing w:after="60"/>
      </w:pPr>
      <w:r>
        <w:t xml:space="preserve">In all the approaches, </w:t>
      </w:r>
      <w:r w:rsidRPr="00C45DC3">
        <w:rPr>
          <w:color w:val="FF0000"/>
        </w:rPr>
        <w:t>there will need to be an estimate of the profit margin release or amount of acquisition costs to defer, as related to the specific cohort of new business, without performing a projection of the profile</w:t>
      </w:r>
      <w:r>
        <w:t xml:space="preserve">. One possible approximation is to use the profit margin from the previous cohort of new business. If profitability is stable and similar, then this will be a good approximation. However, there is a risk there are </w:t>
      </w:r>
      <w:r>
        <w:lastRenderedPageBreak/>
        <w:t>significant shifts to the profile and hence profitability, which will cause the result to change significantly at quarter-end when actual projections are performed.</w:t>
      </w:r>
    </w:p>
    <w:p w14:paraId="561586D3" w14:textId="170B7C0A" w:rsidR="008B475C" w:rsidRDefault="008B475C" w:rsidP="00C45DC3">
      <w:pPr>
        <w:pStyle w:val="ListParagraph"/>
        <w:numPr>
          <w:ilvl w:val="0"/>
          <w:numId w:val="16"/>
        </w:numPr>
        <w:spacing w:after="60"/>
      </w:pPr>
      <w:r>
        <w:t xml:space="preserve">The same argument applies to expected claim cost. For example, </w:t>
      </w:r>
      <w:r w:rsidRPr="00C45DC3">
        <w:rPr>
          <w:color w:val="FF0000"/>
        </w:rPr>
        <w:t>the claim cost is estimated using a loss ratio based on last cohort of new business and if there is a change in mortality or morbidity assumptions (or the new business profile), then this approximation will also yield a greater variance to the true policy liability.</w:t>
      </w:r>
    </w:p>
    <w:p w14:paraId="12E23F5F" w14:textId="7A13176A" w:rsidR="008B475C" w:rsidRDefault="008B475C" w:rsidP="00C45DC3">
      <w:pPr>
        <w:pStyle w:val="ListParagraph"/>
        <w:numPr>
          <w:ilvl w:val="0"/>
          <w:numId w:val="16"/>
        </w:numPr>
        <w:spacing w:after="60"/>
      </w:pPr>
      <w:r>
        <w:t>For Approach 1, where actual cash flows are used instead. This poses a couple of issues.</w:t>
      </w:r>
    </w:p>
    <w:p w14:paraId="0CA5D683" w14:textId="4F9EECE0" w:rsidR="008B475C" w:rsidRDefault="008B475C" w:rsidP="00C45DC3">
      <w:pPr>
        <w:pStyle w:val="ListParagraph"/>
        <w:numPr>
          <w:ilvl w:val="1"/>
          <w:numId w:val="16"/>
        </w:numPr>
        <w:spacing w:after="60"/>
      </w:pPr>
      <w:r>
        <w:t>First, actual vs expected difference will not come through as a profit item in the current period.</w:t>
      </w:r>
    </w:p>
    <w:p w14:paraId="3641A94F" w14:textId="4F032F1E" w:rsidR="008B475C" w:rsidRDefault="008B475C" w:rsidP="00C45DC3">
      <w:pPr>
        <w:pStyle w:val="ListParagraph"/>
        <w:numPr>
          <w:ilvl w:val="1"/>
          <w:numId w:val="16"/>
        </w:numPr>
        <w:spacing w:after="60"/>
      </w:pPr>
      <w:r>
        <w:t>If actual cash flow is consistently different to project/expected cash flow, for example, modelling of certain cash flow is inadequate, then, this will mask the modelling issue in the absence of detailed reconciliation and checks.</w:t>
      </w:r>
    </w:p>
    <w:p w14:paraId="2E90BAE3" w14:textId="67253C12" w:rsidR="00C45DC3" w:rsidRDefault="00C45DC3" w:rsidP="00C45DC3">
      <w:pPr>
        <w:pStyle w:val="ListParagraph"/>
        <w:numPr>
          <w:ilvl w:val="1"/>
          <w:numId w:val="16"/>
        </w:numPr>
        <w:spacing w:after="60"/>
      </w:pPr>
      <w:r>
        <w:t>Even getting the correct actual cash flow relating to this cohort of new business can poses some challenges. Alternative data source may be required of all the detailed info is not available in the general leger. For example, actual premium from new business may need to be sourced directly from the administration system.</w:t>
      </w:r>
    </w:p>
    <w:p w14:paraId="015E733B" w14:textId="63BBEB38" w:rsidR="00C45DC3" w:rsidRDefault="00C45DC3" w:rsidP="00C45DC3">
      <w:pPr>
        <w:pStyle w:val="ListParagraph"/>
        <w:numPr>
          <w:ilvl w:val="0"/>
          <w:numId w:val="16"/>
        </w:numPr>
        <w:spacing w:after="60"/>
      </w:pPr>
      <w:r w:rsidRPr="00C45DC3">
        <w:rPr>
          <w:color w:val="FF0000"/>
        </w:rPr>
        <w:t xml:space="preserve">The approach </w:t>
      </w:r>
      <w:r w:rsidRPr="00C45DC3">
        <w:rPr>
          <w:b/>
          <w:color w:val="FF0000"/>
        </w:rPr>
        <w:t>does not strictly test for loss recognition</w:t>
      </w:r>
      <w:r w:rsidRPr="00C45DC3">
        <w:rPr>
          <w:color w:val="FF0000"/>
        </w:rPr>
        <w:t xml:space="preserve"> </w:t>
      </w:r>
      <w:r>
        <w:t xml:space="preserve">(adequacy threshold) </w:t>
      </w:r>
      <w:r w:rsidRPr="00C45DC3">
        <w:rPr>
          <w:color w:val="FF0000"/>
        </w:rPr>
        <w:t xml:space="preserve">and hence may not comply with LPS340/AASB 1038 in the event the new business is not profitable </w:t>
      </w:r>
      <w:r>
        <w:t>and the inforce business doesn’t have enough margins to cover the loss making business.</w:t>
      </w:r>
    </w:p>
    <w:p w14:paraId="4EAB0B0D" w14:textId="2946FE14" w:rsidR="00C45DC3" w:rsidRDefault="00C45DC3" w:rsidP="00C45DC3">
      <w:pPr>
        <w:pStyle w:val="ListParagraph"/>
        <w:numPr>
          <w:ilvl w:val="0"/>
          <w:numId w:val="16"/>
        </w:numPr>
        <w:spacing w:after="60"/>
      </w:pPr>
      <w:r>
        <w:t>The approaches outlined in part i) is not sensitive to changes in economic assumptions (e.g. the discount rate and inflation), but to the extent these change dramatically over a month it could reduce the accuracy of the approximation.</w:t>
      </w:r>
    </w:p>
    <w:p w14:paraId="4E9ED1B4" w14:textId="77777777" w:rsidR="009E61D6" w:rsidRDefault="009E61D6" w:rsidP="009E61D6">
      <w:pPr>
        <w:spacing w:after="60"/>
      </w:pPr>
    </w:p>
    <w:p w14:paraId="6C1444D1" w14:textId="74A73F4F" w:rsidR="00C45DC3" w:rsidRPr="00C45DC3" w:rsidRDefault="00C45DC3" w:rsidP="00C45DC3">
      <w:pPr>
        <w:spacing w:after="60"/>
        <w:rPr>
          <w:b/>
          <w:i/>
        </w:rPr>
      </w:pPr>
      <w:r w:rsidRPr="00C45DC3">
        <w:rPr>
          <w:b/>
          <w:i/>
        </w:rPr>
        <w:t>iv. Mitigations to ensure robust results</w:t>
      </w:r>
    </w:p>
    <w:p w14:paraId="60A0FEA2" w14:textId="4F96A6C0" w:rsidR="00C45DC3" w:rsidRDefault="00C45DC3" w:rsidP="00C45DC3">
      <w:pPr>
        <w:pStyle w:val="ListParagraph"/>
        <w:numPr>
          <w:ilvl w:val="0"/>
          <w:numId w:val="16"/>
        </w:numPr>
        <w:spacing w:after="60"/>
      </w:pPr>
      <w:r>
        <w:t>Monitor the new business profile using key statistics (e.g. proportion male/female, stepped/level, disability income/lump sum, ordinary/super, by age, by distribution channel, etc.), to ensure no large swings in the profile in a given month that might cause a shift in the profitability.</w:t>
      </w:r>
    </w:p>
    <w:p w14:paraId="1B557EAC" w14:textId="3D56EA1F" w:rsidR="00C45DC3" w:rsidRDefault="00C45DC3" w:rsidP="00C45DC3">
      <w:pPr>
        <w:pStyle w:val="ListParagraph"/>
        <w:numPr>
          <w:ilvl w:val="0"/>
          <w:numId w:val="16"/>
        </w:numPr>
        <w:spacing w:after="60"/>
      </w:pPr>
      <w:r>
        <w:t xml:space="preserve">Related to the point above, </w:t>
      </w:r>
      <w:r w:rsidRPr="00C45DC3">
        <w:rPr>
          <w:color w:val="FF0000"/>
        </w:rPr>
        <w:t xml:space="preserve">where there is any known major shift in profitability or assumption changes, the way the loss ratio or profit margin is derived from previous cohorts of new business should be adjusted to avoid material deviation </w:t>
      </w:r>
      <w:r>
        <w:t>(e.g. by understanding the difference in profitability of certain segments).</w:t>
      </w:r>
    </w:p>
    <w:p w14:paraId="39E93C97" w14:textId="63363238" w:rsidR="00C45DC3" w:rsidRPr="00C45DC3" w:rsidRDefault="00C45DC3" w:rsidP="00C45DC3">
      <w:pPr>
        <w:pStyle w:val="ListParagraph"/>
        <w:numPr>
          <w:ilvl w:val="0"/>
          <w:numId w:val="16"/>
        </w:numPr>
        <w:spacing w:after="60"/>
        <w:rPr>
          <w:color w:val="FF0000"/>
        </w:rPr>
      </w:pPr>
      <w:r>
        <w:t xml:space="preserve">To get comfort that the new business isn’t in loss recognition, understand what levels of sales are required to cover the fixed acquisition expenses (Assuming the inforce is in loss recognition, or close to it). </w:t>
      </w:r>
      <w:r w:rsidRPr="00C45DC3">
        <w:rPr>
          <w:color w:val="FF0000"/>
        </w:rPr>
        <w:t>Have a methodology in place to adjust the policy liability when sales are around or below this threshold to make the policy liability estimate more accurate.</w:t>
      </w:r>
    </w:p>
    <w:p w14:paraId="43C637DC" w14:textId="0D6D7188" w:rsidR="00C45DC3" w:rsidRDefault="00C45DC3" w:rsidP="00C45DC3">
      <w:pPr>
        <w:pStyle w:val="ListParagraph"/>
        <w:numPr>
          <w:ilvl w:val="0"/>
          <w:numId w:val="16"/>
        </w:numPr>
        <w:spacing w:after="60"/>
      </w:pPr>
      <w:r>
        <w:t xml:space="preserve">Understand the sensitivity of the new business policy liability to changes in economic assumptions (e.g. through sensitivity analyses at quarter-ends) to ensure the suggested </w:t>
      </w:r>
      <w:r>
        <w:lastRenderedPageBreak/>
        <w:t>approach remains appropriate when there are large movements in discount rates during the month.</w:t>
      </w:r>
    </w:p>
    <w:p w14:paraId="2659C5F2" w14:textId="2648DBF9" w:rsidR="00C45DC3" w:rsidRDefault="00C45DC3" w:rsidP="00C45DC3">
      <w:pPr>
        <w:pStyle w:val="ListParagraph"/>
        <w:numPr>
          <w:ilvl w:val="0"/>
          <w:numId w:val="16"/>
        </w:numPr>
        <w:spacing w:after="60"/>
      </w:pPr>
      <w:r w:rsidRPr="00C45DC3">
        <w:rPr>
          <w:color w:val="00B050"/>
        </w:rPr>
        <w:t>At quarter end, projected policy liability should be used for the new business. The two sets of policy liability for new business will most likely to be difference</w:t>
      </w:r>
      <w:r>
        <w:t xml:space="preserve">. Where there is a difference, there will be a true up effect to Profit and Loss. Also, </w:t>
      </w:r>
      <w:r w:rsidRPr="00C45DC3">
        <w:rPr>
          <w:color w:val="00B050"/>
        </w:rPr>
        <w:t>the difference should be small in order to get comfort over the accumulation approach</w:t>
      </w:r>
      <w:r>
        <w:t>. Where differences are big, detailed reconciliation and analysis should be carried out.</w:t>
      </w:r>
    </w:p>
    <w:p w14:paraId="14506A48" w14:textId="0225A2AE" w:rsidR="00C45DC3" w:rsidRDefault="00C45DC3" w:rsidP="00C45DC3">
      <w:pPr>
        <w:pStyle w:val="ListParagraph"/>
        <w:numPr>
          <w:ilvl w:val="0"/>
          <w:numId w:val="16"/>
        </w:numPr>
        <w:spacing w:after="60"/>
      </w:pPr>
      <w:r>
        <w:t xml:space="preserve">Given it is only one or two months of new business that we are estimating, variances to the projected policy liability may not likely to be material. A </w:t>
      </w:r>
      <w:r w:rsidRPr="00C45DC3">
        <w:t>tolerance threshold should be established and understood amongst all skate holders include the auditors.</w:t>
      </w:r>
    </w:p>
    <w:p w14:paraId="491EF8C6" w14:textId="77777777" w:rsidR="00C45DC3" w:rsidRDefault="00C45DC3" w:rsidP="00C45DC3">
      <w:pPr>
        <w:spacing w:after="60"/>
      </w:pPr>
    </w:p>
    <w:p w14:paraId="4F533931" w14:textId="77777777" w:rsidR="002706F0" w:rsidRDefault="00C45DC3" w:rsidP="002706F0">
      <w:pPr>
        <w:spacing w:after="60"/>
      </w:pPr>
      <w:r>
        <w:t xml:space="preserve">3b) </w:t>
      </w:r>
    </w:p>
    <w:p w14:paraId="6FA152A7" w14:textId="46C5FA6C" w:rsidR="002706F0" w:rsidRDefault="002706F0" w:rsidP="002706F0">
      <w:pPr>
        <w:pStyle w:val="ListParagraph"/>
        <w:numPr>
          <w:ilvl w:val="0"/>
          <w:numId w:val="22"/>
        </w:numPr>
        <w:spacing w:after="60"/>
      </w:pPr>
      <w:r>
        <w:t xml:space="preserve">Assuming a journal accruing for the expected additional stamp duty payment will be put through this quarter, </w:t>
      </w:r>
      <w:r w:rsidRPr="002706F0">
        <w:rPr>
          <w:color w:val="FF0000"/>
        </w:rPr>
        <w:t>this should flow through to the acquisition expense component of the new business policy liability</w:t>
      </w:r>
      <w:r>
        <w:t>.</w:t>
      </w:r>
    </w:p>
    <w:p w14:paraId="1AECC7A8" w14:textId="581059B9" w:rsidR="002706F0" w:rsidRDefault="002706F0" w:rsidP="002706F0">
      <w:pPr>
        <w:pStyle w:val="ListParagraph"/>
        <w:numPr>
          <w:ilvl w:val="0"/>
          <w:numId w:val="22"/>
        </w:numPr>
        <w:spacing w:after="60"/>
      </w:pPr>
      <w:r>
        <w:t>This amount will then be deferred as part of the acquisition expenses</w:t>
      </w:r>
    </w:p>
    <w:p w14:paraId="08B43C98" w14:textId="01B62C2C" w:rsidR="002706F0" w:rsidRDefault="002706F0" w:rsidP="002706F0">
      <w:pPr>
        <w:pStyle w:val="ListParagraph"/>
        <w:numPr>
          <w:ilvl w:val="0"/>
          <w:numId w:val="22"/>
        </w:numPr>
        <w:spacing w:after="60"/>
      </w:pPr>
      <w:r>
        <w:t>Due to the deferral of the expense, there is nil impact on Profit and Loss for the quarter as this will be absorbed into the policy liability</w:t>
      </w:r>
    </w:p>
    <w:p w14:paraId="05854E6A" w14:textId="4A008358" w:rsidR="002706F0" w:rsidRPr="002706F0" w:rsidRDefault="002706F0" w:rsidP="002706F0">
      <w:pPr>
        <w:pStyle w:val="ListParagraph"/>
        <w:numPr>
          <w:ilvl w:val="0"/>
          <w:numId w:val="22"/>
        </w:numPr>
        <w:spacing w:after="60"/>
        <w:rPr>
          <w:color w:val="FF0000"/>
        </w:rPr>
      </w:pPr>
      <w:r w:rsidRPr="002706F0">
        <w:rPr>
          <w:color w:val="FF0000"/>
        </w:rPr>
        <w:t>If some of the stamp duty is not treated as acquisition, there will be an impact on profit and loss – by reducing profit reported for the previous quarter.</w:t>
      </w:r>
    </w:p>
    <w:p w14:paraId="147E9EF8" w14:textId="5F8B6F35" w:rsidR="00C45DC3" w:rsidRPr="00AA0945" w:rsidRDefault="002706F0" w:rsidP="002706F0">
      <w:pPr>
        <w:pStyle w:val="ListParagraph"/>
        <w:numPr>
          <w:ilvl w:val="0"/>
          <w:numId w:val="22"/>
        </w:numPr>
        <w:spacing w:after="60"/>
        <w:rPr>
          <w:b/>
          <w:color w:val="FF0000"/>
        </w:rPr>
      </w:pPr>
      <w:r w:rsidRPr="00AA0945">
        <w:rPr>
          <w:b/>
          <w:color w:val="FF0000"/>
        </w:rPr>
        <w:t>To the extent the error was material, previous years’ profit/loss may need to be restated.</w:t>
      </w:r>
    </w:p>
    <w:p w14:paraId="27CD135F" w14:textId="77777777" w:rsidR="002706F0" w:rsidRDefault="002706F0">
      <w:pPr>
        <w:spacing w:after="60"/>
      </w:pPr>
    </w:p>
    <w:p w14:paraId="108E81AF" w14:textId="286CF0B9" w:rsidR="00AA0945" w:rsidRDefault="00AA0945" w:rsidP="00AA0945">
      <w:pPr>
        <w:spacing w:after="60"/>
      </w:pPr>
      <w:r>
        <w:t>3c) Dear Auditors,</w:t>
      </w:r>
    </w:p>
    <w:p w14:paraId="4611D61D" w14:textId="77777777" w:rsidR="00AA0945" w:rsidRDefault="00AA0945" w:rsidP="00AA0945">
      <w:pPr>
        <w:spacing w:after="60"/>
      </w:pPr>
      <w:r>
        <w:t>I agree with your observation that both the new business sales and new business policy liabilities in the year are significantly different to the Budget.</w:t>
      </w:r>
    </w:p>
    <w:p w14:paraId="3A685587" w14:textId="463724E7" w:rsidR="0081201D" w:rsidRPr="0081201D" w:rsidRDefault="0081201D" w:rsidP="00AA0945">
      <w:pPr>
        <w:spacing w:after="60"/>
        <w:rPr>
          <w:i/>
        </w:rPr>
      </w:pPr>
      <w:r>
        <w:rPr>
          <w:i/>
        </w:rPr>
        <w:t>W</w:t>
      </w:r>
      <w:r w:rsidRPr="0081201D">
        <w:rPr>
          <w:i/>
        </w:rPr>
        <w:t>hy large differences in the size of the new business policy liability compared to budget may not translat</w:t>
      </w:r>
      <w:r>
        <w:rPr>
          <w:i/>
        </w:rPr>
        <w:t>e into large profit differences?</w:t>
      </w:r>
    </w:p>
    <w:p w14:paraId="354FF193" w14:textId="77777777" w:rsidR="00AA0945" w:rsidRPr="00CF53B9" w:rsidRDefault="00AA0945" w:rsidP="00AA0945">
      <w:pPr>
        <w:spacing w:after="60"/>
        <w:rPr>
          <w:color w:val="FF0000"/>
        </w:rPr>
      </w:pPr>
      <w:r w:rsidRPr="00CF53B9">
        <w:rPr>
          <w:color w:val="FF0000"/>
        </w:rPr>
        <w:t>Sales volumes were indeed lower, leading to reduced cash in/outflows for new business.</w:t>
      </w:r>
    </w:p>
    <w:p w14:paraId="56F3627A" w14:textId="77777777" w:rsidR="00AA0945" w:rsidRPr="0081201D" w:rsidRDefault="00AA0945" w:rsidP="00AA0945">
      <w:pPr>
        <w:spacing w:after="60"/>
        <w:rPr>
          <w:color w:val="FF0000"/>
        </w:rPr>
      </w:pPr>
      <w:r>
        <w:t xml:space="preserve">However, </w:t>
      </w:r>
      <w:r w:rsidRPr="0081201D">
        <w:rPr>
          <w:color w:val="FF0000"/>
        </w:rPr>
        <w:t>the new business policy liability allows for this by ensuring the acquisition expenses and initial commission from the sales (which are the largest cash flows in the first year of a policy) are deferred. This ensures only a small portion of the expected profit over the life of the policy is released in the first year (with expected profit being recognised smoothly over the life of the policies). Since sales volumes were lower, these deferred acquisitions were also lower, meaning the actual policy liability for new business differs from the budget figures (which were based on budget sales).</w:t>
      </w:r>
    </w:p>
    <w:p w14:paraId="2B3759F4" w14:textId="77777777" w:rsidR="00AA0945" w:rsidRDefault="00AA0945" w:rsidP="00AA0945">
      <w:pPr>
        <w:spacing w:after="60"/>
      </w:pPr>
      <w:r>
        <w:t xml:space="preserve">So looking at the new business cash flows and policy liability in isolation when comparing against the budget will not be useful; they must be considered together. And </w:t>
      </w:r>
      <w:r w:rsidRPr="0081201D">
        <w:rPr>
          <w:color w:val="FF0000"/>
        </w:rPr>
        <w:t xml:space="preserve">since the budgeted </w:t>
      </w:r>
      <w:r w:rsidRPr="0081201D">
        <w:rPr>
          <w:color w:val="FF0000"/>
        </w:rPr>
        <w:lastRenderedPageBreak/>
        <w:t xml:space="preserve">profit is small in an absolute sense, any variations in this will also be small in an absolute sense </w:t>
      </w:r>
      <w:r>
        <w:t>(particularly compared to the inforce component).</w:t>
      </w:r>
    </w:p>
    <w:p w14:paraId="0582B7D7" w14:textId="77777777" w:rsidR="00AA0945" w:rsidRDefault="00AA0945" w:rsidP="00AA0945">
      <w:pPr>
        <w:spacing w:after="60"/>
      </w:pPr>
      <w:r w:rsidRPr="00AA0945">
        <w:rPr>
          <w:color w:val="00B050"/>
        </w:rPr>
        <w:t>Finally, you shouldn’t be concerned that the non-quarter end process may have caused an error in the year-end accounts. The year/quarter-end process means the policy liability is “trued up” at this point, from the monthly estimates</w:t>
      </w:r>
      <w:r>
        <w:t>. That is:</w:t>
      </w:r>
    </w:p>
    <w:p w14:paraId="02D3708D" w14:textId="10FBA406" w:rsidR="00AA0945" w:rsidRDefault="00AA0945" w:rsidP="00AA0945">
      <w:pPr>
        <w:pStyle w:val="ListParagraph"/>
        <w:numPr>
          <w:ilvl w:val="0"/>
          <w:numId w:val="22"/>
        </w:numPr>
        <w:spacing w:after="60"/>
      </w:pPr>
      <w:r>
        <w:t>The new monthly valuation process is only applied for non-quarter ends</w:t>
      </w:r>
    </w:p>
    <w:p w14:paraId="0491829B" w14:textId="0841FCC5" w:rsidR="00AA0945" w:rsidRDefault="00AA0945" w:rsidP="00AA0945">
      <w:pPr>
        <w:pStyle w:val="ListParagraph"/>
        <w:numPr>
          <w:ilvl w:val="0"/>
          <w:numId w:val="22"/>
        </w:numPr>
        <w:spacing w:after="60"/>
      </w:pPr>
      <w:r>
        <w:t xml:space="preserve">For year-end accounts, </w:t>
      </w:r>
      <w:r w:rsidRPr="00AA0945">
        <w:rPr>
          <w:color w:val="00B050"/>
        </w:rPr>
        <w:t>the full process is used</w:t>
      </w:r>
      <w:r>
        <w:t xml:space="preserve">, </w:t>
      </w:r>
      <w:r w:rsidRPr="00AA0945">
        <w:rPr>
          <w:color w:val="00B050"/>
        </w:rPr>
        <w:t>using all available data</w:t>
      </w:r>
      <w:r>
        <w:t xml:space="preserve"> (from model point files) and no steps from the new non-quarter end process are used.</w:t>
      </w:r>
    </w:p>
    <w:p w14:paraId="5D4C1C52" w14:textId="77777777" w:rsidR="00AA0945" w:rsidRDefault="00AA0945" w:rsidP="00AA0945">
      <w:pPr>
        <w:spacing w:after="60"/>
      </w:pPr>
      <w:r>
        <w:t>I trust this addresses your concerns.</w:t>
      </w:r>
    </w:p>
    <w:p w14:paraId="0C6EDF6C" w14:textId="48E4A253" w:rsidR="002706F0" w:rsidRDefault="00AA0945" w:rsidP="00AA0945">
      <w:pPr>
        <w:spacing w:after="60"/>
      </w:pPr>
      <w:r>
        <w:t>Regards, An Actuary</w:t>
      </w:r>
    </w:p>
    <w:p w14:paraId="4547AFE5" w14:textId="77777777" w:rsidR="00295ACD" w:rsidRDefault="00295ACD" w:rsidP="00AA0945">
      <w:pPr>
        <w:spacing w:after="60"/>
      </w:pPr>
    </w:p>
    <w:p w14:paraId="0A849599" w14:textId="77777777" w:rsidR="00CF53B9" w:rsidRDefault="00295ACD" w:rsidP="00CF53B9">
      <w:pPr>
        <w:spacing w:after="60"/>
      </w:pPr>
      <w:r>
        <w:t xml:space="preserve">3d) </w:t>
      </w:r>
      <w:r w:rsidR="00CF53B9">
        <w:t xml:space="preserve">i. </w:t>
      </w:r>
    </w:p>
    <w:p w14:paraId="722137A0" w14:textId="1B6BCB80" w:rsidR="00CF53B9" w:rsidRPr="00CF53B9" w:rsidRDefault="00CF53B9" w:rsidP="00CF53B9">
      <w:pPr>
        <w:pStyle w:val="ListParagraph"/>
        <w:numPr>
          <w:ilvl w:val="0"/>
          <w:numId w:val="24"/>
        </w:numPr>
        <w:spacing w:after="60"/>
        <w:rPr>
          <w:color w:val="FF0000"/>
        </w:rPr>
      </w:pPr>
      <w:r w:rsidRPr="00CF53B9">
        <w:rPr>
          <w:color w:val="FF0000"/>
        </w:rPr>
        <w:t>This should not be too onerous as it is a general principle of a an actuary’s Professional Standards that any report should provide sufficient discussion of these items such that another actuary picking up the report should be able to produce a similar result based on the same data.</w:t>
      </w:r>
    </w:p>
    <w:p w14:paraId="7F5FEEA8" w14:textId="2237EEC4" w:rsidR="00CF53B9" w:rsidRPr="00CF53B9" w:rsidRDefault="00CF53B9" w:rsidP="00CF53B9">
      <w:pPr>
        <w:pStyle w:val="ListParagraph"/>
        <w:numPr>
          <w:ilvl w:val="0"/>
          <w:numId w:val="24"/>
        </w:numPr>
        <w:spacing w:after="60"/>
        <w:rPr>
          <w:b/>
          <w:color w:val="FF0000"/>
        </w:rPr>
      </w:pPr>
      <w:r w:rsidRPr="00CF53B9">
        <w:rPr>
          <w:b/>
          <w:color w:val="FF0000"/>
        </w:rPr>
        <w:t xml:space="preserve">Currently, the AA is already required to include this information in their </w:t>
      </w:r>
      <w:r w:rsidRPr="00CF53B9">
        <w:rPr>
          <w:b/>
          <w:color w:val="00B050"/>
        </w:rPr>
        <w:t>FCR</w:t>
      </w:r>
      <w:r w:rsidRPr="00CF53B9">
        <w:rPr>
          <w:b/>
          <w:color w:val="FF0000"/>
        </w:rPr>
        <w:t>.</w:t>
      </w:r>
    </w:p>
    <w:p w14:paraId="1E5394B3" w14:textId="15A558DC" w:rsidR="00CF53B9" w:rsidRPr="00CF53B9" w:rsidRDefault="00CF53B9" w:rsidP="00CF53B9">
      <w:pPr>
        <w:pStyle w:val="ListParagraph"/>
        <w:numPr>
          <w:ilvl w:val="0"/>
          <w:numId w:val="24"/>
        </w:numPr>
        <w:spacing w:after="60"/>
        <w:rPr>
          <w:color w:val="FF0000"/>
        </w:rPr>
      </w:pPr>
      <w:r w:rsidRPr="00CF53B9">
        <w:rPr>
          <w:color w:val="FF0000"/>
        </w:rPr>
        <w:t>However, practical process differs from AA to AA in whether this is summarised within the FCR or fully detailed. Hence, some AA’s may need to ex</w:t>
      </w:r>
      <w:r>
        <w:rPr>
          <w:color w:val="FF0000"/>
        </w:rPr>
        <w:t xml:space="preserve">pand their existing </w:t>
      </w:r>
      <w:r w:rsidRPr="00CF53B9">
        <w:rPr>
          <w:color w:val="FF0000"/>
        </w:rPr>
        <w:t>documentation to cover more details. This is particularly relevant for STARLIFE, which is small and so may not have existing documentation to the level of detail being required by the regulator.</w:t>
      </w:r>
    </w:p>
    <w:p w14:paraId="077C5FA3" w14:textId="235BF678" w:rsidR="00CF53B9" w:rsidRPr="00CF53B9" w:rsidRDefault="00CF53B9" w:rsidP="00CF53B9">
      <w:pPr>
        <w:pStyle w:val="ListParagraph"/>
        <w:numPr>
          <w:ilvl w:val="0"/>
          <w:numId w:val="24"/>
        </w:numPr>
        <w:spacing w:after="60"/>
        <w:rPr>
          <w:color w:val="FF0000"/>
        </w:rPr>
      </w:pPr>
      <w:r w:rsidRPr="00CF53B9">
        <w:rPr>
          <w:color w:val="FF0000"/>
        </w:rPr>
        <w:t>Also being such a technical appendix, it is not uncommon for many AA’s to exclude this chapter from the distribution of the FCR to the Board with a note stating it is available upon request (with other technical based appendices).</w:t>
      </w:r>
    </w:p>
    <w:p w14:paraId="6A33AC1F" w14:textId="2990AE23" w:rsidR="00295ACD" w:rsidRPr="00CF53B9" w:rsidRDefault="00CF53B9" w:rsidP="00CF53B9">
      <w:pPr>
        <w:pStyle w:val="ListParagraph"/>
        <w:numPr>
          <w:ilvl w:val="0"/>
          <w:numId w:val="24"/>
        </w:numPr>
        <w:spacing w:after="60"/>
        <w:rPr>
          <w:b/>
          <w:color w:val="FF0000"/>
        </w:rPr>
      </w:pPr>
      <w:r w:rsidRPr="00CF53B9">
        <w:rPr>
          <w:b/>
          <w:color w:val="FF0000"/>
        </w:rPr>
        <w:t>Regardless of whether it is currently covered within the FCR, the requirement for the separate report will increase the workload of the AA and the actuarial team when taking into account the governance process associated with every formal report.</w:t>
      </w:r>
    </w:p>
    <w:p w14:paraId="0E3BEE54" w14:textId="034EBF93" w:rsidR="00CF53B9" w:rsidRPr="00CF53B9" w:rsidRDefault="00CF53B9" w:rsidP="00CF53B9">
      <w:pPr>
        <w:pStyle w:val="ListParagraph"/>
        <w:numPr>
          <w:ilvl w:val="0"/>
          <w:numId w:val="24"/>
        </w:numPr>
        <w:spacing w:after="60"/>
        <w:rPr>
          <w:color w:val="FF0000"/>
        </w:rPr>
      </w:pPr>
      <w:r w:rsidRPr="00CF53B9">
        <w:rPr>
          <w:b/>
          <w:color w:val="FF0000"/>
        </w:rPr>
        <w:t>One issue that is not clear is the audience</w:t>
      </w:r>
      <w:r w:rsidRPr="00CF53B9">
        <w:rPr>
          <w:color w:val="FF0000"/>
        </w:rPr>
        <w:t xml:space="preserve"> of the ILVR - whether this will go to the Board, to APRA and/or the auditor. This will impact on the language used in the ILVR.</w:t>
      </w:r>
    </w:p>
    <w:p w14:paraId="14E30237" w14:textId="77777777" w:rsidR="00CF53B9" w:rsidRDefault="00CF53B9" w:rsidP="00CF53B9">
      <w:pPr>
        <w:spacing w:after="60"/>
      </w:pPr>
    </w:p>
    <w:p w14:paraId="7F182119" w14:textId="478E032A" w:rsidR="00CF53B9" w:rsidRDefault="00CF53B9" w:rsidP="00CF53B9">
      <w:pPr>
        <w:spacing w:after="60"/>
      </w:pPr>
      <w:r>
        <w:t xml:space="preserve">ii. </w:t>
      </w:r>
      <w:r w:rsidRPr="00CF53B9">
        <w:rPr>
          <w:i/>
        </w:rPr>
        <w:t>Outline the current requirements that apply to Appointed Actuaries which aim to man</w:t>
      </w:r>
      <w:r>
        <w:rPr>
          <w:i/>
        </w:rPr>
        <w:t>age their conflicts of interest</w:t>
      </w:r>
    </w:p>
    <w:p w14:paraId="23788AA7" w14:textId="5BBAACDA" w:rsidR="00CF53B9" w:rsidRPr="00E821F7" w:rsidRDefault="00CF53B9" w:rsidP="00CF53B9">
      <w:pPr>
        <w:pStyle w:val="ListParagraph"/>
        <w:numPr>
          <w:ilvl w:val="0"/>
          <w:numId w:val="25"/>
        </w:numPr>
        <w:spacing w:after="60"/>
        <w:rPr>
          <w:color w:val="FF0000"/>
        </w:rPr>
      </w:pPr>
      <w:r w:rsidRPr="00E821F7">
        <w:rPr>
          <w:b/>
          <w:color w:val="FF0000"/>
        </w:rPr>
        <w:t>The AA is not permitted to fulfil other roles within the Company i.e. cannot wear two hats (known as dual hatting).</w:t>
      </w:r>
      <w:r w:rsidRPr="00E821F7">
        <w:rPr>
          <w:color w:val="FF0000"/>
        </w:rPr>
        <w:t xml:space="preserve"> </w:t>
      </w:r>
      <w:r w:rsidRPr="00E821F7">
        <w:rPr>
          <w:color w:val="FF0000"/>
          <w:u w:val="single"/>
        </w:rPr>
        <w:t>Roles the AA is not permitted to hold simultaneously include CRO, CEO and Director</w:t>
      </w:r>
      <w:r w:rsidRPr="00E821F7">
        <w:rPr>
          <w:color w:val="FF0000"/>
        </w:rPr>
        <w:t>. This may be particularly relevant to STARLIFE, which is small so may have, in the absence of such requirements, preferred to have the same person fulfill the roles of AA and CRO.</w:t>
      </w:r>
    </w:p>
    <w:p w14:paraId="626BDE17" w14:textId="2C906677" w:rsidR="00CF53B9" w:rsidRPr="00E821F7" w:rsidRDefault="00CF53B9" w:rsidP="00CF53B9">
      <w:pPr>
        <w:pStyle w:val="ListParagraph"/>
        <w:numPr>
          <w:ilvl w:val="0"/>
          <w:numId w:val="25"/>
        </w:numPr>
        <w:spacing w:after="60"/>
        <w:rPr>
          <w:color w:val="FF0000"/>
        </w:rPr>
      </w:pPr>
      <w:r w:rsidRPr="00E821F7">
        <w:rPr>
          <w:color w:val="FF0000"/>
        </w:rPr>
        <w:lastRenderedPageBreak/>
        <w:t xml:space="preserve">This requirement helps to manage the potential of conflict of interest by recognizing the different responsibilities of the AA from other officers of the company. For example, </w:t>
      </w:r>
      <w:r w:rsidRPr="00E821F7">
        <w:rPr>
          <w:b/>
          <w:color w:val="FF0000"/>
        </w:rPr>
        <w:t>the CEO may be focused solely on maximising profit for the shareholder, whilst the AA may be concerned with the equitable treatment of policyholders</w:t>
      </w:r>
      <w:r w:rsidRPr="00E821F7">
        <w:rPr>
          <w:color w:val="FF0000"/>
        </w:rPr>
        <w:t>.</w:t>
      </w:r>
    </w:p>
    <w:p w14:paraId="5F3405C0" w14:textId="13D219F5" w:rsidR="00CF53B9" w:rsidRPr="00E821F7" w:rsidRDefault="00CF53B9" w:rsidP="00CF53B9">
      <w:pPr>
        <w:pStyle w:val="ListParagraph"/>
        <w:numPr>
          <w:ilvl w:val="0"/>
          <w:numId w:val="25"/>
        </w:numPr>
        <w:spacing w:after="60"/>
        <w:rPr>
          <w:color w:val="FF0000"/>
        </w:rPr>
      </w:pPr>
      <w:r w:rsidRPr="00E821F7">
        <w:rPr>
          <w:color w:val="FF0000"/>
        </w:rPr>
        <w:t>Another advantage of not permitting the AA to hold multiples roles is that it helps to delineate the different lines of defence in managing risk. The Appointed Actuary’s responsibilities include both first line of defence, advice, as well as second line of defence, review and challenge. The CRO role is purely second line of defence.</w:t>
      </w:r>
    </w:p>
    <w:p w14:paraId="08D4E916" w14:textId="42DDC1FA" w:rsidR="00CF53B9" w:rsidRPr="00E821F7" w:rsidRDefault="00CF53B9" w:rsidP="00CF53B9">
      <w:pPr>
        <w:pStyle w:val="ListParagraph"/>
        <w:numPr>
          <w:ilvl w:val="0"/>
          <w:numId w:val="25"/>
        </w:numPr>
        <w:spacing w:after="60"/>
        <w:rPr>
          <w:b/>
          <w:color w:val="FF0000"/>
        </w:rPr>
      </w:pPr>
      <w:r w:rsidRPr="00E821F7">
        <w:rPr>
          <w:b/>
          <w:color w:val="FF0000"/>
        </w:rPr>
        <w:t>The Life Act and subsequent Prudential Standards also require the Actuary to provide Advice to the Company/Board under a number of circumstances and theoretically provides protection including whistle blowing requirements should AA advice not be heeded. This allows the AA to undertake their statutory role more effectively in the face of commercial conflicts.</w:t>
      </w:r>
    </w:p>
    <w:sectPr w:rsidR="00CF53B9" w:rsidRPr="00E821F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A4A8A" w14:textId="77777777" w:rsidR="000B57D0" w:rsidRDefault="000B57D0" w:rsidP="00565DE9">
      <w:pPr>
        <w:spacing w:after="0" w:line="240" w:lineRule="auto"/>
      </w:pPr>
      <w:r>
        <w:separator/>
      </w:r>
    </w:p>
  </w:endnote>
  <w:endnote w:type="continuationSeparator" w:id="0">
    <w:p w14:paraId="243EB70A" w14:textId="77777777" w:rsidR="000B57D0" w:rsidRDefault="000B57D0"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8A1FC" w14:textId="77777777" w:rsidR="000B57D0" w:rsidRDefault="000B57D0" w:rsidP="00565DE9">
      <w:pPr>
        <w:spacing w:after="0" w:line="240" w:lineRule="auto"/>
      </w:pPr>
      <w:r>
        <w:separator/>
      </w:r>
    </w:p>
  </w:footnote>
  <w:footnote w:type="continuationSeparator" w:id="0">
    <w:p w14:paraId="0A750C22" w14:textId="77777777" w:rsidR="000B57D0" w:rsidRDefault="000B57D0"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832"/>
    <w:multiLevelType w:val="hybridMultilevel"/>
    <w:tmpl w:val="09B0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937E2"/>
    <w:multiLevelType w:val="hybridMultilevel"/>
    <w:tmpl w:val="3310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A6E6E"/>
    <w:multiLevelType w:val="hybridMultilevel"/>
    <w:tmpl w:val="703A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26307"/>
    <w:multiLevelType w:val="hybridMultilevel"/>
    <w:tmpl w:val="8666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A468D"/>
    <w:multiLevelType w:val="hybridMultilevel"/>
    <w:tmpl w:val="A99E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32FC8"/>
    <w:multiLevelType w:val="hybridMultilevel"/>
    <w:tmpl w:val="01DE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C774C"/>
    <w:multiLevelType w:val="hybridMultilevel"/>
    <w:tmpl w:val="D4C2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62E9F"/>
    <w:multiLevelType w:val="hybridMultilevel"/>
    <w:tmpl w:val="A14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566B3"/>
    <w:multiLevelType w:val="hybridMultilevel"/>
    <w:tmpl w:val="6E3C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92B27"/>
    <w:multiLevelType w:val="hybridMultilevel"/>
    <w:tmpl w:val="4CEC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0486A"/>
    <w:multiLevelType w:val="hybridMultilevel"/>
    <w:tmpl w:val="824C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240376"/>
    <w:multiLevelType w:val="hybridMultilevel"/>
    <w:tmpl w:val="083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F5DAB"/>
    <w:multiLevelType w:val="hybridMultilevel"/>
    <w:tmpl w:val="852C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1033D"/>
    <w:multiLevelType w:val="hybridMultilevel"/>
    <w:tmpl w:val="32E610A4"/>
    <w:lvl w:ilvl="0" w:tplc="604EF80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4">
    <w:nsid w:val="4BF25387"/>
    <w:multiLevelType w:val="hybridMultilevel"/>
    <w:tmpl w:val="96F6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94E0B"/>
    <w:multiLevelType w:val="hybridMultilevel"/>
    <w:tmpl w:val="7D5A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3434C6"/>
    <w:multiLevelType w:val="hybridMultilevel"/>
    <w:tmpl w:val="9A90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FA3256"/>
    <w:multiLevelType w:val="hybridMultilevel"/>
    <w:tmpl w:val="972E4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81C0D"/>
    <w:multiLevelType w:val="hybridMultilevel"/>
    <w:tmpl w:val="A13AC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D51C73"/>
    <w:multiLevelType w:val="hybridMultilevel"/>
    <w:tmpl w:val="2F4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737A7B"/>
    <w:multiLevelType w:val="hybridMultilevel"/>
    <w:tmpl w:val="35AA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B736B2"/>
    <w:multiLevelType w:val="hybridMultilevel"/>
    <w:tmpl w:val="364E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944ED"/>
    <w:multiLevelType w:val="hybridMultilevel"/>
    <w:tmpl w:val="BA5AB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6E1387"/>
    <w:multiLevelType w:val="hybridMultilevel"/>
    <w:tmpl w:val="4ABA22A2"/>
    <w:lvl w:ilvl="0" w:tplc="BD0AC29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4">
    <w:nsid w:val="7D631EB6"/>
    <w:multiLevelType w:val="hybridMultilevel"/>
    <w:tmpl w:val="B3622A22"/>
    <w:lvl w:ilvl="0" w:tplc="346C9BD6">
      <w:start w:val="20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3"/>
  </w:num>
  <w:num w:numId="4">
    <w:abstractNumId w:val="24"/>
  </w:num>
  <w:num w:numId="5">
    <w:abstractNumId w:val="15"/>
  </w:num>
  <w:num w:numId="6">
    <w:abstractNumId w:val="22"/>
  </w:num>
  <w:num w:numId="7">
    <w:abstractNumId w:val="10"/>
  </w:num>
  <w:num w:numId="8">
    <w:abstractNumId w:val="7"/>
  </w:num>
  <w:num w:numId="9">
    <w:abstractNumId w:val="3"/>
  </w:num>
  <w:num w:numId="10">
    <w:abstractNumId w:val="19"/>
  </w:num>
  <w:num w:numId="11">
    <w:abstractNumId w:val="1"/>
  </w:num>
  <w:num w:numId="12">
    <w:abstractNumId w:val="9"/>
  </w:num>
  <w:num w:numId="13">
    <w:abstractNumId w:val="14"/>
  </w:num>
  <w:num w:numId="14">
    <w:abstractNumId w:val="5"/>
  </w:num>
  <w:num w:numId="15">
    <w:abstractNumId w:val="20"/>
  </w:num>
  <w:num w:numId="16">
    <w:abstractNumId w:val="17"/>
  </w:num>
  <w:num w:numId="17">
    <w:abstractNumId w:val="21"/>
  </w:num>
  <w:num w:numId="18">
    <w:abstractNumId w:val="6"/>
  </w:num>
  <w:num w:numId="19">
    <w:abstractNumId w:val="2"/>
  </w:num>
  <w:num w:numId="20">
    <w:abstractNumId w:val="12"/>
  </w:num>
  <w:num w:numId="21">
    <w:abstractNumId w:val="16"/>
  </w:num>
  <w:num w:numId="22">
    <w:abstractNumId w:val="11"/>
  </w:num>
  <w:num w:numId="23">
    <w:abstractNumId w:val="0"/>
  </w:num>
  <w:num w:numId="24">
    <w:abstractNumId w:val="4"/>
  </w:num>
  <w:num w:numId="2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31AB"/>
    <w:rsid w:val="00014A11"/>
    <w:rsid w:val="000167FC"/>
    <w:rsid w:val="00016D97"/>
    <w:rsid w:val="00020D17"/>
    <w:rsid w:val="00021598"/>
    <w:rsid w:val="000224A3"/>
    <w:rsid w:val="00025BF7"/>
    <w:rsid w:val="00026F9E"/>
    <w:rsid w:val="000270E7"/>
    <w:rsid w:val="0003016D"/>
    <w:rsid w:val="00030932"/>
    <w:rsid w:val="000310A4"/>
    <w:rsid w:val="00031F6C"/>
    <w:rsid w:val="00034C5F"/>
    <w:rsid w:val="00035492"/>
    <w:rsid w:val="00035A51"/>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9D9"/>
    <w:rsid w:val="00061E9E"/>
    <w:rsid w:val="000620A3"/>
    <w:rsid w:val="00062C98"/>
    <w:rsid w:val="00062ECC"/>
    <w:rsid w:val="00065C37"/>
    <w:rsid w:val="0006735F"/>
    <w:rsid w:val="000710F8"/>
    <w:rsid w:val="0007159A"/>
    <w:rsid w:val="00074012"/>
    <w:rsid w:val="000740CC"/>
    <w:rsid w:val="00074B05"/>
    <w:rsid w:val="000760DF"/>
    <w:rsid w:val="000764FF"/>
    <w:rsid w:val="000807BE"/>
    <w:rsid w:val="00080DFA"/>
    <w:rsid w:val="000811EB"/>
    <w:rsid w:val="00083E3D"/>
    <w:rsid w:val="000874FD"/>
    <w:rsid w:val="00092372"/>
    <w:rsid w:val="00093152"/>
    <w:rsid w:val="00093A90"/>
    <w:rsid w:val="00093F69"/>
    <w:rsid w:val="00094261"/>
    <w:rsid w:val="000971FB"/>
    <w:rsid w:val="000A10CF"/>
    <w:rsid w:val="000A1F46"/>
    <w:rsid w:val="000A3AD5"/>
    <w:rsid w:val="000A6E4E"/>
    <w:rsid w:val="000A6EFF"/>
    <w:rsid w:val="000A7AC2"/>
    <w:rsid w:val="000B22C7"/>
    <w:rsid w:val="000B252A"/>
    <w:rsid w:val="000B57D0"/>
    <w:rsid w:val="000B6580"/>
    <w:rsid w:val="000B7850"/>
    <w:rsid w:val="000C0255"/>
    <w:rsid w:val="000C0D3D"/>
    <w:rsid w:val="000C377D"/>
    <w:rsid w:val="000C3886"/>
    <w:rsid w:val="000C764C"/>
    <w:rsid w:val="000D0132"/>
    <w:rsid w:val="000D1349"/>
    <w:rsid w:val="000D23C3"/>
    <w:rsid w:val="000D2B62"/>
    <w:rsid w:val="000D33CA"/>
    <w:rsid w:val="000D4C8D"/>
    <w:rsid w:val="000D4DE0"/>
    <w:rsid w:val="000D5C83"/>
    <w:rsid w:val="000D650E"/>
    <w:rsid w:val="000D66EA"/>
    <w:rsid w:val="000D6D93"/>
    <w:rsid w:val="000E00D1"/>
    <w:rsid w:val="000E3D0C"/>
    <w:rsid w:val="000E470E"/>
    <w:rsid w:val="000E57DE"/>
    <w:rsid w:val="000E59D7"/>
    <w:rsid w:val="000F04CC"/>
    <w:rsid w:val="000F1189"/>
    <w:rsid w:val="000F2BD7"/>
    <w:rsid w:val="000F359F"/>
    <w:rsid w:val="000F521F"/>
    <w:rsid w:val="000F6A44"/>
    <w:rsid w:val="00100D63"/>
    <w:rsid w:val="00102728"/>
    <w:rsid w:val="00103C6A"/>
    <w:rsid w:val="00104EF8"/>
    <w:rsid w:val="001055FA"/>
    <w:rsid w:val="00107E2A"/>
    <w:rsid w:val="00113F8B"/>
    <w:rsid w:val="00114361"/>
    <w:rsid w:val="001143DD"/>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A6F"/>
    <w:rsid w:val="001366F3"/>
    <w:rsid w:val="00137C86"/>
    <w:rsid w:val="00137E1E"/>
    <w:rsid w:val="001424FA"/>
    <w:rsid w:val="00142945"/>
    <w:rsid w:val="001430CE"/>
    <w:rsid w:val="00143429"/>
    <w:rsid w:val="00144C98"/>
    <w:rsid w:val="00145332"/>
    <w:rsid w:val="00146811"/>
    <w:rsid w:val="00151E84"/>
    <w:rsid w:val="00152031"/>
    <w:rsid w:val="00155049"/>
    <w:rsid w:val="001555AB"/>
    <w:rsid w:val="001555D0"/>
    <w:rsid w:val="00156131"/>
    <w:rsid w:val="00161061"/>
    <w:rsid w:val="001623E2"/>
    <w:rsid w:val="001645F1"/>
    <w:rsid w:val="001646F0"/>
    <w:rsid w:val="00164A64"/>
    <w:rsid w:val="0016576F"/>
    <w:rsid w:val="00165977"/>
    <w:rsid w:val="00165AC8"/>
    <w:rsid w:val="00166577"/>
    <w:rsid w:val="00167390"/>
    <w:rsid w:val="0016779A"/>
    <w:rsid w:val="00167844"/>
    <w:rsid w:val="00174DF7"/>
    <w:rsid w:val="00182934"/>
    <w:rsid w:val="00183218"/>
    <w:rsid w:val="0018339E"/>
    <w:rsid w:val="00183A4C"/>
    <w:rsid w:val="00184833"/>
    <w:rsid w:val="001853A5"/>
    <w:rsid w:val="001860DE"/>
    <w:rsid w:val="001868AA"/>
    <w:rsid w:val="0018718B"/>
    <w:rsid w:val="00192E4A"/>
    <w:rsid w:val="00193607"/>
    <w:rsid w:val="001954ED"/>
    <w:rsid w:val="001969E8"/>
    <w:rsid w:val="00197244"/>
    <w:rsid w:val="001A04B2"/>
    <w:rsid w:val="001A23D6"/>
    <w:rsid w:val="001A353B"/>
    <w:rsid w:val="001A3953"/>
    <w:rsid w:val="001A4F0F"/>
    <w:rsid w:val="001A50D4"/>
    <w:rsid w:val="001A61C7"/>
    <w:rsid w:val="001A64EE"/>
    <w:rsid w:val="001A7B2B"/>
    <w:rsid w:val="001B0F52"/>
    <w:rsid w:val="001B2676"/>
    <w:rsid w:val="001B2ECF"/>
    <w:rsid w:val="001B3E3F"/>
    <w:rsid w:val="001B499D"/>
    <w:rsid w:val="001B577B"/>
    <w:rsid w:val="001B6A08"/>
    <w:rsid w:val="001B728F"/>
    <w:rsid w:val="001C1DCE"/>
    <w:rsid w:val="001C2D28"/>
    <w:rsid w:val="001C3817"/>
    <w:rsid w:val="001C3970"/>
    <w:rsid w:val="001C3BB4"/>
    <w:rsid w:val="001C431D"/>
    <w:rsid w:val="001C5785"/>
    <w:rsid w:val="001C70ED"/>
    <w:rsid w:val="001D03A8"/>
    <w:rsid w:val="001D07F5"/>
    <w:rsid w:val="001D2026"/>
    <w:rsid w:val="001D202D"/>
    <w:rsid w:val="001D254D"/>
    <w:rsid w:val="001D3ED2"/>
    <w:rsid w:val="001D6BB4"/>
    <w:rsid w:val="001D7F2B"/>
    <w:rsid w:val="001E1952"/>
    <w:rsid w:val="001E1C07"/>
    <w:rsid w:val="001E2478"/>
    <w:rsid w:val="001E35BE"/>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721"/>
    <w:rsid w:val="002116E8"/>
    <w:rsid w:val="00211E15"/>
    <w:rsid w:val="00212EBF"/>
    <w:rsid w:val="00216AA6"/>
    <w:rsid w:val="0022000A"/>
    <w:rsid w:val="00223A40"/>
    <w:rsid w:val="002250E8"/>
    <w:rsid w:val="002273AB"/>
    <w:rsid w:val="0022775E"/>
    <w:rsid w:val="002308C2"/>
    <w:rsid w:val="00230B1C"/>
    <w:rsid w:val="002320A5"/>
    <w:rsid w:val="00232610"/>
    <w:rsid w:val="00232D90"/>
    <w:rsid w:val="00233651"/>
    <w:rsid w:val="0023416A"/>
    <w:rsid w:val="002345F8"/>
    <w:rsid w:val="0023603E"/>
    <w:rsid w:val="0023744B"/>
    <w:rsid w:val="00237E46"/>
    <w:rsid w:val="00240A14"/>
    <w:rsid w:val="00240B2A"/>
    <w:rsid w:val="00241064"/>
    <w:rsid w:val="00241276"/>
    <w:rsid w:val="00241D14"/>
    <w:rsid w:val="00245381"/>
    <w:rsid w:val="00245E38"/>
    <w:rsid w:val="0025036C"/>
    <w:rsid w:val="0025122F"/>
    <w:rsid w:val="0025148E"/>
    <w:rsid w:val="00252194"/>
    <w:rsid w:val="00252396"/>
    <w:rsid w:val="00253C23"/>
    <w:rsid w:val="0025443A"/>
    <w:rsid w:val="00255B1D"/>
    <w:rsid w:val="00256F14"/>
    <w:rsid w:val="00260426"/>
    <w:rsid w:val="002604DB"/>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7EDB"/>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2A09"/>
    <w:rsid w:val="002E3E47"/>
    <w:rsid w:val="002E555A"/>
    <w:rsid w:val="002E5653"/>
    <w:rsid w:val="002E5DCA"/>
    <w:rsid w:val="002E74B3"/>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54FB"/>
    <w:rsid w:val="00305C75"/>
    <w:rsid w:val="00306809"/>
    <w:rsid w:val="00311251"/>
    <w:rsid w:val="00312B1C"/>
    <w:rsid w:val="003138A6"/>
    <w:rsid w:val="00313DC2"/>
    <w:rsid w:val="00314844"/>
    <w:rsid w:val="003154D6"/>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712B"/>
    <w:rsid w:val="003616C4"/>
    <w:rsid w:val="00361D14"/>
    <w:rsid w:val="003633A7"/>
    <w:rsid w:val="00363497"/>
    <w:rsid w:val="00365CD8"/>
    <w:rsid w:val="00365DEB"/>
    <w:rsid w:val="00372E6A"/>
    <w:rsid w:val="003737C6"/>
    <w:rsid w:val="00373B2F"/>
    <w:rsid w:val="00375170"/>
    <w:rsid w:val="00377C13"/>
    <w:rsid w:val="003850E0"/>
    <w:rsid w:val="00386976"/>
    <w:rsid w:val="00387E54"/>
    <w:rsid w:val="00387E57"/>
    <w:rsid w:val="00391137"/>
    <w:rsid w:val="00391B69"/>
    <w:rsid w:val="00391FDB"/>
    <w:rsid w:val="003948D9"/>
    <w:rsid w:val="0039544F"/>
    <w:rsid w:val="003A0573"/>
    <w:rsid w:val="003A0EA0"/>
    <w:rsid w:val="003A2B67"/>
    <w:rsid w:val="003A4E46"/>
    <w:rsid w:val="003A7392"/>
    <w:rsid w:val="003B2AB2"/>
    <w:rsid w:val="003B2B65"/>
    <w:rsid w:val="003B2C88"/>
    <w:rsid w:val="003B3917"/>
    <w:rsid w:val="003B46C9"/>
    <w:rsid w:val="003B5029"/>
    <w:rsid w:val="003B5271"/>
    <w:rsid w:val="003B728B"/>
    <w:rsid w:val="003B75AA"/>
    <w:rsid w:val="003C1E30"/>
    <w:rsid w:val="003C29B3"/>
    <w:rsid w:val="003C4709"/>
    <w:rsid w:val="003C658D"/>
    <w:rsid w:val="003C716E"/>
    <w:rsid w:val="003D0897"/>
    <w:rsid w:val="003D0B82"/>
    <w:rsid w:val="003D2C33"/>
    <w:rsid w:val="003D56FB"/>
    <w:rsid w:val="003D77D3"/>
    <w:rsid w:val="003E2B38"/>
    <w:rsid w:val="003E3017"/>
    <w:rsid w:val="003E3A7F"/>
    <w:rsid w:val="003E4C85"/>
    <w:rsid w:val="003E52AF"/>
    <w:rsid w:val="003E7257"/>
    <w:rsid w:val="003F1A08"/>
    <w:rsid w:val="003F1FBB"/>
    <w:rsid w:val="003F2271"/>
    <w:rsid w:val="003F262D"/>
    <w:rsid w:val="003F4019"/>
    <w:rsid w:val="003F40BE"/>
    <w:rsid w:val="003F51CF"/>
    <w:rsid w:val="003F6CD6"/>
    <w:rsid w:val="003F77D7"/>
    <w:rsid w:val="004022B3"/>
    <w:rsid w:val="00402D30"/>
    <w:rsid w:val="00403BCB"/>
    <w:rsid w:val="0040568B"/>
    <w:rsid w:val="0040610B"/>
    <w:rsid w:val="004068EA"/>
    <w:rsid w:val="0041091A"/>
    <w:rsid w:val="00412A4D"/>
    <w:rsid w:val="004130AA"/>
    <w:rsid w:val="0041375F"/>
    <w:rsid w:val="00415934"/>
    <w:rsid w:val="00415B45"/>
    <w:rsid w:val="00415C42"/>
    <w:rsid w:val="0041643C"/>
    <w:rsid w:val="00421560"/>
    <w:rsid w:val="00423588"/>
    <w:rsid w:val="00424FFC"/>
    <w:rsid w:val="004259C4"/>
    <w:rsid w:val="00426532"/>
    <w:rsid w:val="0042777A"/>
    <w:rsid w:val="00427961"/>
    <w:rsid w:val="004306F5"/>
    <w:rsid w:val="0043078B"/>
    <w:rsid w:val="00430C6F"/>
    <w:rsid w:val="00434A9C"/>
    <w:rsid w:val="00434FB9"/>
    <w:rsid w:val="00442E59"/>
    <w:rsid w:val="00443018"/>
    <w:rsid w:val="0044321F"/>
    <w:rsid w:val="00443D7E"/>
    <w:rsid w:val="004445EC"/>
    <w:rsid w:val="004456BD"/>
    <w:rsid w:val="00446CCC"/>
    <w:rsid w:val="004549FD"/>
    <w:rsid w:val="00454EA8"/>
    <w:rsid w:val="00456DD1"/>
    <w:rsid w:val="00461001"/>
    <w:rsid w:val="004619A3"/>
    <w:rsid w:val="00462BEA"/>
    <w:rsid w:val="00465B41"/>
    <w:rsid w:val="004675CE"/>
    <w:rsid w:val="0046797E"/>
    <w:rsid w:val="004679CF"/>
    <w:rsid w:val="004706ED"/>
    <w:rsid w:val="00471404"/>
    <w:rsid w:val="00473DE7"/>
    <w:rsid w:val="00474A33"/>
    <w:rsid w:val="0047681A"/>
    <w:rsid w:val="00476A42"/>
    <w:rsid w:val="00476E75"/>
    <w:rsid w:val="0047718D"/>
    <w:rsid w:val="00480634"/>
    <w:rsid w:val="00480DA5"/>
    <w:rsid w:val="00482E61"/>
    <w:rsid w:val="00491180"/>
    <w:rsid w:val="00492A51"/>
    <w:rsid w:val="004931D6"/>
    <w:rsid w:val="00493759"/>
    <w:rsid w:val="00495762"/>
    <w:rsid w:val="0049636C"/>
    <w:rsid w:val="00496836"/>
    <w:rsid w:val="0049782C"/>
    <w:rsid w:val="004A02F2"/>
    <w:rsid w:val="004A0BD0"/>
    <w:rsid w:val="004A27A0"/>
    <w:rsid w:val="004A2C8C"/>
    <w:rsid w:val="004A672D"/>
    <w:rsid w:val="004A6941"/>
    <w:rsid w:val="004A6D40"/>
    <w:rsid w:val="004A767E"/>
    <w:rsid w:val="004B0696"/>
    <w:rsid w:val="004B13DE"/>
    <w:rsid w:val="004B4883"/>
    <w:rsid w:val="004B4BAA"/>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20CC0"/>
    <w:rsid w:val="00522870"/>
    <w:rsid w:val="005238BA"/>
    <w:rsid w:val="0052455E"/>
    <w:rsid w:val="00524BA8"/>
    <w:rsid w:val="00525A78"/>
    <w:rsid w:val="00525F5F"/>
    <w:rsid w:val="005260BD"/>
    <w:rsid w:val="005273F5"/>
    <w:rsid w:val="00530C84"/>
    <w:rsid w:val="0053204D"/>
    <w:rsid w:val="0053352F"/>
    <w:rsid w:val="00533D84"/>
    <w:rsid w:val="00534976"/>
    <w:rsid w:val="00536EA6"/>
    <w:rsid w:val="005374AB"/>
    <w:rsid w:val="00540595"/>
    <w:rsid w:val="00540FBE"/>
    <w:rsid w:val="00541025"/>
    <w:rsid w:val="0054315C"/>
    <w:rsid w:val="00543699"/>
    <w:rsid w:val="005444CD"/>
    <w:rsid w:val="00547AFE"/>
    <w:rsid w:val="005504BA"/>
    <w:rsid w:val="0055138B"/>
    <w:rsid w:val="0055577B"/>
    <w:rsid w:val="0055671E"/>
    <w:rsid w:val="0056004D"/>
    <w:rsid w:val="005604A4"/>
    <w:rsid w:val="00564289"/>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2F5D"/>
    <w:rsid w:val="00594E06"/>
    <w:rsid w:val="00595BD4"/>
    <w:rsid w:val="00595FF1"/>
    <w:rsid w:val="005A0E17"/>
    <w:rsid w:val="005A3375"/>
    <w:rsid w:val="005A4052"/>
    <w:rsid w:val="005A4B73"/>
    <w:rsid w:val="005A58CB"/>
    <w:rsid w:val="005A70D6"/>
    <w:rsid w:val="005B0D75"/>
    <w:rsid w:val="005B351A"/>
    <w:rsid w:val="005B5295"/>
    <w:rsid w:val="005B5C7E"/>
    <w:rsid w:val="005B6316"/>
    <w:rsid w:val="005C0907"/>
    <w:rsid w:val="005C0EC7"/>
    <w:rsid w:val="005C1F22"/>
    <w:rsid w:val="005C2950"/>
    <w:rsid w:val="005C30B3"/>
    <w:rsid w:val="005D1550"/>
    <w:rsid w:val="005D1960"/>
    <w:rsid w:val="005D23DD"/>
    <w:rsid w:val="005D4309"/>
    <w:rsid w:val="005D4739"/>
    <w:rsid w:val="005D5786"/>
    <w:rsid w:val="005E1127"/>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B61"/>
    <w:rsid w:val="006022FB"/>
    <w:rsid w:val="006030D4"/>
    <w:rsid w:val="0060331E"/>
    <w:rsid w:val="00603640"/>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FCC"/>
    <w:rsid w:val="0063511E"/>
    <w:rsid w:val="006357D3"/>
    <w:rsid w:val="006375D7"/>
    <w:rsid w:val="00637B13"/>
    <w:rsid w:val="00640732"/>
    <w:rsid w:val="00640C5F"/>
    <w:rsid w:val="006438A9"/>
    <w:rsid w:val="0064448E"/>
    <w:rsid w:val="006452DF"/>
    <w:rsid w:val="00646190"/>
    <w:rsid w:val="006474AF"/>
    <w:rsid w:val="006516F1"/>
    <w:rsid w:val="00653B23"/>
    <w:rsid w:val="006545FA"/>
    <w:rsid w:val="00655AFB"/>
    <w:rsid w:val="00655C00"/>
    <w:rsid w:val="00655C36"/>
    <w:rsid w:val="00656467"/>
    <w:rsid w:val="006577EA"/>
    <w:rsid w:val="00657F42"/>
    <w:rsid w:val="006612D9"/>
    <w:rsid w:val="00661FCA"/>
    <w:rsid w:val="00662D8E"/>
    <w:rsid w:val="006631C0"/>
    <w:rsid w:val="00665194"/>
    <w:rsid w:val="0066594A"/>
    <w:rsid w:val="0066689D"/>
    <w:rsid w:val="0066692E"/>
    <w:rsid w:val="00670117"/>
    <w:rsid w:val="00671E0F"/>
    <w:rsid w:val="00677F24"/>
    <w:rsid w:val="00680C3D"/>
    <w:rsid w:val="00681546"/>
    <w:rsid w:val="00682116"/>
    <w:rsid w:val="006822CE"/>
    <w:rsid w:val="00683597"/>
    <w:rsid w:val="00686877"/>
    <w:rsid w:val="006873E7"/>
    <w:rsid w:val="00687C4F"/>
    <w:rsid w:val="00693E5E"/>
    <w:rsid w:val="00693FED"/>
    <w:rsid w:val="00697CAD"/>
    <w:rsid w:val="006A0640"/>
    <w:rsid w:val="006A0969"/>
    <w:rsid w:val="006A30B5"/>
    <w:rsid w:val="006A3271"/>
    <w:rsid w:val="006A4985"/>
    <w:rsid w:val="006A4CFC"/>
    <w:rsid w:val="006A508C"/>
    <w:rsid w:val="006A6B76"/>
    <w:rsid w:val="006A7538"/>
    <w:rsid w:val="006A79D7"/>
    <w:rsid w:val="006B0890"/>
    <w:rsid w:val="006B0C6A"/>
    <w:rsid w:val="006B199E"/>
    <w:rsid w:val="006B298B"/>
    <w:rsid w:val="006B2C17"/>
    <w:rsid w:val="006C12F0"/>
    <w:rsid w:val="006C1F85"/>
    <w:rsid w:val="006C352B"/>
    <w:rsid w:val="006C3A70"/>
    <w:rsid w:val="006C471E"/>
    <w:rsid w:val="006C5D26"/>
    <w:rsid w:val="006C6B74"/>
    <w:rsid w:val="006C6C3B"/>
    <w:rsid w:val="006C7526"/>
    <w:rsid w:val="006C7645"/>
    <w:rsid w:val="006D0155"/>
    <w:rsid w:val="006D04C8"/>
    <w:rsid w:val="006D3676"/>
    <w:rsid w:val="006D3BA8"/>
    <w:rsid w:val="006E078D"/>
    <w:rsid w:val="006E357F"/>
    <w:rsid w:val="006E4A05"/>
    <w:rsid w:val="006F10ED"/>
    <w:rsid w:val="006F1389"/>
    <w:rsid w:val="006F1DB2"/>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441F"/>
    <w:rsid w:val="0071486F"/>
    <w:rsid w:val="00715CE6"/>
    <w:rsid w:val="0071705B"/>
    <w:rsid w:val="0071749C"/>
    <w:rsid w:val="00717E65"/>
    <w:rsid w:val="007213E4"/>
    <w:rsid w:val="0072183E"/>
    <w:rsid w:val="0072294D"/>
    <w:rsid w:val="00723112"/>
    <w:rsid w:val="00725AF0"/>
    <w:rsid w:val="00725E64"/>
    <w:rsid w:val="00737066"/>
    <w:rsid w:val="0074034F"/>
    <w:rsid w:val="00740DE3"/>
    <w:rsid w:val="00740E2E"/>
    <w:rsid w:val="00741920"/>
    <w:rsid w:val="007423DA"/>
    <w:rsid w:val="00742D28"/>
    <w:rsid w:val="0074376A"/>
    <w:rsid w:val="00744098"/>
    <w:rsid w:val="00744AEB"/>
    <w:rsid w:val="00747F5C"/>
    <w:rsid w:val="00750666"/>
    <w:rsid w:val="00751460"/>
    <w:rsid w:val="007534CC"/>
    <w:rsid w:val="007539BA"/>
    <w:rsid w:val="007548ED"/>
    <w:rsid w:val="00755639"/>
    <w:rsid w:val="007557AF"/>
    <w:rsid w:val="00755D5A"/>
    <w:rsid w:val="00756C8C"/>
    <w:rsid w:val="0075791A"/>
    <w:rsid w:val="00760225"/>
    <w:rsid w:val="00763976"/>
    <w:rsid w:val="007639DE"/>
    <w:rsid w:val="0076586F"/>
    <w:rsid w:val="007666B9"/>
    <w:rsid w:val="00767EB2"/>
    <w:rsid w:val="007719EE"/>
    <w:rsid w:val="00772E62"/>
    <w:rsid w:val="00774776"/>
    <w:rsid w:val="007748C9"/>
    <w:rsid w:val="00775428"/>
    <w:rsid w:val="00775607"/>
    <w:rsid w:val="0077703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3B79"/>
    <w:rsid w:val="007B51ED"/>
    <w:rsid w:val="007B588F"/>
    <w:rsid w:val="007B78F7"/>
    <w:rsid w:val="007C13A2"/>
    <w:rsid w:val="007C20AF"/>
    <w:rsid w:val="007C3D6E"/>
    <w:rsid w:val="007C554B"/>
    <w:rsid w:val="007C76B7"/>
    <w:rsid w:val="007D75E1"/>
    <w:rsid w:val="007E1F9D"/>
    <w:rsid w:val="007E4252"/>
    <w:rsid w:val="007E5B63"/>
    <w:rsid w:val="007E5F54"/>
    <w:rsid w:val="007E64DF"/>
    <w:rsid w:val="007F4643"/>
    <w:rsid w:val="007F52C4"/>
    <w:rsid w:val="00801A95"/>
    <w:rsid w:val="00802E22"/>
    <w:rsid w:val="00803054"/>
    <w:rsid w:val="0080613C"/>
    <w:rsid w:val="0080742F"/>
    <w:rsid w:val="0081201D"/>
    <w:rsid w:val="00812F84"/>
    <w:rsid w:val="0081302B"/>
    <w:rsid w:val="00813432"/>
    <w:rsid w:val="00813B88"/>
    <w:rsid w:val="00815E28"/>
    <w:rsid w:val="0081667B"/>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40F97"/>
    <w:rsid w:val="008439F6"/>
    <w:rsid w:val="008441FA"/>
    <w:rsid w:val="0084553F"/>
    <w:rsid w:val="0084702D"/>
    <w:rsid w:val="00847FF6"/>
    <w:rsid w:val="00850B64"/>
    <w:rsid w:val="00850F19"/>
    <w:rsid w:val="0085416C"/>
    <w:rsid w:val="008556F4"/>
    <w:rsid w:val="00855F98"/>
    <w:rsid w:val="0085686B"/>
    <w:rsid w:val="008572CF"/>
    <w:rsid w:val="00861944"/>
    <w:rsid w:val="008622AE"/>
    <w:rsid w:val="00862C6B"/>
    <w:rsid w:val="00863F13"/>
    <w:rsid w:val="008652E5"/>
    <w:rsid w:val="00867328"/>
    <w:rsid w:val="00870CC9"/>
    <w:rsid w:val="00870DCB"/>
    <w:rsid w:val="0087411C"/>
    <w:rsid w:val="008745BD"/>
    <w:rsid w:val="00875054"/>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6FD"/>
    <w:rsid w:val="00895926"/>
    <w:rsid w:val="00895CB4"/>
    <w:rsid w:val="008A0676"/>
    <w:rsid w:val="008A3A06"/>
    <w:rsid w:val="008A562A"/>
    <w:rsid w:val="008B2EFF"/>
    <w:rsid w:val="008B2F99"/>
    <w:rsid w:val="008B31C1"/>
    <w:rsid w:val="008B33FE"/>
    <w:rsid w:val="008B475C"/>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68A5"/>
    <w:rsid w:val="00917431"/>
    <w:rsid w:val="009207E9"/>
    <w:rsid w:val="009222C8"/>
    <w:rsid w:val="00923D5D"/>
    <w:rsid w:val="009244DA"/>
    <w:rsid w:val="00931645"/>
    <w:rsid w:val="00933E6C"/>
    <w:rsid w:val="0093447C"/>
    <w:rsid w:val="0093620A"/>
    <w:rsid w:val="00937E4A"/>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793"/>
    <w:rsid w:val="00954C61"/>
    <w:rsid w:val="00954DFA"/>
    <w:rsid w:val="00962247"/>
    <w:rsid w:val="00962578"/>
    <w:rsid w:val="00962F82"/>
    <w:rsid w:val="009634A1"/>
    <w:rsid w:val="00964DFC"/>
    <w:rsid w:val="00966C67"/>
    <w:rsid w:val="0096763D"/>
    <w:rsid w:val="00967E30"/>
    <w:rsid w:val="00971465"/>
    <w:rsid w:val="00971BE9"/>
    <w:rsid w:val="00971D0E"/>
    <w:rsid w:val="00972AA0"/>
    <w:rsid w:val="009736C1"/>
    <w:rsid w:val="00973FBF"/>
    <w:rsid w:val="00974E2F"/>
    <w:rsid w:val="00975F84"/>
    <w:rsid w:val="00976CE4"/>
    <w:rsid w:val="00980C07"/>
    <w:rsid w:val="009816BF"/>
    <w:rsid w:val="0098322C"/>
    <w:rsid w:val="00984035"/>
    <w:rsid w:val="00984A62"/>
    <w:rsid w:val="00984FF5"/>
    <w:rsid w:val="00985E80"/>
    <w:rsid w:val="0098766D"/>
    <w:rsid w:val="00993C3B"/>
    <w:rsid w:val="00996FDA"/>
    <w:rsid w:val="009A14B5"/>
    <w:rsid w:val="009A1800"/>
    <w:rsid w:val="009A3E6B"/>
    <w:rsid w:val="009A4123"/>
    <w:rsid w:val="009A4BFD"/>
    <w:rsid w:val="009B0EEF"/>
    <w:rsid w:val="009B1884"/>
    <w:rsid w:val="009B2BF2"/>
    <w:rsid w:val="009B35C3"/>
    <w:rsid w:val="009B3A0E"/>
    <w:rsid w:val="009B4BB2"/>
    <w:rsid w:val="009C278B"/>
    <w:rsid w:val="009C6951"/>
    <w:rsid w:val="009D13BE"/>
    <w:rsid w:val="009D17BC"/>
    <w:rsid w:val="009D17CE"/>
    <w:rsid w:val="009D1834"/>
    <w:rsid w:val="009D45CF"/>
    <w:rsid w:val="009D4AF8"/>
    <w:rsid w:val="009D4B60"/>
    <w:rsid w:val="009D4E13"/>
    <w:rsid w:val="009D68FF"/>
    <w:rsid w:val="009E0BA4"/>
    <w:rsid w:val="009E1273"/>
    <w:rsid w:val="009E1F7F"/>
    <w:rsid w:val="009E3851"/>
    <w:rsid w:val="009E470D"/>
    <w:rsid w:val="009E48F4"/>
    <w:rsid w:val="009E4CAA"/>
    <w:rsid w:val="009E51AB"/>
    <w:rsid w:val="009E54DB"/>
    <w:rsid w:val="009E61D6"/>
    <w:rsid w:val="009E7D6E"/>
    <w:rsid w:val="009F0D17"/>
    <w:rsid w:val="009F3689"/>
    <w:rsid w:val="009F60FC"/>
    <w:rsid w:val="00A003F2"/>
    <w:rsid w:val="00A0181B"/>
    <w:rsid w:val="00A02B57"/>
    <w:rsid w:val="00A033B1"/>
    <w:rsid w:val="00A043FC"/>
    <w:rsid w:val="00A04B66"/>
    <w:rsid w:val="00A05611"/>
    <w:rsid w:val="00A05B85"/>
    <w:rsid w:val="00A05BD3"/>
    <w:rsid w:val="00A05F1F"/>
    <w:rsid w:val="00A07FD9"/>
    <w:rsid w:val="00A1259C"/>
    <w:rsid w:val="00A12F4D"/>
    <w:rsid w:val="00A13CEC"/>
    <w:rsid w:val="00A13E13"/>
    <w:rsid w:val="00A2299D"/>
    <w:rsid w:val="00A23514"/>
    <w:rsid w:val="00A23CB1"/>
    <w:rsid w:val="00A24004"/>
    <w:rsid w:val="00A2429E"/>
    <w:rsid w:val="00A25DB2"/>
    <w:rsid w:val="00A26D8C"/>
    <w:rsid w:val="00A3134B"/>
    <w:rsid w:val="00A31D5B"/>
    <w:rsid w:val="00A33823"/>
    <w:rsid w:val="00A342D1"/>
    <w:rsid w:val="00A34510"/>
    <w:rsid w:val="00A35D5C"/>
    <w:rsid w:val="00A36C6E"/>
    <w:rsid w:val="00A37817"/>
    <w:rsid w:val="00A4100F"/>
    <w:rsid w:val="00A4146F"/>
    <w:rsid w:val="00A417A5"/>
    <w:rsid w:val="00A50328"/>
    <w:rsid w:val="00A514DC"/>
    <w:rsid w:val="00A51610"/>
    <w:rsid w:val="00A51EC8"/>
    <w:rsid w:val="00A5300B"/>
    <w:rsid w:val="00A53AF9"/>
    <w:rsid w:val="00A54883"/>
    <w:rsid w:val="00A601C5"/>
    <w:rsid w:val="00A6251F"/>
    <w:rsid w:val="00A633F9"/>
    <w:rsid w:val="00A66320"/>
    <w:rsid w:val="00A66A55"/>
    <w:rsid w:val="00A7068F"/>
    <w:rsid w:val="00A70AFD"/>
    <w:rsid w:val="00A70EB4"/>
    <w:rsid w:val="00A7336B"/>
    <w:rsid w:val="00A73D0C"/>
    <w:rsid w:val="00A76528"/>
    <w:rsid w:val="00A76644"/>
    <w:rsid w:val="00A803DC"/>
    <w:rsid w:val="00A81060"/>
    <w:rsid w:val="00A82196"/>
    <w:rsid w:val="00A85258"/>
    <w:rsid w:val="00A90E0F"/>
    <w:rsid w:val="00A92C4F"/>
    <w:rsid w:val="00A93A81"/>
    <w:rsid w:val="00A94885"/>
    <w:rsid w:val="00A9551A"/>
    <w:rsid w:val="00A9588E"/>
    <w:rsid w:val="00A96539"/>
    <w:rsid w:val="00AA0945"/>
    <w:rsid w:val="00AA0FFE"/>
    <w:rsid w:val="00AA19B8"/>
    <w:rsid w:val="00AA1AEF"/>
    <w:rsid w:val="00AA2927"/>
    <w:rsid w:val="00AA49DC"/>
    <w:rsid w:val="00AA500D"/>
    <w:rsid w:val="00AA54E1"/>
    <w:rsid w:val="00AB0635"/>
    <w:rsid w:val="00AB116C"/>
    <w:rsid w:val="00AB1B61"/>
    <w:rsid w:val="00AB1E7A"/>
    <w:rsid w:val="00AB2B70"/>
    <w:rsid w:val="00AB3385"/>
    <w:rsid w:val="00AB35CE"/>
    <w:rsid w:val="00AB3BB2"/>
    <w:rsid w:val="00AB48A8"/>
    <w:rsid w:val="00AC08A6"/>
    <w:rsid w:val="00AC499A"/>
    <w:rsid w:val="00AC4DBF"/>
    <w:rsid w:val="00AC730F"/>
    <w:rsid w:val="00AD0321"/>
    <w:rsid w:val="00AD0E36"/>
    <w:rsid w:val="00AD1BB3"/>
    <w:rsid w:val="00AD2024"/>
    <w:rsid w:val="00AD2B09"/>
    <w:rsid w:val="00AD2C48"/>
    <w:rsid w:val="00AD394D"/>
    <w:rsid w:val="00AD3D43"/>
    <w:rsid w:val="00AD3FB9"/>
    <w:rsid w:val="00AD5DD2"/>
    <w:rsid w:val="00AD7565"/>
    <w:rsid w:val="00AE0F5E"/>
    <w:rsid w:val="00AE100C"/>
    <w:rsid w:val="00AE4B72"/>
    <w:rsid w:val="00AE6434"/>
    <w:rsid w:val="00AF090C"/>
    <w:rsid w:val="00AF19A0"/>
    <w:rsid w:val="00AF405C"/>
    <w:rsid w:val="00AF6A6B"/>
    <w:rsid w:val="00AF7645"/>
    <w:rsid w:val="00AF79C9"/>
    <w:rsid w:val="00B03C75"/>
    <w:rsid w:val="00B04D90"/>
    <w:rsid w:val="00B04DD9"/>
    <w:rsid w:val="00B073AC"/>
    <w:rsid w:val="00B0762C"/>
    <w:rsid w:val="00B12BB7"/>
    <w:rsid w:val="00B14C5D"/>
    <w:rsid w:val="00B15EA5"/>
    <w:rsid w:val="00B22DDC"/>
    <w:rsid w:val="00B235C2"/>
    <w:rsid w:val="00B241B3"/>
    <w:rsid w:val="00B256F6"/>
    <w:rsid w:val="00B259DD"/>
    <w:rsid w:val="00B26C68"/>
    <w:rsid w:val="00B273D0"/>
    <w:rsid w:val="00B30763"/>
    <w:rsid w:val="00B30A5E"/>
    <w:rsid w:val="00B335EB"/>
    <w:rsid w:val="00B34500"/>
    <w:rsid w:val="00B348F0"/>
    <w:rsid w:val="00B35378"/>
    <w:rsid w:val="00B365F9"/>
    <w:rsid w:val="00B3788B"/>
    <w:rsid w:val="00B40D8D"/>
    <w:rsid w:val="00B42BD4"/>
    <w:rsid w:val="00B431B1"/>
    <w:rsid w:val="00B4350C"/>
    <w:rsid w:val="00B466B1"/>
    <w:rsid w:val="00B47109"/>
    <w:rsid w:val="00B472C1"/>
    <w:rsid w:val="00B5279D"/>
    <w:rsid w:val="00B535EF"/>
    <w:rsid w:val="00B53648"/>
    <w:rsid w:val="00B54909"/>
    <w:rsid w:val="00B57918"/>
    <w:rsid w:val="00B6044B"/>
    <w:rsid w:val="00B614E1"/>
    <w:rsid w:val="00B61ECA"/>
    <w:rsid w:val="00B62CED"/>
    <w:rsid w:val="00B63DD6"/>
    <w:rsid w:val="00B63F8A"/>
    <w:rsid w:val="00B643F8"/>
    <w:rsid w:val="00B65CC9"/>
    <w:rsid w:val="00B65E6B"/>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2FE2"/>
    <w:rsid w:val="00B93D8F"/>
    <w:rsid w:val="00B94DAF"/>
    <w:rsid w:val="00B96754"/>
    <w:rsid w:val="00BA03A9"/>
    <w:rsid w:val="00BA1C3F"/>
    <w:rsid w:val="00BA27B2"/>
    <w:rsid w:val="00BA379D"/>
    <w:rsid w:val="00BA38B5"/>
    <w:rsid w:val="00BA53B8"/>
    <w:rsid w:val="00BA690F"/>
    <w:rsid w:val="00BA7D22"/>
    <w:rsid w:val="00BB1CBF"/>
    <w:rsid w:val="00BB1FDE"/>
    <w:rsid w:val="00BB2313"/>
    <w:rsid w:val="00BB2C65"/>
    <w:rsid w:val="00BB774F"/>
    <w:rsid w:val="00BB7CCA"/>
    <w:rsid w:val="00BC0C0D"/>
    <w:rsid w:val="00BC1328"/>
    <w:rsid w:val="00BC20FE"/>
    <w:rsid w:val="00BC4A29"/>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12043"/>
    <w:rsid w:val="00C1215E"/>
    <w:rsid w:val="00C13779"/>
    <w:rsid w:val="00C13BC5"/>
    <w:rsid w:val="00C1440B"/>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70EF"/>
    <w:rsid w:val="00C37A9A"/>
    <w:rsid w:val="00C40E20"/>
    <w:rsid w:val="00C4211A"/>
    <w:rsid w:val="00C424F9"/>
    <w:rsid w:val="00C4379B"/>
    <w:rsid w:val="00C45DC3"/>
    <w:rsid w:val="00C46FCC"/>
    <w:rsid w:val="00C510B6"/>
    <w:rsid w:val="00C51297"/>
    <w:rsid w:val="00C5172C"/>
    <w:rsid w:val="00C517D0"/>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7736A"/>
    <w:rsid w:val="00C81791"/>
    <w:rsid w:val="00C81AFD"/>
    <w:rsid w:val="00C81D61"/>
    <w:rsid w:val="00C82882"/>
    <w:rsid w:val="00C830BF"/>
    <w:rsid w:val="00C8681E"/>
    <w:rsid w:val="00C8784F"/>
    <w:rsid w:val="00C90250"/>
    <w:rsid w:val="00C90594"/>
    <w:rsid w:val="00C90F01"/>
    <w:rsid w:val="00C93ADF"/>
    <w:rsid w:val="00C945CF"/>
    <w:rsid w:val="00C95AB0"/>
    <w:rsid w:val="00C97EF9"/>
    <w:rsid w:val="00CA0ECD"/>
    <w:rsid w:val="00CA0ED1"/>
    <w:rsid w:val="00CA1E3D"/>
    <w:rsid w:val="00CA449D"/>
    <w:rsid w:val="00CA48A5"/>
    <w:rsid w:val="00CA5ECA"/>
    <w:rsid w:val="00CA65D4"/>
    <w:rsid w:val="00CA685B"/>
    <w:rsid w:val="00CA6917"/>
    <w:rsid w:val="00CA7B54"/>
    <w:rsid w:val="00CB025C"/>
    <w:rsid w:val="00CB0A24"/>
    <w:rsid w:val="00CB176A"/>
    <w:rsid w:val="00CB2BB1"/>
    <w:rsid w:val="00CB2D67"/>
    <w:rsid w:val="00CB33DE"/>
    <w:rsid w:val="00CB343F"/>
    <w:rsid w:val="00CB6C8F"/>
    <w:rsid w:val="00CC18C8"/>
    <w:rsid w:val="00CC2D97"/>
    <w:rsid w:val="00CC38F5"/>
    <w:rsid w:val="00CC3F4F"/>
    <w:rsid w:val="00CC4329"/>
    <w:rsid w:val="00CC4333"/>
    <w:rsid w:val="00CC5A00"/>
    <w:rsid w:val="00CC5D3F"/>
    <w:rsid w:val="00CD03DC"/>
    <w:rsid w:val="00CD0537"/>
    <w:rsid w:val="00CD06F9"/>
    <w:rsid w:val="00CD1092"/>
    <w:rsid w:val="00CD4CE4"/>
    <w:rsid w:val="00CD61FB"/>
    <w:rsid w:val="00CD6465"/>
    <w:rsid w:val="00CD733B"/>
    <w:rsid w:val="00CD7704"/>
    <w:rsid w:val="00CD7899"/>
    <w:rsid w:val="00CE2034"/>
    <w:rsid w:val="00CE432F"/>
    <w:rsid w:val="00CE50AF"/>
    <w:rsid w:val="00CE66D0"/>
    <w:rsid w:val="00CE7683"/>
    <w:rsid w:val="00CF496E"/>
    <w:rsid w:val="00CF53B9"/>
    <w:rsid w:val="00CF7E2D"/>
    <w:rsid w:val="00D00950"/>
    <w:rsid w:val="00D01C00"/>
    <w:rsid w:val="00D0298C"/>
    <w:rsid w:val="00D043E6"/>
    <w:rsid w:val="00D05112"/>
    <w:rsid w:val="00D05B8E"/>
    <w:rsid w:val="00D10E83"/>
    <w:rsid w:val="00D11224"/>
    <w:rsid w:val="00D11690"/>
    <w:rsid w:val="00D12CBB"/>
    <w:rsid w:val="00D135E4"/>
    <w:rsid w:val="00D13DD2"/>
    <w:rsid w:val="00D14AF2"/>
    <w:rsid w:val="00D1627A"/>
    <w:rsid w:val="00D16418"/>
    <w:rsid w:val="00D16C0A"/>
    <w:rsid w:val="00D16C6E"/>
    <w:rsid w:val="00D17972"/>
    <w:rsid w:val="00D21E79"/>
    <w:rsid w:val="00D2428C"/>
    <w:rsid w:val="00D2603D"/>
    <w:rsid w:val="00D268CC"/>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56CE6"/>
    <w:rsid w:val="00D60715"/>
    <w:rsid w:val="00D6138D"/>
    <w:rsid w:val="00D61965"/>
    <w:rsid w:val="00D6593C"/>
    <w:rsid w:val="00D65B71"/>
    <w:rsid w:val="00D66375"/>
    <w:rsid w:val="00D664B3"/>
    <w:rsid w:val="00D6740A"/>
    <w:rsid w:val="00D67429"/>
    <w:rsid w:val="00D70580"/>
    <w:rsid w:val="00D72D20"/>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A0AB8"/>
    <w:rsid w:val="00DA15BC"/>
    <w:rsid w:val="00DA19F5"/>
    <w:rsid w:val="00DA1EAD"/>
    <w:rsid w:val="00DA1F1C"/>
    <w:rsid w:val="00DA4C03"/>
    <w:rsid w:val="00DA5225"/>
    <w:rsid w:val="00DA6467"/>
    <w:rsid w:val="00DA75BB"/>
    <w:rsid w:val="00DA76AE"/>
    <w:rsid w:val="00DB023B"/>
    <w:rsid w:val="00DB0512"/>
    <w:rsid w:val="00DB0FE3"/>
    <w:rsid w:val="00DB16DE"/>
    <w:rsid w:val="00DB1C4D"/>
    <w:rsid w:val="00DB2EDB"/>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B80"/>
    <w:rsid w:val="00DF6CAD"/>
    <w:rsid w:val="00DF6CB8"/>
    <w:rsid w:val="00DF75B1"/>
    <w:rsid w:val="00DF7A5B"/>
    <w:rsid w:val="00E0051D"/>
    <w:rsid w:val="00E02692"/>
    <w:rsid w:val="00E03B98"/>
    <w:rsid w:val="00E04587"/>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5698"/>
    <w:rsid w:val="00E5627D"/>
    <w:rsid w:val="00E56CBC"/>
    <w:rsid w:val="00E57F89"/>
    <w:rsid w:val="00E62C9C"/>
    <w:rsid w:val="00E638AE"/>
    <w:rsid w:val="00E65062"/>
    <w:rsid w:val="00E67A64"/>
    <w:rsid w:val="00E70055"/>
    <w:rsid w:val="00E7157A"/>
    <w:rsid w:val="00E73FD1"/>
    <w:rsid w:val="00E75A1A"/>
    <w:rsid w:val="00E75D5C"/>
    <w:rsid w:val="00E75F40"/>
    <w:rsid w:val="00E774D6"/>
    <w:rsid w:val="00E806BF"/>
    <w:rsid w:val="00E80736"/>
    <w:rsid w:val="00E821F7"/>
    <w:rsid w:val="00E82A47"/>
    <w:rsid w:val="00E8326A"/>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16FA"/>
    <w:rsid w:val="00EF184E"/>
    <w:rsid w:val="00EF24CB"/>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F82"/>
    <w:rsid w:val="00F32D5F"/>
    <w:rsid w:val="00F3309B"/>
    <w:rsid w:val="00F33355"/>
    <w:rsid w:val="00F33FA5"/>
    <w:rsid w:val="00F343CE"/>
    <w:rsid w:val="00F362E0"/>
    <w:rsid w:val="00F41B3A"/>
    <w:rsid w:val="00F42338"/>
    <w:rsid w:val="00F42899"/>
    <w:rsid w:val="00F43FB6"/>
    <w:rsid w:val="00F45ABE"/>
    <w:rsid w:val="00F45D82"/>
    <w:rsid w:val="00F4650D"/>
    <w:rsid w:val="00F51C2D"/>
    <w:rsid w:val="00F51C7B"/>
    <w:rsid w:val="00F5240F"/>
    <w:rsid w:val="00F55834"/>
    <w:rsid w:val="00F56BAE"/>
    <w:rsid w:val="00F57438"/>
    <w:rsid w:val="00F60276"/>
    <w:rsid w:val="00F61DF1"/>
    <w:rsid w:val="00F63774"/>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582"/>
    <w:rsid w:val="00F97A98"/>
    <w:rsid w:val="00FA29A3"/>
    <w:rsid w:val="00FA2DB5"/>
    <w:rsid w:val="00FA4922"/>
    <w:rsid w:val="00FA496A"/>
    <w:rsid w:val="00FA548D"/>
    <w:rsid w:val="00FA575B"/>
    <w:rsid w:val="00FA7A82"/>
    <w:rsid w:val="00FB21E3"/>
    <w:rsid w:val="00FB280B"/>
    <w:rsid w:val="00FB37E4"/>
    <w:rsid w:val="00FB3B60"/>
    <w:rsid w:val="00FB62C6"/>
    <w:rsid w:val="00FC15FE"/>
    <w:rsid w:val="00FC360E"/>
    <w:rsid w:val="00FC439F"/>
    <w:rsid w:val="00FC53DA"/>
    <w:rsid w:val="00FD4EDC"/>
    <w:rsid w:val="00FD4FD8"/>
    <w:rsid w:val="00FD5C08"/>
    <w:rsid w:val="00FD78A8"/>
    <w:rsid w:val="00FE02E1"/>
    <w:rsid w:val="00FE1EDC"/>
    <w:rsid w:val="00FE36E8"/>
    <w:rsid w:val="00FE548F"/>
    <w:rsid w:val="00FE67B4"/>
    <w:rsid w:val="00FE79E4"/>
    <w:rsid w:val="00FE7DDA"/>
    <w:rsid w:val="00FF0ABF"/>
    <w:rsid w:val="00FF1F30"/>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24223-454C-4F04-851B-6554939B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6086</TotalTime>
  <Pages>16</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34832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1444</cp:revision>
  <dcterms:created xsi:type="dcterms:W3CDTF">2018-07-05T06:44:00Z</dcterms:created>
  <dcterms:modified xsi:type="dcterms:W3CDTF">2019-10-04T09:41:00Z</dcterms:modified>
</cp:coreProperties>
</file>