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F22F6" w14:textId="6F88A417" w:rsidR="00365DEB" w:rsidRPr="00565DE9" w:rsidRDefault="000B5330" w:rsidP="00D61965">
      <w:pPr>
        <w:spacing w:after="60"/>
        <w:jc w:val="center"/>
        <w:rPr>
          <w:b/>
        </w:rPr>
      </w:pPr>
      <w:r>
        <w:rPr>
          <w:b/>
        </w:rPr>
        <w:t>2017 S1</w:t>
      </w:r>
    </w:p>
    <w:p w14:paraId="4AD7C404" w14:textId="0FBBFFE4" w:rsidR="00BF2416" w:rsidRPr="00254ED4" w:rsidRDefault="00156ED9" w:rsidP="00BF2416">
      <w:pPr>
        <w:pStyle w:val="ListParagraph"/>
        <w:spacing w:after="60"/>
        <w:ind w:left="0"/>
        <w:rPr>
          <w:i/>
          <w:color w:val="000000" w:themeColor="text1"/>
          <w:lang w:val="en-GB"/>
        </w:rPr>
      </w:pPr>
      <w:r w:rsidRPr="00156ED9">
        <w:rPr>
          <w:b/>
          <w:color w:val="000000" w:themeColor="text1"/>
          <w:lang w:val="en-GB"/>
        </w:rPr>
        <w:t>Q</w:t>
      </w:r>
      <w:r w:rsidR="000B5330">
        <w:rPr>
          <w:rFonts w:hint="eastAsia"/>
          <w:b/>
          <w:color w:val="000000" w:themeColor="text1"/>
          <w:lang w:val="en-GB"/>
        </w:rPr>
        <w:t>1</w:t>
      </w:r>
      <w:r>
        <w:rPr>
          <w:color w:val="000000" w:themeColor="text1"/>
          <w:lang w:val="en-GB"/>
        </w:rPr>
        <w:t xml:space="preserve"> a)</w:t>
      </w:r>
      <w:r w:rsidR="00F5778B">
        <w:rPr>
          <w:color w:val="000000" w:themeColor="text1"/>
          <w:lang w:val="en-GB"/>
        </w:rPr>
        <w:t xml:space="preserve"> </w:t>
      </w:r>
      <w:proofErr w:type="spellStart"/>
      <w:r w:rsidR="00AE30B5">
        <w:rPr>
          <w:color w:val="000000" w:themeColor="text1"/>
          <w:lang w:val="en-GB"/>
        </w:rPr>
        <w:t>i</w:t>
      </w:r>
      <w:proofErr w:type="spellEnd"/>
      <w:r w:rsidR="00AE30B5">
        <w:rPr>
          <w:color w:val="000000" w:themeColor="text1"/>
          <w:lang w:val="en-GB"/>
        </w:rPr>
        <w:t xml:space="preserve">. </w:t>
      </w:r>
      <w:r w:rsidR="00DE4F07" w:rsidRPr="00254ED4">
        <w:rPr>
          <w:i/>
          <w:color w:val="000000" w:themeColor="text1"/>
          <w:lang w:val="en-GB"/>
        </w:rPr>
        <w:t>preferred approach for the calculation of the policy liabi</w:t>
      </w:r>
      <w:r w:rsidR="00254ED4" w:rsidRPr="00254ED4">
        <w:rPr>
          <w:i/>
          <w:color w:val="000000" w:themeColor="text1"/>
          <w:lang w:val="en-GB"/>
        </w:rPr>
        <w:t>lity for the BIGCO group scheme:</w:t>
      </w:r>
    </w:p>
    <w:p w14:paraId="7BEDBD83" w14:textId="400489CA" w:rsidR="00254ED4" w:rsidRDefault="00254ED4" w:rsidP="00EC4911">
      <w:pPr>
        <w:pStyle w:val="ListParagraph"/>
        <w:spacing w:after="60"/>
        <w:ind w:left="0"/>
        <w:rPr>
          <w:color w:val="000000" w:themeColor="text1"/>
        </w:rPr>
      </w:pPr>
      <w:r>
        <w:rPr>
          <w:color w:val="000000" w:themeColor="text1"/>
        </w:rPr>
        <w:t>To: CFO</w:t>
      </w:r>
    </w:p>
    <w:p w14:paraId="0926D23E" w14:textId="15AC080D" w:rsidR="00254ED4" w:rsidRDefault="00254ED4" w:rsidP="00EC4911">
      <w:pPr>
        <w:pStyle w:val="ListParagraph"/>
        <w:spacing w:after="60"/>
        <w:ind w:left="0"/>
        <w:rPr>
          <w:color w:val="000000" w:themeColor="text1"/>
        </w:rPr>
      </w:pPr>
      <w:r>
        <w:rPr>
          <w:color w:val="000000" w:themeColor="text1"/>
        </w:rPr>
        <w:t>Subject: Methods used for Policy Liability Calculation</w:t>
      </w:r>
    </w:p>
    <w:p w14:paraId="78F5ABF2" w14:textId="44367CBE" w:rsidR="00BF2416" w:rsidRDefault="00254ED4" w:rsidP="00EC4911">
      <w:pPr>
        <w:pStyle w:val="ListParagraph"/>
        <w:spacing w:after="60"/>
        <w:ind w:left="0"/>
        <w:rPr>
          <w:color w:val="000000" w:themeColor="text1"/>
        </w:rPr>
      </w:pPr>
      <w:r>
        <w:rPr>
          <w:color w:val="000000" w:themeColor="text1"/>
        </w:rPr>
        <w:t>Dear CFO,</w:t>
      </w:r>
    </w:p>
    <w:p w14:paraId="795C5F89" w14:textId="54FE811D" w:rsidR="00254ED4" w:rsidRDefault="00254ED4" w:rsidP="00EC4911">
      <w:pPr>
        <w:pStyle w:val="ListParagraph"/>
        <w:spacing w:after="60"/>
        <w:ind w:left="0"/>
        <w:rPr>
          <w:color w:val="000000" w:themeColor="text1"/>
        </w:rPr>
      </w:pPr>
      <w:r>
        <w:rPr>
          <w:color w:val="000000" w:themeColor="text1"/>
        </w:rPr>
        <w:t>Regarding your question on the methods that could be used for calculating the policy liability, I would like to propose using accumulation method for the new Group business.</w:t>
      </w:r>
    </w:p>
    <w:p w14:paraId="42AC2A59" w14:textId="77777777" w:rsidR="00254ED4" w:rsidRPr="005C2C8C" w:rsidRDefault="00254ED4" w:rsidP="00EC4911">
      <w:pPr>
        <w:pStyle w:val="ListParagraph"/>
        <w:spacing w:after="60"/>
        <w:ind w:left="0"/>
        <w:rPr>
          <w:color w:val="000000" w:themeColor="text1"/>
          <w:sz w:val="10"/>
        </w:rPr>
      </w:pPr>
    </w:p>
    <w:p w14:paraId="61E178FD" w14:textId="25D2D643" w:rsidR="00254ED4" w:rsidRDefault="00254ED4" w:rsidP="00EC4911">
      <w:pPr>
        <w:pStyle w:val="ListParagraph"/>
        <w:spacing w:after="60"/>
        <w:ind w:left="0"/>
        <w:rPr>
          <w:color w:val="000000" w:themeColor="text1"/>
        </w:rPr>
      </w:pPr>
      <w:r>
        <w:rPr>
          <w:color w:val="000000" w:themeColor="text1"/>
        </w:rPr>
        <w:t>Compared to the projection method, accumulation method is a simplified approach. It is particularly being used for group risk business which is short term and with</w:t>
      </w:r>
      <w:r w:rsidR="000E15F4">
        <w:rPr>
          <w:color w:val="000000" w:themeColor="text1"/>
        </w:rPr>
        <w:t xml:space="preserve"> low acquisition cost.</w:t>
      </w:r>
    </w:p>
    <w:p w14:paraId="1B12E328" w14:textId="77777777" w:rsidR="000E15F4" w:rsidRPr="005C2C8C" w:rsidRDefault="000E15F4" w:rsidP="00EC4911">
      <w:pPr>
        <w:pStyle w:val="ListParagraph"/>
        <w:spacing w:after="60"/>
        <w:ind w:left="0"/>
        <w:rPr>
          <w:color w:val="000000" w:themeColor="text1"/>
          <w:sz w:val="10"/>
        </w:rPr>
      </w:pPr>
    </w:p>
    <w:p w14:paraId="24728602" w14:textId="6E2432FF" w:rsidR="000E15F4" w:rsidRDefault="000E15F4" w:rsidP="00EC4911">
      <w:pPr>
        <w:pStyle w:val="ListParagraph"/>
        <w:spacing w:after="60"/>
        <w:ind w:left="0"/>
        <w:rPr>
          <w:color w:val="000000" w:themeColor="text1"/>
        </w:rPr>
      </w:pPr>
      <w:proofErr w:type="gramStart"/>
      <w:r>
        <w:rPr>
          <w:color w:val="000000" w:themeColor="text1"/>
        </w:rPr>
        <w:t>Also</w:t>
      </w:r>
      <w:proofErr w:type="gramEnd"/>
      <w:r>
        <w:rPr>
          <w:color w:val="000000" w:themeColor="text1"/>
        </w:rPr>
        <w:t xml:space="preserve"> it explicitly allows for claim reserves, which </w:t>
      </w:r>
      <w:r w:rsidR="005C2C8C">
        <w:rPr>
          <w:color w:val="000000" w:themeColor="text1"/>
        </w:rPr>
        <w:t>could</w:t>
      </w:r>
      <w:r>
        <w:rPr>
          <w:color w:val="000000" w:themeColor="text1"/>
        </w:rPr>
        <w:t xml:space="preserve"> be </w:t>
      </w:r>
      <w:r w:rsidR="005C2C8C">
        <w:rPr>
          <w:color w:val="000000" w:themeColor="text1"/>
        </w:rPr>
        <w:t>useful for</w:t>
      </w:r>
      <w:r>
        <w:rPr>
          <w:color w:val="000000" w:themeColor="text1"/>
        </w:rPr>
        <w:t xml:space="preserve"> the 10% Group death claims.</w:t>
      </w:r>
    </w:p>
    <w:p w14:paraId="14FEC734" w14:textId="77777777" w:rsidR="00254ED4" w:rsidRPr="005C2C8C" w:rsidRDefault="00254ED4" w:rsidP="00EC4911">
      <w:pPr>
        <w:pStyle w:val="ListParagraph"/>
        <w:spacing w:after="60"/>
        <w:ind w:left="0"/>
        <w:rPr>
          <w:color w:val="000000" w:themeColor="text1"/>
          <w:sz w:val="10"/>
        </w:rPr>
      </w:pPr>
    </w:p>
    <w:p w14:paraId="0D2CC03B" w14:textId="6902E36C" w:rsidR="00254ED4" w:rsidRDefault="00254ED4" w:rsidP="00EC4911">
      <w:pPr>
        <w:pStyle w:val="ListParagraph"/>
        <w:spacing w:after="60"/>
        <w:ind w:left="0"/>
        <w:rPr>
          <w:color w:val="000000" w:themeColor="text1"/>
        </w:rPr>
      </w:pPr>
      <w:r>
        <w:rPr>
          <w:color w:val="000000" w:themeColor="text1"/>
        </w:rPr>
        <w:t>The results will not be materially different from the projection method.</w:t>
      </w:r>
    </w:p>
    <w:p w14:paraId="33B32DB8" w14:textId="77777777" w:rsidR="00254ED4" w:rsidRPr="005C2C8C" w:rsidRDefault="00254ED4" w:rsidP="00EC4911">
      <w:pPr>
        <w:pStyle w:val="ListParagraph"/>
        <w:spacing w:after="60"/>
        <w:ind w:left="0"/>
        <w:rPr>
          <w:color w:val="000000" w:themeColor="text1"/>
          <w:sz w:val="10"/>
        </w:rPr>
      </w:pPr>
    </w:p>
    <w:p w14:paraId="3EA139CB" w14:textId="5313CC0A" w:rsidR="000E15F4" w:rsidRDefault="000E15F4" w:rsidP="00EC4911">
      <w:pPr>
        <w:pStyle w:val="ListParagraph"/>
        <w:spacing w:after="60"/>
        <w:ind w:left="0"/>
        <w:rPr>
          <w:color w:val="000000" w:themeColor="text1"/>
        </w:rPr>
      </w:pPr>
      <w:r>
        <w:rPr>
          <w:color w:val="000000" w:themeColor="text1"/>
        </w:rPr>
        <w:t>Regards, Valuation Actuary</w:t>
      </w:r>
    </w:p>
    <w:p w14:paraId="3987776C" w14:textId="77777777" w:rsidR="000E15F4" w:rsidRDefault="000E15F4" w:rsidP="00EC4911">
      <w:pPr>
        <w:pStyle w:val="ListParagraph"/>
        <w:spacing w:after="60"/>
        <w:ind w:left="0"/>
        <w:rPr>
          <w:color w:val="000000" w:themeColor="text1"/>
        </w:rPr>
      </w:pPr>
    </w:p>
    <w:p w14:paraId="76690F6C" w14:textId="77777777" w:rsidR="005C2C8C" w:rsidRPr="005C2C8C" w:rsidRDefault="005C2C8C" w:rsidP="005C2C8C">
      <w:pPr>
        <w:pStyle w:val="ListParagraph"/>
        <w:spacing w:after="60"/>
        <w:ind w:left="0"/>
        <w:rPr>
          <w:color w:val="000000" w:themeColor="text1"/>
        </w:rPr>
      </w:pPr>
      <w:r w:rsidRPr="005C2C8C">
        <w:rPr>
          <w:color w:val="000000" w:themeColor="text1"/>
        </w:rPr>
        <w:t>To: CFO, AUSLIFE</w:t>
      </w:r>
    </w:p>
    <w:p w14:paraId="6439B32B" w14:textId="77777777" w:rsidR="005C2C8C" w:rsidRDefault="005C2C8C" w:rsidP="005C2C8C">
      <w:pPr>
        <w:pStyle w:val="ListParagraph"/>
        <w:spacing w:after="60"/>
        <w:ind w:left="0"/>
        <w:rPr>
          <w:color w:val="000000" w:themeColor="text1"/>
        </w:rPr>
      </w:pPr>
      <w:r w:rsidRPr="005C2C8C">
        <w:rPr>
          <w:color w:val="000000" w:themeColor="text1"/>
        </w:rPr>
        <w:t xml:space="preserve">Subject: Valuation method for BIGCO scheme </w:t>
      </w:r>
    </w:p>
    <w:p w14:paraId="37819433" w14:textId="149B7621" w:rsidR="005C2C8C" w:rsidRPr="005C2C8C" w:rsidRDefault="005C2C8C" w:rsidP="005C2C8C">
      <w:pPr>
        <w:pStyle w:val="ListParagraph"/>
        <w:spacing w:after="60"/>
        <w:ind w:left="0"/>
        <w:rPr>
          <w:color w:val="000000" w:themeColor="text1"/>
        </w:rPr>
      </w:pPr>
      <w:r w:rsidRPr="005C2C8C">
        <w:rPr>
          <w:color w:val="000000" w:themeColor="text1"/>
        </w:rPr>
        <w:t>Dear CFO,</w:t>
      </w:r>
    </w:p>
    <w:p w14:paraId="28DA0F75" w14:textId="77777777" w:rsidR="005C2C8C" w:rsidRPr="005C2C8C" w:rsidRDefault="005C2C8C" w:rsidP="005C2C8C">
      <w:pPr>
        <w:pStyle w:val="ListParagraph"/>
        <w:spacing w:after="60"/>
        <w:ind w:left="0"/>
        <w:rPr>
          <w:color w:val="000000" w:themeColor="text1"/>
        </w:rPr>
      </w:pPr>
      <w:r w:rsidRPr="005C2C8C">
        <w:rPr>
          <w:color w:val="000000" w:themeColor="text1"/>
        </w:rPr>
        <w:t>In response to your query, I recommended using the accumulation approach for valuing the policy liabilities for the BIGCO scheme because, compared to the projection approach:</w:t>
      </w:r>
    </w:p>
    <w:p w14:paraId="508FCB27" w14:textId="3D76725E" w:rsidR="005C2C8C" w:rsidRPr="005C2C8C" w:rsidRDefault="005C2C8C" w:rsidP="005C2C8C">
      <w:pPr>
        <w:pStyle w:val="ListParagraph"/>
        <w:numPr>
          <w:ilvl w:val="0"/>
          <w:numId w:val="6"/>
        </w:numPr>
        <w:spacing w:after="60"/>
        <w:rPr>
          <w:color w:val="000000" w:themeColor="text1"/>
        </w:rPr>
      </w:pPr>
      <w:r w:rsidRPr="005C2C8C">
        <w:rPr>
          <w:color w:val="00B050"/>
        </w:rPr>
        <w:t xml:space="preserve">It is simpler </w:t>
      </w:r>
      <w:r w:rsidRPr="005C2C8C">
        <w:rPr>
          <w:color w:val="000000" w:themeColor="text1"/>
        </w:rPr>
        <w:t>and mor</w:t>
      </w:r>
      <w:r>
        <w:rPr>
          <w:color w:val="000000" w:themeColor="text1"/>
        </w:rPr>
        <w:t>e cost efficient to produce;</w:t>
      </w:r>
    </w:p>
    <w:p w14:paraId="183E01F3" w14:textId="318CBD47" w:rsidR="005C2C8C" w:rsidRPr="005C2C8C" w:rsidRDefault="005C2C8C" w:rsidP="00B62946">
      <w:pPr>
        <w:pStyle w:val="ListParagraph"/>
        <w:numPr>
          <w:ilvl w:val="0"/>
          <w:numId w:val="6"/>
        </w:numPr>
        <w:spacing w:after="60"/>
        <w:rPr>
          <w:color w:val="000000" w:themeColor="text1"/>
        </w:rPr>
      </w:pPr>
      <w:r w:rsidRPr="005C2C8C">
        <w:rPr>
          <w:color w:val="00B050"/>
        </w:rPr>
        <w:t xml:space="preserve">It is not expected to result in a materially different result </w:t>
      </w:r>
      <w:r w:rsidRPr="005C2C8C">
        <w:rPr>
          <w:color w:val="000000" w:themeColor="text1"/>
        </w:rPr>
        <w:t>(so is allowed under</w:t>
      </w:r>
      <w:r>
        <w:rPr>
          <w:color w:val="000000" w:themeColor="text1"/>
        </w:rPr>
        <w:t xml:space="preserve"> </w:t>
      </w:r>
      <w:r w:rsidRPr="005C2C8C">
        <w:rPr>
          <w:color w:val="000000" w:themeColor="text1"/>
        </w:rPr>
        <w:t>prudential standards as an alternative to the projection approach);</w:t>
      </w:r>
    </w:p>
    <w:p w14:paraId="1DDD9907" w14:textId="77777777" w:rsidR="005C2C8C" w:rsidRPr="005C2C8C" w:rsidRDefault="005C2C8C" w:rsidP="005C2C8C">
      <w:pPr>
        <w:pStyle w:val="ListParagraph"/>
        <w:spacing w:after="60"/>
        <w:ind w:left="0"/>
        <w:rPr>
          <w:color w:val="FF0000"/>
        </w:rPr>
      </w:pPr>
      <w:r w:rsidRPr="005C2C8C">
        <w:rPr>
          <w:color w:val="FF0000"/>
        </w:rPr>
        <w:t>The primary reasons why we are able to get comfortable that the result would not be materially different are:</w:t>
      </w:r>
    </w:p>
    <w:p w14:paraId="59445B89" w14:textId="039B3AEE" w:rsidR="005C2C8C" w:rsidRPr="005C2C8C" w:rsidRDefault="005C2C8C" w:rsidP="005C2C8C">
      <w:pPr>
        <w:pStyle w:val="ListParagraph"/>
        <w:numPr>
          <w:ilvl w:val="0"/>
          <w:numId w:val="6"/>
        </w:numPr>
        <w:spacing w:after="60"/>
        <w:rPr>
          <w:color w:val="000000" w:themeColor="text1"/>
        </w:rPr>
      </w:pPr>
      <w:r w:rsidRPr="005C2C8C">
        <w:rPr>
          <w:color w:val="00B050"/>
        </w:rPr>
        <w:t xml:space="preserve">The acquisition expenses are relatively small </w:t>
      </w:r>
      <w:r w:rsidRPr="005C2C8C">
        <w:rPr>
          <w:color w:val="000000" w:themeColor="text1"/>
        </w:rPr>
        <w:t>(in relation to the first year’s premium); and</w:t>
      </w:r>
    </w:p>
    <w:p w14:paraId="2E78873D" w14:textId="75306BBD" w:rsidR="005C2C8C" w:rsidRPr="005C2C8C" w:rsidRDefault="005C2C8C" w:rsidP="005C2C8C">
      <w:pPr>
        <w:pStyle w:val="ListParagraph"/>
        <w:numPr>
          <w:ilvl w:val="0"/>
          <w:numId w:val="6"/>
        </w:numPr>
        <w:spacing w:after="60"/>
        <w:rPr>
          <w:color w:val="000000" w:themeColor="text1"/>
        </w:rPr>
      </w:pPr>
      <w:r w:rsidRPr="005C2C8C">
        <w:rPr>
          <w:color w:val="00B050"/>
        </w:rPr>
        <w:t xml:space="preserve">The duration of the liabilities is relatively short </w:t>
      </w:r>
      <w:r w:rsidRPr="005C2C8C">
        <w:rPr>
          <w:color w:val="000000" w:themeColor="text1"/>
        </w:rPr>
        <w:t>(the contract is no more than 3 years in this case).</w:t>
      </w:r>
    </w:p>
    <w:p w14:paraId="60E8FB49" w14:textId="77777777" w:rsidR="005C2C8C" w:rsidRPr="005C2C8C" w:rsidRDefault="005C2C8C" w:rsidP="005C2C8C">
      <w:pPr>
        <w:pStyle w:val="ListParagraph"/>
        <w:spacing w:after="60"/>
        <w:ind w:left="0"/>
        <w:rPr>
          <w:color w:val="FF0000"/>
        </w:rPr>
      </w:pPr>
      <w:r w:rsidRPr="005C2C8C">
        <w:rPr>
          <w:color w:val="FF0000"/>
        </w:rPr>
        <w:t>Both of these factors imply that there should not be large effects from discount rate changes nor lapse assumption changes (which may come through in the case of a projection approach which wouldn’t come through an accumulation approach).</w:t>
      </w:r>
    </w:p>
    <w:p w14:paraId="5935137E" w14:textId="77777777" w:rsidR="005C2C8C" w:rsidRDefault="005C2C8C" w:rsidP="005C2C8C">
      <w:pPr>
        <w:pStyle w:val="ListParagraph"/>
        <w:spacing w:after="60"/>
        <w:ind w:left="0"/>
        <w:rPr>
          <w:color w:val="000000" w:themeColor="text1"/>
        </w:rPr>
      </w:pPr>
    </w:p>
    <w:p w14:paraId="3857DF09" w14:textId="01B19DCD" w:rsidR="000E15F4" w:rsidRDefault="000E15F4" w:rsidP="00EC4911">
      <w:pPr>
        <w:pStyle w:val="ListParagraph"/>
        <w:spacing w:after="60"/>
        <w:ind w:left="0"/>
        <w:rPr>
          <w:color w:val="000000" w:themeColor="text1"/>
        </w:rPr>
      </w:pPr>
      <w:r>
        <w:rPr>
          <w:color w:val="000000" w:themeColor="text1"/>
        </w:rPr>
        <w:t xml:space="preserve">ii. </w:t>
      </w:r>
      <w:r w:rsidR="00BC448B">
        <w:rPr>
          <w:color w:val="000000" w:themeColor="text1"/>
        </w:rPr>
        <w:t>PL = UPR + claim reserves – DAC</w:t>
      </w:r>
    </w:p>
    <w:p w14:paraId="7E24AF4D" w14:textId="77777777" w:rsidR="00075CA8" w:rsidRPr="00075CA8" w:rsidRDefault="00075CA8" w:rsidP="00075CA8">
      <w:pPr>
        <w:pStyle w:val="ListParagraph"/>
        <w:spacing w:after="60"/>
        <w:ind w:left="0"/>
        <w:rPr>
          <w:color w:val="FF0000"/>
          <w:lang w:val="en-GB"/>
        </w:rPr>
      </w:pPr>
      <w:r w:rsidRPr="00075CA8">
        <w:rPr>
          <w:color w:val="FF0000"/>
          <w:lang w:val="en-GB"/>
        </w:rPr>
        <w:t>Policy liability at outset = UPR – DAC</w:t>
      </w:r>
    </w:p>
    <w:p w14:paraId="6066172E" w14:textId="77777777" w:rsidR="00075CA8" w:rsidRPr="00075CA8" w:rsidRDefault="00075CA8" w:rsidP="00075CA8">
      <w:pPr>
        <w:pStyle w:val="ListParagraph"/>
        <w:spacing w:after="60"/>
        <w:ind w:left="0"/>
        <w:rPr>
          <w:color w:val="FF0000"/>
          <w:lang w:val="en-GB"/>
        </w:rPr>
      </w:pPr>
      <w:r w:rsidRPr="00075CA8">
        <w:rPr>
          <w:color w:val="FF0000"/>
          <w:lang w:val="en-GB"/>
        </w:rPr>
        <w:t>For the Lump Sum RPG = $12.5m – $0.75m = 11.75m</w:t>
      </w:r>
    </w:p>
    <w:p w14:paraId="47942371" w14:textId="77777777" w:rsidR="00075CA8" w:rsidRPr="00075CA8" w:rsidRDefault="00075CA8" w:rsidP="00075CA8">
      <w:pPr>
        <w:pStyle w:val="ListParagraph"/>
        <w:spacing w:after="60"/>
        <w:ind w:left="0"/>
        <w:rPr>
          <w:color w:val="FF0000"/>
          <w:lang w:val="en-GB"/>
        </w:rPr>
      </w:pPr>
      <w:r w:rsidRPr="00075CA8">
        <w:rPr>
          <w:color w:val="FF0000"/>
          <w:lang w:val="en-GB"/>
        </w:rPr>
        <w:t>For the GSC RPG = $12.5m – $0.75m = 11.75m</w:t>
      </w:r>
    </w:p>
    <w:p w14:paraId="6D82EEE5" w14:textId="1EC59057" w:rsidR="000E15F4" w:rsidRPr="00075CA8" w:rsidRDefault="00075CA8" w:rsidP="00075CA8">
      <w:pPr>
        <w:pStyle w:val="ListParagraph"/>
        <w:spacing w:after="60"/>
        <w:ind w:left="0"/>
        <w:rPr>
          <w:b/>
          <w:color w:val="FF0000"/>
          <w:lang w:val="en-GB"/>
        </w:rPr>
      </w:pPr>
      <w:r w:rsidRPr="00075CA8">
        <w:rPr>
          <w:b/>
          <w:color w:val="FF0000"/>
          <w:lang w:val="en-GB"/>
        </w:rPr>
        <w:t>(At the outset</w:t>
      </w:r>
      <w:r w:rsidR="004014C6">
        <w:rPr>
          <w:b/>
          <w:color w:val="FF0000"/>
          <w:lang w:val="en-GB"/>
        </w:rPr>
        <w:t>,</w:t>
      </w:r>
      <w:r w:rsidRPr="00075CA8">
        <w:rPr>
          <w:b/>
          <w:color w:val="FF0000"/>
          <w:lang w:val="en-GB"/>
        </w:rPr>
        <w:t xml:space="preserve"> no claims have occurred so no claim reserve is required.)</w:t>
      </w:r>
    </w:p>
    <w:p w14:paraId="12B99792" w14:textId="77777777" w:rsidR="00DC5BE3" w:rsidRDefault="00DC5BE3" w:rsidP="00EC4911">
      <w:pPr>
        <w:pStyle w:val="ListParagraph"/>
        <w:spacing w:after="60"/>
        <w:ind w:left="0"/>
        <w:rPr>
          <w:color w:val="000000" w:themeColor="text1"/>
        </w:rPr>
      </w:pPr>
    </w:p>
    <w:p w14:paraId="60F149E3" w14:textId="48A09F3B" w:rsidR="00823B45" w:rsidRDefault="000B59F4" w:rsidP="00EC4911">
      <w:pPr>
        <w:pStyle w:val="ListParagraph"/>
        <w:spacing w:after="60"/>
        <w:ind w:left="0"/>
        <w:rPr>
          <w:color w:val="000000" w:themeColor="text1"/>
        </w:rPr>
      </w:pPr>
      <w:r>
        <w:rPr>
          <w:color w:val="000000" w:themeColor="text1"/>
        </w:rPr>
        <w:t xml:space="preserve">1b) </w:t>
      </w:r>
      <w:proofErr w:type="spellStart"/>
      <w:r w:rsidR="00212677">
        <w:rPr>
          <w:color w:val="000000" w:themeColor="text1"/>
        </w:rPr>
        <w:t>i</w:t>
      </w:r>
      <w:proofErr w:type="spellEnd"/>
      <w:r w:rsidR="00212677">
        <w:rPr>
          <w:color w:val="000000" w:themeColor="text1"/>
        </w:rPr>
        <w:t xml:space="preserve">. </w:t>
      </w:r>
      <w:r w:rsidR="00111586">
        <w:rPr>
          <w:color w:val="000000" w:themeColor="text1"/>
        </w:rPr>
        <w:t>Increase GSC incidence assumption</w:t>
      </w:r>
      <w:r w:rsidR="00823B45">
        <w:rPr>
          <w:color w:val="000000" w:themeColor="text1"/>
        </w:rPr>
        <w:t xml:space="preserve"> by around 30% based on the company experience.</w:t>
      </w:r>
    </w:p>
    <w:p w14:paraId="46FF5262" w14:textId="1B9BF206" w:rsidR="0070331B" w:rsidRDefault="00823B45" w:rsidP="00EC4911">
      <w:pPr>
        <w:pStyle w:val="ListParagraph"/>
        <w:spacing w:after="60"/>
        <w:ind w:left="0"/>
        <w:rPr>
          <w:color w:val="000000" w:themeColor="text1"/>
        </w:rPr>
      </w:pPr>
      <w:r>
        <w:rPr>
          <w:color w:val="000000" w:themeColor="text1"/>
        </w:rPr>
        <w:t xml:space="preserve">This could be adjusted by also </w:t>
      </w:r>
      <w:r w:rsidR="00111586">
        <w:rPr>
          <w:color w:val="000000" w:themeColor="text1"/>
        </w:rPr>
        <w:t xml:space="preserve">considering </w:t>
      </w:r>
      <w:r>
        <w:rPr>
          <w:color w:val="000000" w:themeColor="text1"/>
        </w:rPr>
        <w:t>the industry experience.</w:t>
      </w:r>
    </w:p>
    <w:p w14:paraId="0B130315" w14:textId="77777777" w:rsidR="009B174C" w:rsidRPr="009B174C" w:rsidRDefault="009B174C" w:rsidP="009B174C">
      <w:pPr>
        <w:pStyle w:val="ListParagraph"/>
        <w:spacing w:after="60"/>
        <w:ind w:left="0"/>
        <w:rPr>
          <w:color w:val="FF0000"/>
        </w:rPr>
      </w:pPr>
      <w:r w:rsidRPr="009B174C">
        <w:rPr>
          <w:color w:val="FF0000"/>
        </w:rPr>
        <w:lastRenderedPageBreak/>
        <w:t xml:space="preserve">The pricing assumptions are recommended for </w:t>
      </w:r>
      <w:r w:rsidRPr="009B174C">
        <w:rPr>
          <w:b/>
          <w:color w:val="FF0000"/>
        </w:rPr>
        <w:t>termination</w:t>
      </w:r>
      <w:r w:rsidRPr="009B174C">
        <w:rPr>
          <w:color w:val="FF0000"/>
        </w:rPr>
        <w:t>, as no experience (industry or BIGCO) indicates the pricing assumptions are not appropriate.</w:t>
      </w:r>
    </w:p>
    <w:p w14:paraId="2FD97267" w14:textId="7369E3D0" w:rsidR="00025DCC" w:rsidRPr="009B174C" w:rsidRDefault="009B174C" w:rsidP="009B174C">
      <w:pPr>
        <w:pStyle w:val="ListParagraph"/>
        <w:spacing w:after="60"/>
        <w:ind w:left="0"/>
        <w:rPr>
          <w:color w:val="FF0000"/>
        </w:rPr>
      </w:pPr>
      <w:r w:rsidRPr="009B174C">
        <w:rPr>
          <w:color w:val="FF0000"/>
        </w:rPr>
        <w:t xml:space="preserve">For </w:t>
      </w:r>
      <w:r w:rsidRPr="009B174C">
        <w:rPr>
          <w:b/>
          <w:color w:val="FF0000"/>
        </w:rPr>
        <w:t>incidence</w:t>
      </w:r>
      <w:r w:rsidRPr="009B174C">
        <w:rPr>
          <w:color w:val="FF0000"/>
        </w:rPr>
        <w:t xml:space="preserve">, it is recommended the pricing assumptions be is strengthened by </w:t>
      </w:r>
      <w:r w:rsidRPr="00A94B9D">
        <w:rPr>
          <w:color w:val="00B050"/>
        </w:rPr>
        <w:t>30%</w:t>
      </w:r>
      <w:r w:rsidRPr="009B174C">
        <w:rPr>
          <w:color w:val="FF0000"/>
        </w:rPr>
        <w:t xml:space="preserve"> reflecting the </w:t>
      </w:r>
      <w:r w:rsidRPr="00D660AB">
        <w:rPr>
          <w:color w:val="00B050"/>
          <w:u w:val="single"/>
        </w:rPr>
        <w:t>internal and industry experience</w:t>
      </w:r>
      <w:r w:rsidRPr="009B174C">
        <w:rPr>
          <w:color w:val="FF0000"/>
        </w:rPr>
        <w:t>. An argument exists to increase the assumption beyond 30% given the adverse industry trend (as BIGCO’s study is only for 9 months – further deterioration could have occurred), however it is recommended 30% be adopted this year. This should be monitored closely over the following year.</w:t>
      </w:r>
    </w:p>
    <w:p w14:paraId="4055A2B1" w14:textId="77777777" w:rsidR="009B174C" w:rsidRDefault="009B174C" w:rsidP="009B174C">
      <w:pPr>
        <w:pStyle w:val="ListParagraph"/>
        <w:spacing w:after="60"/>
        <w:ind w:left="0"/>
        <w:rPr>
          <w:color w:val="000000" w:themeColor="text1"/>
        </w:rPr>
      </w:pPr>
    </w:p>
    <w:p w14:paraId="440697C2" w14:textId="134AF090" w:rsidR="00025DCC" w:rsidRDefault="00025DCC" w:rsidP="00EC4911">
      <w:pPr>
        <w:pStyle w:val="ListParagraph"/>
        <w:spacing w:after="60"/>
        <w:ind w:left="0"/>
        <w:rPr>
          <w:color w:val="000000" w:themeColor="text1"/>
        </w:rPr>
      </w:pPr>
      <w:r>
        <w:rPr>
          <w:color w:val="000000" w:themeColor="text1"/>
        </w:rPr>
        <w:t xml:space="preserve">ii. </w:t>
      </w:r>
      <w:r w:rsidR="00465038">
        <w:rPr>
          <w:color w:val="000000" w:themeColor="text1"/>
        </w:rPr>
        <w:t>(10*130%</w:t>
      </w:r>
      <w:r w:rsidR="00CA3CE4">
        <w:rPr>
          <w:color w:val="000000" w:themeColor="text1"/>
        </w:rPr>
        <w:t xml:space="preserve"> + 1.5 + 5% * 10 *130% - 12.5) * 2</w:t>
      </w:r>
      <w:r w:rsidR="00465038">
        <w:rPr>
          <w:color w:val="000000" w:themeColor="text1"/>
        </w:rPr>
        <w:t xml:space="preserve"> = </w:t>
      </w:r>
      <w:r w:rsidR="00CA3CE4">
        <w:rPr>
          <w:color w:val="000000" w:themeColor="text1"/>
        </w:rPr>
        <w:t>5.3</w:t>
      </w:r>
    </w:p>
    <w:p w14:paraId="4667EF00" w14:textId="77777777" w:rsidR="009B174C" w:rsidRPr="00CA3CE4" w:rsidRDefault="009B174C" w:rsidP="009B174C">
      <w:pPr>
        <w:pStyle w:val="ListParagraph"/>
        <w:spacing w:after="60"/>
        <w:ind w:left="0"/>
        <w:rPr>
          <w:i/>
          <w:color w:val="00B050"/>
        </w:rPr>
      </w:pPr>
      <w:r w:rsidRPr="00CA3CE4">
        <w:rPr>
          <w:i/>
          <w:color w:val="00B050"/>
        </w:rPr>
        <w:t>Outflows – Inflows</w:t>
      </w:r>
    </w:p>
    <w:p w14:paraId="1C48BF33" w14:textId="77777777" w:rsidR="009B174C" w:rsidRPr="00CA3CE4" w:rsidRDefault="009B174C" w:rsidP="009B174C">
      <w:pPr>
        <w:pStyle w:val="ListParagraph"/>
        <w:spacing w:after="60"/>
        <w:ind w:left="0"/>
        <w:rPr>
          <w:color w:val="00B050"/>
        </w:rPr>
      </w:pPr>
      <w:r w:rsidRPr="00CA3CE4">
        <w:rPr>
          <w:color w:val="00B050"/>
        </w:rPr>
        <w:t>= Expected Claim Payments for New Claims + Expected Claim Expenses + Expected Maintenance Expenses – Expected Premiums</w:t>
      </w:r>
    </w:p>
    <w:p w14:paraId="2DDBC618" w14:textId="77777777" w:rsidR="009B174C" w:rsidRPr="00CA3CE4" w:rsidRDefault="009B174C" w:rsidP="009B174C">
      <w:pPr>
        <w:pStyle w:val="ListParagraph"/>
        <w:spacing w:after="60"/>
        <w:ind w:left="0"/>
        <w:rPr>
          <w:color w:val="00B050"/>
        </w:rPr>
      </w:pPr>
      <w:r w:rsidRPr="00CA3CE4">
        <w:rPr>
          <w:color w:val="00B050"/>
        </w:rPr>
        <w:t>= 105%* $10m*130%*2 + $3m/2*2 - $25m/2*2 = 105%*$26m - $22m</w:t>
      </w:r>
    </w:p>
    <w:p w14:paraId="61739A8C" w14:textId="229B59B8" w:rsidR="009B174C" w:rsidRPr="00CA3CE4" w:rsidRDefault="009B174C" w:rsidP="009B174C">
      <w:pPr>
        <w:pStyle w:val="ListParagraph"/>
        <w:spacing w:after="60"/>
        <w:ind w:left="0"/>
        <w:rPr>
          <w:color w:val="00B050"/>
        </w:rPr>
      </w:pPr>
      <w:r w:rsidRPr="00CA3CE4">
        <w:rPr>
          <w:color w:val="00B050"/>
        </w:rPr>
        <w:t>= $5.3m</w:t>
      </w:r>
      <w:r w:rsidR="003A601F">
        <w:rPr>
          <w:color w:val="00B050"/>
        </w:rPr>
        <w:t xml:space="preserve"> (</w:t>
      </w:r>
      <w:r w:rsidR="003A601F" w:rsidRPr="003A601F">
        <w:rPr>
          <w:color w:val="FF0000"/>
        </w:rPr>
        <w:t xml:space="preserve">positive BEL at the end of Year 1, seems </w:t>
      </w:r>
      <w:r w:rsidR="00D247F7">
        <w:rPr>
          <w:color w:val="FF0000"/>
        </w:rPr>
        <w:t>it will</w:t>
      </w:r>
      <w:r w:rsidR="003A601F" w:rsidRPr="003A601F">
        <w:rPr>
          <w:color w:val="FF0000"/>
        </w:rPr>
        <w:t xml:space="preserve"> be in loss recognition</w:t>
      </w:r>
      <w:r w:rsidR="003A601F">
        <w:rPr>
          <w:color w:val="00B050"/>
        </w:rPr>
        <w:t>)</w:t>
      </w:r>
    </w:p>
    <w:p w14:paraId="5BDE557A" w14:textId="77777777" w:rsidR="009B174C" w:rsidRDefault="009B174C" w:rsidP="00EC4911">
      <w:pPr>
        <w:pStyle w:val="ListParagraph"/>
        <w:spacing w:after="60"/>
        <w:ind w:left="0"/>
        <w:rPr>
          <w:color w:val="000000" w:themeColor="text1"/>
        </w:rPr>
      </w:pPr>
    </w:p>
    <w:p w14:paraId="6AAFD80A" w14:textId="2E3780B2" w:rsidR="00A6287F" w:rsidRPr="00685843" w:rsidRDefault="009B174C" w:rsidP="00A6287F">
      <w:pPr>
        <w:pStyle w:val="ListParagraph"/>
        <w:spacing w:after="60"/>
        <w:ind w:left="0"/>
        <w:rPr>
          <w:color w:val="000000" w:themeColor="text1"/>
          <w:u w:val="single"/>
        </w:rPr>
      </w:pPr>
      <w:r>
        <w:rPr>
          <w:color w:val="000000" w:themeColor="text1"/>
        </w:rPr>
        <w:t xml:space="preserve">iii. </w:t>
      </w:r>
      <w:r w:rsidR="00A6287F" w:rsidRPr="00685843">
        <w:rPr>
          <w:b/>
          <w:color w:val="FF0000"/>
          <w:u w:val="single"/>
        </w:rPr>
        <w:t>GSC RPG</w:t>
      </w:r>
    </w:p>
    <w:p w14:paraId="76FFDBBC" w14:textId="77777777" w:rsidR="00A6287F" w:rsidRPr="00A6287F" w:rsidRDefault="00A6287F" w:rsidP="00A6287F">
      <w:pPr>
        <w:pStyle w:val="ListParagraph"/>
        <w:spacing w:after="60"/>
        <w:ind w:left="0"/>
        <w:rPr>
          <w:color w:val="FF0000"/>
        </w:rPr>
      </w:pPr>
      <w:r w:rsidRPr="00A6287F">
        <w:rPr>
          <w:color w:val="FF0000"/>
        </w:rPr>
        <w:t>Under the accumulation approach, and if loss recognition did not occur, then the Policy Liability = UPR – DAC + CICP (incl. claims handling) [no IBNR or RBNA]</w:t>
      </w:r>
    </w:p>
    <w:p w14:paraId="509DAEE9" w14:textId="1A63F14C" w:rsidR="00A6287F" w:rsidRPr="00A6287F" w:rsidRDefault="00A6287F" w:rsidP="00A6287F">
      <w:pPr>
        <w:pStyle w:val="ListParagraph"/>
        <w:spacing w:after="60"/>
        <w:ind w:left="0"/>
        <w:rPr>
          <w:color w:val="FF0000"/>
        </w:rPr>
      </w:pPr>
      <w:r w:rsidRPr="00A6287F">
        <w:rPr>
          <w:color w:val="FF0000"/>
        </w:rPr>
        <w:t>= 0 - $1.5</w:t>
      </w:r>
      <w:r w:rsidR="001A645E">
        <w:rPr>
          <w:color w:val="FF0000"/>
        </w:rPr>
        <w:t>m*50%*(1-1/3) + 105% * $10m * 130% * (7/12)</w:t>
      </w:r>
    </w:p>
    <w:p w14:paraId="4C4C04F9" w14:textId="77777777" w:rsidR="00A6287F" w:rsidRPr="00A6287F" w:rsidRDefault="00A6287F" w:rsidP="00A6287F">
      <w:pPr>
        <w:pStyle w:val="ListParagraph"/>
        <w:spacing w:after="60"/>
        <w:ind w:left="0"/>
        <w:rPr>
          <w:color w:val="FF0000"/>
        </w:rPr>
      </w:pPr>
      <w:r w:rsidRPr="00A6287F">
        <w:rPr>
          <w:color w:val="FF0000"/>
        </w:rPr>
        <w:t>= -$0.5m + $7.9625m</w:t>
      </w:r>
    </w:p>
    <w:p w14:paraId="1B67A69E" w14:textId="77777777" w:rsidR="00A6287F" w:rsidRPr="00A6287F" w:rsidRDefault="00A6287F" w:rsidP="00A6287F">
      <w:pPr>
        <w:pStyle w:val="ListParagraph"/>
        <w:spacing w:after="60"/>
        <w:ind w:left="0"/>
        <w:rPr>
          <w:color w:val="FF0000"/>
        </w:rPr>
      </w:pPr>
      <w:r w:rsidRPr="00A6287F">
        <w:rPr>
          <w:color w:val="FF0000"/>
        </w:rPr>
        <w:t>= $7.46m</w:t>
      </w:r>
    </w:p>
    <w:p w14:paraId="4149DC69" w14:textId="6A30BDB2" w:rsidR="00A6287F" w:rsidRPr="006E2547" w:rsidRDefault="001A645E" w:rsidP="00A6287F">
      <w:pPr>
        <w:pStyle w:val="ListParagraph"/>
        <w:spacing w:after="60"/>
        <w:ind w:left="0"/>
        <w:rPr>
          <w:b/>
          <w:color w:val="FF0000"/>
        </w:rPr>
      </w:pPr>
      <w:r>
        <w:rPr>
          <w:b/>
          <w:color w:val="FF0000"/>
        </w:rPr>
        <w:t xml:space="preserve">N.B. </w:t>
      </w:r>
      <w:r w:rsidR="00A6287F" w:rsidRPr="001A645E">
        <w:rPr>
          <w:b/>
          <w:color w:val="FF0000"/>
        </w:rPr>
        <w:t>7/12 represents that on average 1 month of waiting period and 5 months of payments have been made as of the end of the first year, leaving 7 months of payments left for claims incurred in the first year.</w:t>
      </w:r>
      <w:r w:rsidR="006E2547">
        <w:rPr>
          <w:b/>
          <w:color w:val="FF0000"/>
        </w:rPr>
        <w:t xml:space="preserve"> </w:t>
      </w:r>
      <w:r w:rsidR="00A6287F" w:rsidRPr="00A6287F">
        <w:rPr>
          <w:color w:val="FF0000"/>
        </w:rPr>
        <w:t>Equal credit given for using 6.5/12, or similar,</w:t>
      </w:r>
      <w:r w:rsidR="006E2547">
        <w:rPr>
          <w:color w:val="FF0000"/>
        </w:rPr>
        <w:t xml:space="preserve"> with appropriate justification.</w:t>
      </w:r>
    </w:p>
    <w:p w14:paraId="49997997" w14:textId="77777777" w:rsidR="00A6287F" w:rsidRPr="00A6287F" w:rsidRDefault="00A6287F" w:rsidP="00A6287F">
      <w:pPr>
        <w:pStyle w:val="ListParagraph"/>
        <w:spacing w:after="60"/>
        <w:ind w:left="0"/>
        <w:rPr>
          <w:color w:val="FF0000"/>
        </w:rPr>
      </w:pPr>
      <w:r w:rsidRPr="006E2547">
        <w:rPr>
          <w:b/>
          <w:color w:val="FF0000"/>
        </w:rPr>
        <w:t>However</w:t>
      </w:r>
      <w:r w:rsidRPr="00A6287F">
        <w:rPr>
          <w:color w:val="FF0000"/>
        </w:rPr>
        <w:t>, the positive value in part ii) indicates that the future premiums are insufficient to cover the future new claims and expenses.</w:t>
      </w:r>
    </w:p>
    <w:p w14:paraId="1FDA80B5" w14:textId="77777777" w:rsidR="00A6287F" w:rsidRPr="00A6287F" w:rsidRDefault="00A6287F" w:rsidP="00A6287F">
      <w:pPr>
        <w:pStyle w:val="ListParagraph"/>
        <w:spacing w:after="60"/>
        <w:ind w:left="0"/>
        <w:rPr>
          <w:color w:val="FF0000"/>
        </w:rPr>
      </w:pPr>
      <w:r w:rsidRPr="00A6287F">
        <w:rPr>
          <w:color w:val="FF0000"/>
        </w:rPr>
        <w:t xml:space="preserve">This implies that the GSC RPG </w:t>
      </w:r>
      <w:r w:rsidRPr="006E2547">
        <w:rPr>
          <w:b/>
          <w:color w:val="FF0000"/>
        </w:rPr>
        <w:t>is in loss recognition</w:t>
      </w:r>
      <w:r w:rsidRPr="00A6287F">
        <w:rPr>
          <w:color w:val="FF0000"/>
        </w:rPr>
        <w:t xml:space="preserve"> and as such the result from the normal accumulation formula cannot be used.</w:t>
      </w:r>
    </w:p>
    <w:p w14:paraId="1C8853FB" w14:textId="77777777" w:rsidR="00A6287F" w:rsidRPr="00A6287F" w:rsidRDefault="00A6287F" w:rsidP="00A6287F">
      <w:pPr>
        <w:pStyle w:val="ListParagraph"/>
        <w:spacing w:after="60"/>
        <w:ind w:left="0"/>
        <w:rPr>
          <w:color w:val="FF0000"/>
        </w:rPr>
      </w:pPr>
      <w:r w:rsidRPr="00A6287F">
        <w:rPr>
          <w:color w:val="FF0000"/>
        </w:rPr>
        <w:t>Instead, the accumulation approach formula becomes:</w:t>
      </w:r>
    </w:p>
    <w:p w14:paraId="350A8ED0" w14:textId="77777777" w:rsidR="00A6287F" w:rsidRPr="00A6287F" w:rsidRDefault="00A6287F" w:rsidP="00A6287F">
      <w:pPr>
        <w:pStyle w:val="ListParagraph"/>
        <w:spacing w:after="60"/>
        <w:ind w:left="0"/>
        <w:rPr>
          <w:color w:val="FF0000"/>
        </w:rPr>
      </w:pPr>
      <w:r w:rsidRPr="006E2547">
        <w:rPr>
          <w:b/>
          <w:color w:val="FF0000"/>
        </w:rPr>
        <w:t>Policy Liability for the GSC RPG = UPR + CICP +PDR (Premium Deficiency Reserve)</w:t>
      </w:r>
      <w:r w:rsidRPr="00A6287F">
        <w:rPr>
          <w:color w:val="FF0000"/>
        </w:rPr>
        <w:t xml:space="preserve"> [no IBNR or RBNA]</w:t>
      </w:r>
    </w:p>
    <w:p w14:paraId="7115981A" w14:textId="6AEA4588" w:rsidR="00A6287F" w:rsidRPr="00D247F7" w:rsidRDefault="00A6287F" w:rsidP="00A6287F">
      <w:pPr>
        <w:pStyle w:val="ListParagraph"/>
        <w:spacing w:after="60"/>
        <w:ind w:left="0"/>
        <w:rPr>
          <w:i/>
          <w:color w:val="FF0000"/>
        </w:rPr>
      </w:pPr>
      <w:r w:rsidRPr="00D247F7">
        <w:rPr>
          <w:i/>
          <w:color w:val="FF0000"/>
        </w:rPr>
        <w:t>Where:</w:t>
      </w:r>
    </w:p>
    <w:p w14:paraId="36BE0B1C" w14:textId="77777777" w:rsidR="00D247F7" w:rsidRDefault="00A6287F" w:rsidP="00D247F7">
      <w:pPr>
        <w:pStyle w:val="ListParagraph"/>
        <w:spacing w:after="60"/>
        <w:rPr>
          <w:color w:val="FF0000"/>
        </w:rPr>
      </w:pPr>
      <w:r w:rsidRPr="00A6287F">
        <w:rPr>
          <w:color w:val="FF0000"/>
        </w:rPr>
        <w:t>UPR = 0</w:t>
      </w:r>
    </w:p>
    <w:p w14:paraId="3A62FAE3" w14:textId="73A1C32F" w:rsidR="00A6287F" w:rsidRPr="00A6287F" w:rsidRDefault="00A6287F" w:rsidP="00D247F7">
      <w:pPr>
        <w:pStyle w:val="ListParagraph"/>
        <w:spacing w:after="60"/>
        <w:rPr>
          <w:color w:val="FF0000"/>
        </w:rPr>
      </w:pPr>
      <w:r w:rsidRPr="00A6287F">
        <w:rPr>
          <w:color w:val="FF0000"/>
        </w:rPr>
        <w:t xml:space="preserve">CICP (incl. claims handling expenses) </w:t>
      </w:r>
      <w:r w:rsidR="006E2547">
        <w:rPr>
          <w:color w:val="FF0000"/>
        </w:rPr>
        <w:t>= 105%* $10m*130%*(7/12)</w:t>
      </w:r>
      <w:r w:rsidR="00D247F7">
        <w:rPr>
          <w:color w:val="FF0000"/>
        </w:rPr>
        <w:t xml:space="preserve"> </w:t>
      </w:r>
      <w:r w:rsidRPr="00A6287F">
        <w:rPr>
          <w:color w:val="FF0000"/>
        </w:rPr>
        <w:t>= $7.96m</w:t>
      </w:r>
    </w:p>
    <w:p w14:paraId="32883C89" w14:textId="77777777" w:rsidR="00A6287F" w:rsidRPr="00A6287F" w:rsidRDefault="00A6287F" w:rsidP="00D247F7">
      <w:pPr>
        <w:pStyle w:val="ListParagraph"/>
        <w:spacing w:after="60"/>
        <w:rPr>
          <w:color w:val="FF0000"/>
          <w:lang w:val="en-GB"/>
        </w:rPr>
      </w:pPr>
      <w:r w:rsidRPr="00A6287F">
        <w:rPr>
          <w:color w:val="FF0000"/>
          <w:lang w:val="en-GB"/>
        </w:rPr>
        <w:t>PDR equals the value from part ii)</w:t>
      </w:r>
    </w:p>
    <w:p w14:paraId="701009CA" w14:textId="4DA5196E" w:rsidR="00A6287F" w:rsidRPr="00A6287F" w:rsidRDefault="00A6287F" w:rsidP="00D247F7">
      <w:pPr>
        <w:pStyle w:val="ListParagraph"/>
        <w:spacing w:after="60"/>
        <w:rPr>
          <w:color w:val="FF0000"/>
          <w:lang w:val="en-GB"/>
        </w:rPr>
      </w:pPr>
      <w:r w:rsidRPr="00A6287F">
        <w:rPr>
          <w:color w:val="FF0000"/>
          <w:lang w:val="en-GB"/>
        </w:rPr>
        <w:t>Policy Liability = 0 + $7.96m + $5.3m</w:t>
      </w:r>
      <w:r w:rsidR="006E2547">
        <w:rPr>
          <w:color w:val="FF0000"/>
          <w:lang w:val="en-GB"/>
        </w:rPr>
        <w:t xml:space="preserve"> </w:t>
      </w:r>
      <w:r w:rsidRPr="00A6287F">
        <w:rPr>
          <w:color w:val="FF0000"/>
          <w:lang w:val="en-GB"/>
        </w:rPr>
        <w:t>= $13.26m</w:t>
      </w:r>
    </w:p>
    <w:p w14:paraId="32547F0C" w14:textId="51B4DE91" w:rsidR="00A6287F" w:rsidRPr="006E2547" w:rsidRDefault="00A6287F" w:rsidP="00A6287F">
      <w:pPr>
        <w:pStyle w:val="ListParagraph"/>
        <w:spacing w:after="60"/>
        <w:ind w:left="0"/>
        <w:rPr>
          <w:b/>
          <w:color w:val="FF0000"/>
          <w:lang w:val="en-GB"/>
        </w:rPr>
      </w:pPr>
      <w:r w:rsidRPr="006E2547">
        <w:rPr>
          <w:b/>
          <w:color w:val="FF0000"/>
          <w:lang w:val="en-GB"/>
        </w:rPr>
        <w:t>Note that the outstanding DAC does not feature in t</w:t>
      </w:r>
      <w:r w:rsidR="006E2547" w:rsidRPr="006E2547">
        <w:rPr>
          <w:b/>
          <w:color w:val="FF0000"/>
          <w:lang w:val="en-GB"/>
        </w:rPr>
        <w:t xml:space="preserve">he revised formula as it is now </w:t>
      </w:r>
      <w:r w:rsidRPr="006E2547">
        <w:rPr>
          <w:b/>
          <w:color w:val="FF0000"/>
          <w:lang w:val="en-GB"/>
        </w:rPr>
        <w:t>unrecoverable.</w:t>
      </w:r>
    </w:p>
    <w:p w14:paraId="6E9AC227" w14:textId="77777777" w:rsidR="00A6287F" w:rsidRPr="00A6287F" w:rsidRDefault="00A6287F" w:rsidP="00A6287F">
      <w:pPr>
        <w:pStyle w:val="ListParagraph"/>
        <w:spacing w:after="60"/>
        <w:ind w:left="0"/>
        <w:rPr>
          <w:color w:val="FF0000"/>
          <w:lang w:val="en-GB"/>
        </w:rPr>
      </w:pPr>
      <w:r w:rsidRPr="00A6287F">
        <w:rPr>
          <w:color w:val="FF0000"/>
          <w:lang w:val="en-GB"/>
        </w:rPr>
        <w:t>The PDR reserve represents the future new claims and expenses that cannot be covered by the future premiums.</w:t>
      </w:r>
    </w:p>
    <w:p w14:paraId="4217475B" w14:textId="77777777" w:rsidR="00A6287F" w:rsidRPr="00D247F7" w:rsidRDefault="00A6287F" w:rsidP="00A6287F">
      <w:pPr>
        <w:pStyle w:val="ListParagraph"/>
        <w:spacing w:after="60"/>
        <w:ind w:left="0"/>
        <w:rPr>
          <w:b/>
          <w:color w:val="FF0000"/>
          <w:lang w:val="en-GB"/>
        </w:rPr>
      </w:pPr>
      <w:proofErr w:type="gramStart"/>
      <w:r w:rsidRPr="00A6287F">
        <w:rPr>
          <w:color w:val="FF0000"/>
          <w:lang w:val="en-GB"/>
        </w:rPr>
        <w:lastRenderedPageBreak/>
        <w:t>If</w:t>
      </w:r>
      <w:proofErr w:type="gramEnd"/>
      <w:r w:rsidRPr="00A6287F">
        <w:rPr>
          <w:color w:val="FF0000"/>
          <w:lang w:val="en-GB"/>
        </w:rPr>
        <w:t xml:space="preserve"> however there was sufficient premium to cover both the future new claims and expenses, and the unrecovered DAC then the normal formula applies. </w:t>
      </w:r>
      <w:r w:rsidRPr="00D247F7">
        <w:rPr>
          <w:b/>
          <w:color w:val="FF0000"/>
          <w:lang w:val="en-GB"/>
        </w:rPr>
        <w:t>If premiums are only available to cover a portion of the unrecovered DAC then the DAC needs to be reduced to the amount that can be recovered.</w:t>
      </w:r>
    </w:p>
    <w:p w14:paraId="12194B33" w14:textId="77777777" w:rsidR="00A6287F" w:rsidRPr="00D247F7" w:rsidRDefault="00A6287F" w:rsidP="00A6287F">
      <w:pPr>
        <w:pStyle w:val="ListParagraph"/>
        <w:spacing w:after="60"/>
        <w:ind w:left="0"/>
        <w:rPr>
          <w:b/>
          <w:color w:val="FF0000"/>
          <w:lang w:val="en-GB"/>
        </w:rPr>
      </w:pPr>
      <w:r w:rsidRPr="00D247F7">
        <w:rPr>
          <w:b/>
          <w:color w:val="FF0000"/>
          <w:lang w:val="en-GB"/>
        </w:rPr>
        <w:t>It is important when using an accumulation method to consider the sufficiency of the premium and the recoverability of any DAC.</w:t>
      </w:r>
    </w:p>
    <w:p w14:paraId="1FC9E5CD" w14:textId="77777777" w:rsidR="00D247F7" w:rsidRDefault="00D247F7" w:rsidP="00A6287F">
      <w:pPr>
        <w:pStyle w:val="ListParagraph"/>
        <w:spacing w:after="60"/>
        <w:ind w:left="0"/>
        <w:rPr>
          <w:b/>
          <w:color w:val="FF0000"/>
          <w:lang w:val="en-GB"/>
        </w:rPr>
      </w:pPr>
    </w:p>
    <w:p w14:paraId="6F668E89" w14:textId="77777777" w:rsidR="00A6287F" w:rsidRPr="00685843" w:rsidRDefault="00A6287F" w:rsidP="00A6287F">
      <w:pPr>
        <w:pStyle w:val="ListParagraph"/>
        <w:spacing w:after="60"/>
        <w:ind w:left="0"/>
        <w:rPr>
          <w:b/>
          <w:color w:val="FF0000"/>
          <w:u w:val="single"/>
          <w:lang w:val="en-GB"/>
        </w:rPr>
      </w:pPr>
      <w:r w:rsidRPr="00685843">
        <w:rPr>
          <w:b/>
          <w:color w:val="FF0000"/>
          <w:u w:val="single"/>
          <w:lang w:val="en-GB"/>
        </w:rPr>
        <w:t>Death RPG</w:t>
      </w:r>
    </w:p>
    <w:p w14:paraId="4C7701A6" w14:textId="77777777" w:rsidR="00A6287F" w:rsidRPr="00A6287F" w:rsidRDefault="00A6287F" w:rsidP="00A6287F">
      <w:pPr>
        <w:pStyle w:val="ListParagraph"/>
        <w:spacing w:after="60"/>
        <w:ind w:left="0"/>
        <w:rPr>
          <w:color w:val="FF0000"/>
          <w:lang w:val="en-GB"/>
        </w:rPr>
      </w:pPr>
      <w:r w:rsidRPr="00A6287F">
        <w:rPr>
          <w:color w:val="FF0000"/>
          <w:lang w:val="en-GB"/>
        </w:rPr>
        <w:t>Policy Liability = UPR – DAC + IBNR [no RBNA] = 0 - $1.5m*50%*(1-1/3) + $10m*10%</w:t>
      </w:r>
    </w:p>
    <w:p w14:paraId="0C871C18" w14:textId="77777777" w:rsidR="00A6287F" w:rsidRPr="00A6287F" w:rsidRDefault="00A6287F" w:rsidP="00A6287F">
      <w:pPr>
        <w:pStyle w:val="ListParagraph"/>
        <w:spacing w:after="60"/>
        <w:ind w:left="0"/>
        <w:rPr>
          <w:color w:val="FF0000"/>
          <w:lang w:val="en-GB"/>
        </w:rPr>
      </w:pPr>
      <w:r w:rsidRPr="00A6287F">
        <w:rPr>
          <w:color w:val="FF0000"/>
          <w:lang w:val="en-GB"/>
        </w:rPr>
        <w:t>= -$0.5m + $1m</w:t>
      </w:r>
    </w:p>
    <w:p w14:paraId="364D6F94" w14:textId="77777777" w:rsidR="00A6287F" w:rsidRPr="00A6287F" w:rsidRDefault="00A6287F" w:rsidP="00A6287F">
      <w:pPr>
        <w:pStyle w:val="ListParagraph"/>
        <w:spacing w:after="60"/>
        <w:ind w:left="0"/>
        <w:rPr>
          <w:color w:val="FF0000"/>
          <w:lang w:val="en-GB"/>
        </w:rPr>
      </w:pPr>
      <w:r w:rsidRPr="00A6287F">
        <w:rPr>
          <w:color w:val="FF0000"/>
          <w:lang w:val="en-GB"/>
        </w:rPr>
        <w:t>= $0.5m</w:t>
      </w:r>
    </w:p>
    <w:p w14:paraId="1BD4A7C4" w14:textId="77777777" w:rsidR="00A6287F" w:rsidRDefault="00A6287F" w:rsidP="00A6287F">
      <w:pPr>
        <w:pStyle w:val="ListParagraph"/>
        <w:spacing w:after="60"/>
        <w:rPr>
          <w:color w:val="000000" w:themeColor="text1"/>
          <w:lang w:val="en-GB"/>
        </w:rPr>
      </w:pPr>
    </w:p>
    <w:p w14:paraId="6AB41370" w14:textId="13C52B50" w:rsidR="00A6287F" w:rsidRPr="00CD4EEF" w:rsidRDefault="00CD4EEF" w:rsidP="00AA5EE6">
      <w:pPr>
        <w:pStyle w:val="ListParagraph"/>
        <w:spacing w:after="60"/>
        <w:ind w:left="0"/>
        <w:rPr>
          <w:color w:val="FF0000"/>
          <w:lang w:val="en-GB"/>
        </w:rPr>
      </w:pPr>
      <w:r>
        <w:rPr>
          <w:color w:val="000000" w:themeColor="text1"/>
          <w:lang w:val="en-GB"/>
        </w:rPr>
        <w:t xml:space="preserve">1c) </w:t>
      </w:r>
      <w:proofErr w:type="spellStart"/>
      <w:r>
        <w:rPr>
          <w:color w:val="000000" w:themeColor="text1"/>
          <w:lang w:val="en-GB"/>
        </w:rPr>
        <w:t>i</w:t>
      </w:r>
      <w:proofErr w:type="spellEnd"/>
      <w:r>
        <w:rPr>
          <w:color w:val="000000" w:themeColor="text1"/>
          <w:lang w:val="en-GB"/>
        </w:rPr>
        <w:t xml:space="preserve">. </w:t>
      </w:r>
      <w:r w:rsidR="00A6287F" w:rsidRPr="00CD4EEF">
        <w:rPr>
          <w:b/>
          <w:color w:val="FF0000"/>
          <w:lang w:val="en-GB"/>
        </w:rPr>
        <w:t xml:space="preserve">AUSLIFE profit for GSC RPG = premiums – claims paid – expenses – increase in </w:t>
      </w:r>
      <w:r w:rsidRPr="00CD4EEF">
        <w:rPr>
          <w:b/>
          <w:color w:val="FF0000"/>
          <w:lang w:val="en-GB"/>
        </w:rPr>
        <w:t>PL</w:t>
      </w:r>
    </w:p>
    <w:p w14:paraId="195AA939" w14:textId="70A588B9" w:rsidR="00A6287F" w:rsidRPr="00CD4EEF" w:rsidRDefault="00CD4EEF" w:rsidP="00AA5EE6">
      <w:pPr>
        <w:pStyle w:val="ListParagraph"/>
        <w:spacing w:after="60"/>
        <w:ind w:left="0"/>
        <w:rPr>
          <w:color w:val="FF0000"/>
          <w:lang w:val="en-GB"/>
        </w:rPr>
      </w:pPr>
      <w:r>
        <w:rPr>
          <w:color w:val="FF0000"/>
          <w:lang w:val="en-GB"/>
        </w:rPr>
        <w:t>= $12.5m - $10m*(5/</w:t>
      </w:r>
      <w:proofErr w:type="gramStart"/>
      <w:r>
        <w:rPr>
          <w:color w:val="FF0000"/>
          <w:lang w:val="en-GB"/>
        </w:rPr>
        <w:t>12)</w:t>
      </w:r>
      <w:r w:rsidR="00A6287F" w:rsidRPr="00CD4EEF">
        <w:rPr>
          <w:color w:val="FF0000"/>
          <w:lang w:val="en-GB"/>
        </w:rPr>
        <w:t>*</w:t>
      </w:r>
      <w:proofErr w:type="gramEnd"/>
      <w:r w:rsidR="00A6287F" w:rsidRPr="00CD4EEF">
        <w:rPr>
          <w:color w:val="FF0000"/>
          <w:lang w:val="en-GB"/>
        </w:rPr>
        <w:t>130%*105% - $3m*50% - $1.5m*50% - ($13.26m – 0) = -$8.70m</w:t>
      </w:r>
    </w:p>
    <w:p w14:paraId="461ABB03" w14:textId="75D30AFC" w:rsidR="00A6287F" w:rsidRPr="00CD4EEF" w:rsidRDefault="00A6287F" w:rsidP="00AA5EE6">
      <w:pPr>
        <w:pStyle w:val="ListParagraph"/>
        <w:spacing w:after="60"/>
        <w:ind w:left="0"/>
        <w:rPr>
          <w:b/>
          <w:color w:val="FF0000"/>
          <w:lang w:val="en-GB"/>
        </w:rPr>
      </w:pPr>
      <w:r w:rsidRPr="00CD4EEF">
        <w:rPr>
          <w:b/>
          <w:color w:val="FF0000"/>
          <w:lang w:val="en-GB"/>
        </w:rPr>
        <w:t xml:space="preserve">AUSLIFE profit for Death RPG = premiums – claims paid – expenses – increase in </w:t>
      </w:r>
      <w:r w:rsidR="00CD4EEF">
        <w:rPr>
          <w:b/>
          <w:color w:val="FF0000"/>
          <w:lang w:val="en-GB"/>
        </w:rPr>
        <w:t>PL</w:t>
      </w:r>
      <w:r w:rsidRPr="00CD4EEF">
        <w:rPr>
          <w:b/>
          <w:color w:val="FF0000"/>
          <w:lang w:val="en-GB"/>
        </w:rPr>
        <w:t xml:space="preserve"> </w:t>
      </w:r>
    </w:p>
    <w:p w14:paraId="31C0E902" w14:textId="16AFC09E" w:rsidR="00A6287F" w:rsidRPr="00CD4EEF" w:rsidRDefault="00A6287F" w:rsidP="00AA5EE6">
      <w:pPr>
        <w:pStyle w:val="ListParagraph"/>
        <w:spacing w:after="60"/>
        <w:ind w:left="0"/>
        <w:rPr>
          <w:color w:val="FF0000"/>
          <w:lang w:val="en-GB"/>
        </w:rPr>
      </w:pPr>
      <w:r w:rsidRPr="00CD4EEF">
        <w:rPr>
          <w:color w:val="FF0000"/>
          <w:lang w:val="en-GB"/>
        </w:rPr>
        <w:t>= $12.5m - $10m*90% - $3m*50% - $1.5m*50% - ($0.5m – 0)</w:t>
      </w:r>
      <w:r w:rsidR="006403E1">
        <w:rPr>
          <w:color w:val="FF0000"/>
          <w:lang w:val="en-GB"/>
        </w:rPr>
        <w:t xml:space="preserve"> </w:t>
      </w:r>
      <w:r w:rsidRPr="00CD4EEF">
        <w:rPr>
          <w:color w:val="FF0000"/>
          <w:lang w:val="en-GB"/>
        </w:rPr>
        <w:t>= $0.75m</w:t>
      </w:r>
    </w:p>
    <w:p w14:paraId="25C66E56" w14:textId="50B7C3FF" w:rsidR="00A6287F" w:rsidRPr="00CD4EEF" w:rsidRDefault="00A6287F" w:rsidP="00AA5EE6">
      <w:pPr>
        <w:pStyle w:val="ListParagraph"/>
        <w:spacing w:after="60"/>
        <w:ind w:left="0"/>
        <w:rPr>
          <w:color w:val="FF0000"/>
          <w:lang w:val="en-GB"/>
        </w:rPr>
      </w:pPr>
      <w:r w:rsidRPr="00CD4EEF">
        <w:rPr>
          <w:color w:val="FF0000"/>
          <w:lang w:val="en-GB"/>
        </w:rPr>
        <w:t>Total AUSLIFE profit = -$8.70m + $0.75m + $48m = $40.05m</w:t>
      </w:r>
    </w:p>
    <w:p w14:paraId="22CB2F5A" w14:textId="77777777" w:rsidR="006E2547" w:rsidRDefault="006E2547" w:rsidP="00AA5EE6">
      <w:pPr>
        <w:pStyle w:val="ListParagraph"/>
        <w:spacing w:after="60"/>
        <w:ind w:left="0"/>
        <w:rPr>
          <w:color w:val="000000" w:themeColor="text1"/>
          <w:lang w:val="en-GB"/>
        </w:rPr>
      </w:pPr>
    </w:p>
    <w:p w14:paraId="4BDC3377" w14:textId="24AD77F8" w:rsidR="00CC14AA" w:rsidRPr="00CC14AA" w:rsidRDefault="00CC14AA" w:rsidP="00CC14AA">
      <w:pPr>
        <w:pStyle w:val="ListParagraph"/>
        <w:spacing w:after="60"/>
        <w:ind w:left="0"/>
        <w:rPr>
          <w:color w:val="000000" w:themeColor="text1"/>
          <w:lang w:val="en-GB"/>
        </w:rPr>
      </w:pPr>
      <w:r>
        <w:rPr>
          <w:color w:val="000000" w:themeColor="text1"/>
          <w:lang w:val="en-GB"/>
        </w:rPr>
        <w:t xml:space="preserve">ii. </w:t>
      </w:r>
      <w:r w:rsidRPr="00CC14AA">
        <w:rPr>
          <w:color w:val="000000" w:themeColor="text1"/>
          <w:lang w:val="en-GB"/>
        </w:rPr>
        <w:t xml:space="preserve">It is deemed appropriate to have two RPGs in this instance </w:t>
      </w:r>
      <w:r w:rsidRPr="00CC14AA">
        <w:rPr>
          <w:color w:val="00B050"/>
          <w:lang w:val="en-GB"/>
        </w:rPr>
        <w:t>because the nature of the risk for each benefit component is very different between Death and GSC</w:t>
      </w:r>
      <w:r w:rsidRPr="00CC14AA">
        <w:rPr>
          <w:color w:val="000000" w:themeColor="text1"/>
          <w:lang w:val="en-GB"/>
        </w:rPr>
        <w:t>.</w:t>
      </w:r>
    </w:p>
    <w:p w14:paraId="59AF3CF6" w14:textId="77777777" w:rsidR="00CC14AA" w:rsidRPr="00CC14AA" w:rsidRDefault="00CC14AA" w:rsidP="00CC14AA">
      <w:pPr>
        <w:pStyle w:val="ListParagraph"/>
        <w:spacing w:after="60"/>
        <w:ind w:left="0"/>
        <w:rPr>
          <w:color w:val="FF0000"/>
          <w:lang w:val="en-GB"/>
        </w:rPr>
      </w:pPr>
      <w:r w:rsidRPr="00CC14AA">
        <w:rPr>
          <w:color w:val="FF0000"/>
          <w:lang w:val="en-GB"/>
        </w:rPr>
        <w:t>One argument for a single RPG would be that the pricing structures between the two benefit components are not materially different, reflecting that:</w:t>
      </w:r>
    </w:p>
    <w:p w14:paraId="32C29650" w14:textId="2BA14FCF" w:rsidR="00CC14AA" w:rsidRPr="00CC14AA" w:rsidRDefault="00CC14AA" w:rsidP="00CC14AA">
      <w:pPr>
        <w:pStyle w:val="ListParagraph"/>
        <w:numPr>
          <w:ilvl w:val="0"/>
          <w:numId w:val="8"/>
        </w:numPr>
        <w:spacing w:after="60"/>
        <w:rPr>
          <w:color w:val="FF0000"/>
          <w:lang w:val="en-GB"/>
        </w:rPr>
      </w:pPr>
      <w:r w:rsidRPr="00CC14AA">
        <w:rPr>
          <w:color w:val="FF0000"/>
          <w:lang w:val="en-GB"/>
        </w:rPr>
        <w:t>Pricing is likely driven by negotiations at BIGCO level, and not more granular than that.</w:t>
      </w:r>
    </w:p>
    <w:p w14:paraId="6E0D58F2" w14:textId="1E224B3F" w:rsidR="00CC14AA" w:rsidRPr="00CC14AA" w:rsidRDefault="00CC14AA" w:rsidP="00CC14AA">
      <w:pPr>
        <w:pStyle w:val="ListParagraph"/>
        <w:numPr>
          <w:ilvl w:val="0"/>
          <w:numId w:val="8"/>
        </w:numPr>
        <w:spacing w:after="60"/>
        <w:rPr>
          <w:color w:val="FF0000"/>
          <w:lang w:val="en-GB"/>
        </w:rPr>
      </w:pPr>
      <w:r w:rsidRPr="00CC14AA">
        <w:rPr>
          <w:color w:val="FF0000"/>
          <w:lang w:val="en-GB"/>
        </w:rPr>
        <w:t>There is a degree of cross-subsidisation between the two benefit components.</w:t>
      </w:r>
    </w:p>
    <w:p w14:paraId="7CC72EDC" w14:textId="77777777" w:rsidR="00CC14AA" w:rsidRDefault="00CC14AA" w:rsidP="00CC14AA">
      <w:pPr>
        <w:pStyle w:val="ListParagraph"/>
        <w:spacing w:after="60"/>
        <w:ind w:left="0"/>
        <w:rPr>
          <w:color w:val="000000" w:themeColor="text1"/>
          <w:lang w:val="en-GB"/>
        </w:rPr>
      </w:pPr>
    </w:p>
    <w:p w14:paraId="3F1950CE" w14:textId="71D0CE5C" w:rsidR="006E2547" w:rsidRDefault="00CC14AA" w:rsidP="00AA5EE6">
      <w:pPr>
        <w:pStyle w:val="ListParagraph"/>
        <w:spacing w:after="60"/>
        <w:ind w:left="0"/>
        <w:rPr>
          <w:color w:val="000000" w:themeColor="text1"/>
          <w:lang w:val="en-GB"/>
        </w:rPr>
      </w:pPr>
      <w:r>
        <w:rPr>
          <w:color w:val="000000" w:themeColor="text1"/>
          <w:lang w:val="en-GB"/>
        </w:rPr>
        <w:t xml:space="preserve">1d) </w:t>
      </w:r>
      <w:proofErr w:type="spellStart"/>
      <w:r w:rsidR="00366464">
        <w:rPr>
          <w:color w:val="000000" w:themeColor="text1"/>
          <w:lang w:val="en-GB"/>
        </w:rPr>
        <w:t>i</w:t>
      </w:r>
      <w:proofErr w:type="spellEnd"/>
      <w:r w:rsidR="00366464">
        <w:rPr>
          <w:color w:val="000000" w:themeColor="text1"/>
          <w:lang w:val="en-GB"/>
        </w:rPr>
        <w:t>. Enter into a reinsurance for the GSC business.</w:t>
      </w:r>
    </w:p>
    <w:p w14:paraId="728995F5" w14:textId="3FCF486B" w:rsidR="00366464" w:rsidRDefault="00366464" w:rsidP="00AA5EE6">
      <w:pPr>
        <w:pStyle w:val="ListParagraph"/>
        <w:spacing w:after="60"/>
        <w:ind w:left="0"/>
        <w:rPr>
          <w:color w:val="000000" w:themeColor="text1"/>
          <w:lang w:val="en-GB"/>
        </w:rPr>
      </w:pPr>
      <w:r>
        <w:rPr>
          <w:color w:val="000000" w:themeColor="text1"/>
          <w:lang w:val="en-GB"/>
        </w:rPr>
        <w:t>Reduce the maintenance expense by improving the internal function efficiency.</w:t>
      </w:r>
    </w:p>
    <w:p w14:paraId="493DD1F7" w14:textId="77777777" w:rsidR="006E2547" w:rsidRDefault="006E2547" w:rsidP="00AA5EE6">
      <w:pPr>
        <w:pStyle w:val="ListParagraph"/>
        <w:spacing w:after="60"/>
        <w:ind w:left="0"/>
        <w:rPr>
          <w:color w:val="000000" w:themeColor="text1"/>
          <w:lang w:val="en-GB"/>
        </w:rPr>
      </w:pPr>
    </w:p>
    <w:p w14:paraId="7E60E655" w14:textId="77777777" w:rsidR="00D841FC" w:rsidRPr="00D841FC" w:rsidRDefault="00D841FC" w:rsidP="00D841FC">
      <w:pPr>
        <w:pStyle w:val="ListParagraph"/>
        <w:spacing w:after="60"/>
        <w:ind w:left="0"/>
        <w:rPr>
          <w:i/>
          <w:color w:val="000000" w:themeColor="text1"/>
          <w:lang w:val="en-GB"/>
        </w:rPr>
      </w:pPr>
      <w:r w:rsidRPr="00D841FC">
        <w:rPr>
          <w:i/>
          <w:color w:val="000000" w:themeColor="text1"/>
          <w:lang w:val="en-GB"/>
        </w:rPr>
        <w:t>In light of the developments over the past 12 months in relation to the BIGCO scheme, I make the following recommendations to improve the profitability over 2018:</w:t>
      </w:r>
    </w:p>
    <w:p w14:paraId="66713D71" w14:textId="4022F17B" w:rsidR="00D841FC" w:rsidRPr="00D841FC" w:rsidRDefault="00D841FC" w:rsidP="00D841FC">
      <w:pPr>
        <w:pStyle w:val="ListParagraph"/>
        <w:numPr>
          <w:ilvl w:val="0"/>
          <w:numId w:val="10"/>
        </w:numPr>
        <w:spacing w:after="60"/>
        <w:rPr>
          <w:color w:val="000000" w:themeColor="text1"/>
          <w:lang w:val="en-GB"/>
        </w:rPr>
      </w:pPr>
      <w:r w:rsidRPr="00D841FC">
        <w:rPr>
          <w:color w:val="FF0000"/>
          <w:lang w:val="en-GB"/>
        </w:rPr>
        <w:t>Frequent monitoring of experience for BIGCO during the year</w:t>
      </w:r>
      <w:r w:rsidRPr="00D841FC">
        <w:rPr>
          <w:color w:val="000000" w:themeColor="text1"/>
          <w:lang w:val="en-GB"/>
        </w:rPr>
        <w:t>. This is important to give an earlier warning to senior management on profitability implications than what was the case for the current year.</w:t>
      </w:r>
    </w:p>
    <w:p w14:paraId="214F0DEA" w14:textId="2F294B9F" w:rsidR="00D841FC" w:rsidRPr="00D841FC" w:rsidRDefault="00D841FC" w:rsidP="00D841FC">
      <w:pPr>
        <w:pStyle w:val="ListParagraph"/>
        <w:numPr>
          <w:ilvl w:val="0"/>
          <w:numId w:val="10"/>
        </w:numPr>
        <w:spacing w:after="60"/>
        <w:rPr>
          <w:color w:val="000000" w:themeColor="text1"/>
          <w:lang w:val="en-GB"/>
        </w:rPr>
      </w:pPr>
      <w:r w:rsidRPr="00D841FC">
        <w:rPr>
          <w:color w:val="FF0000"/>
          <w:lang w:val="en-GB"/>
        </w:rPr>
        <w:t>Increased focus on the claims management following the claims lodg</w:t>
      </w:r>
      <w:r>
        <w:rPr>
          <w:color w:val="FF0000"/>
          <w:lang w:val="en-GB"/>
        </w:rPr>
        <w:t>e</w:t>
      </w:r>
      <w:r w:rsidRPr="00D841FC">
        <w:rPr>
          <w:color w:val="FF0000"/>
          <w:lang w:val="en-GB"/>
        </w:rPr>
        <w:t>ment including rehabilitation effort to help claimants return to work</w:t>
      </w:r>
      <w:r w:rsidRPr="00D841FC">
        <w:rPr>
          <w:color w:val="000000" w:themeColor="text1"/>
          <w:lang w:val="en-GB"/>
        </w:rPr>
        <w:t xml:space="preserve">. While this may incur extra expense for AUSLIFE, it is expected that </w:t>
      </w:r>
      <w:r w:rsidRPr="00D841FC">
        <w:rPr>
          <w:color w:val="FF0000"/>
          <w:lang w:val="en-GB"/>
        </w:rPr>
        <w:t>a higher termination rate of open claims can significantly improve the profitability</w:t>
      </w:r>
      <w:r w:rsidRPr="00D841FC">
        <w:rPr>
          <w:color w:val="000000" w:themeColor="text1"/>
          <w:lang w:val="en-GB"/>
        </w:rPr>
        <w:t xml:space="preserve"> </w:t>
      </w:r>
      <w:r w:rsidRPr="00D841FC">
        <w:rPr>
          <w:color w:val="FF0000"/>
          <w:lang w:val="en-GB"/>
        </w:rPr>
        <w:t>of the GSC business</w:t>
      </w:r>
      <w:r w:rsidRPr="00D841FC">
        <w:rPr>
          <w:color w:val="000000" w:themeColor="text1"/>
          <w:lang w:val="en-GB"/>
        </w:rPr>
        <w:t>. Therefore</w:t>
      </w:r>
      <w:r>
        <w:rPr>
          <w:color w:val="000000" w:themeColor="text1"/>
          <w:lang w:val="en-GB"/>
        </w:rPr>
        <w:t>,</w:t>
      </w:r>
      <w:r w:rsidRPr="00D841FC">
        <w:rPr>
          <w:color w:val="000000" w:themeColor="text1"/>
          <w:lang w:val="en-GB"/>
        </w:rPr>
        <w:t xml:space="preserve"> increased claim management effort is expected to give rise to higher claims termination.</w:t>
      </w:r>
    </w:p>
    <w:p w14:paraId="1F41491D" w14:textId="79A1DF2A" w:rsidR="00D841FC" w:rsidRDefault="00D841FC" w:rsidP="00D841FC">
      <w:pPr>
        <w:pStyle w:val="ListParagraph"/>
        <w:numPr>
          <w:ilvl w:val="0"/>
          <w:numId w:val="10"/>
        </w:numPr>
        <w:spacing w:after="60"/>
        <w:rPr>
          <w:color w:val="000000" w:themeColor="text1"/>
          <w:lang w:val="en-GB"/>
        </w:rPr>
      </w:pPr>
      <w:r w:rsidRPr="00D841FC">
        <w:rPr>
          <w:color w:val="00B050"/>
          <w:lang w:val="en-GB"/>
        </w:rPr>
        <w:t>Source quotes for reinsurance in respect of the existing BIGCO scheme and if quotes are reasonable then proceed with reinsurance</w:t>
      </w:r>
      <w:r w:rsidRPr="00D841FC">
        <w:rPr>
          <w:color w:val="000000" w:themeColor="text1"/>
          <w:lang w:val="en-GB"/>
        </w:rPr>
        <w:t>. This is to reduce risk for AUSLIFE from any future adverse experience developments.</w:t>
      </w:r>
    </w:p>
    <w:p w14:paraId="269E9C1A" w14:textId="77777777" w:rsidR="00D841FC" w:rsidRDefault="00D841FC" w:rsidP="00AA5EE6">
      <w:pPr>
        <w:pStyle w:val="ListParagraph"/>
        <w:spacing w:after="60"/>
        <w:ind w:left="0"/>
        <w:rPr>
          <w:color w:val="000000" w:themeColor="text1"/>
          <w:lang w:val="en-GB"/>
        </w:rPr>
      </w:pPr>
    </w:p>
    <w:p w14:paraId="2A9F8C55" w14:textId="6E1BDAF3" w:rsidR="00366464" w:rsidRDefault="00366464" w:rsidP="00AA5EE6">
      <w:pPr>
        <w:pStyle w:val="ListParagraph"/>
        <w:spacing w:after="60"/>
        <w:ind w:left="0"/>
        <w:rPr>
          <w:color w:val="000000" w:themeColor="text1"/>
          <w:lang w:val="en-GB"/>
        </w:rPr>
      </w:pPr>
      <w:r>
        <w:rPr>
          <w:color w:val="000000" w:themeColor="text1"/>
          <w:lang w:val="en-GB"/>
        </w:rPr>
        <w:lastRenderedPageBreak/>
        <w:t>ii. Negotiate the premium</w:t>
      </w:r>
      <w:r w:rsidR="00D244E3">
        <w:rPr>
          <w:color w:val="000000" w:themeColor="text1"/>
          <w:lang w:val="en-GB"/>
        </w:rPr>
        <w:t xml:space="preserve"> structure.</w:t>
      </w:r>
    </w:p>
    <w:p w14:paraId="167C3217" w14:textId="77777777" w:rsidR="00D841FC" w:rsidRPr="00D841FC" w:rsidRDefault="00D841FC" w:rsidP="00D841FC">
      <w:pPr>
        <w:pStyle w:val="ListParagraph"/>
        <w:spacing w:after="60"/>
        <w:ind w:left="0"/>
        <w:rPr>
          <w:i/>
          <w:color w:val="000000" w:themeColor="text1"/>
          <w:lang w:val="en-GB"/>
        </w:rPr>
      </w:pPr>
      <w:r w:rsidRPr="00D841FC">
        <w:rPr>
          <w:i/>
          <w:color w:val="000000" w:themeColor="text1"/>
          <w:lang w:val="en-GB"/>
        </w:rPr>
        <w:t>The following recommendations are made to the Board in relation to the group scheme tender process:</w:t>
      </w:r>
    </w:p>
    <w:p w14:paraId="359A4E42" w14:textId="65BCE08B" w:rsidR="00D841FC" w:rsidRPr="00D841FC" w:rsidRDefault="00D841FC" w:rsidP="00D841FC">
      <w:pPr>
        <w:pStyle w:val="ListParagraph"/>
        <w:numPr>
          <w:ilvl w:val="0"/>
          <w:numId w:val="12"/>
        </w:numPr>
        <w:spacing w:after="60"/>
        <w:rPr>
          <w:color w:val="000000" w:themeColor="text1"/>
          <w:lang w:val="en-GB"/>
        </w:rPr>
      </w:pPr>
      <w:r w:rsidRPr="00D244E3">
        <w:rPr>
          <w:color w:val="FF0000"/>
          <w:lang w:val="en-GB"/>
        </w:rPr>
        <w:t xml:space="preserve">Conduct a pricing review ahead of any future new schemes for which AUSLIFE wishes to tender for, and ensure such pricing </w:t>
      </w:r>
      <w:r w:rsidRPr="00D244E3">
        <w:rPr>
          <w:color w:val="FF0000"/>
          <w:u w:val="single"/>
          <w:lang w:val="en-GB"/>
        </w:rPr>
        <w:t>allows for cost of reinsurance</w:t>
      </w:r>
      <w:r w:rsidRPr="00D841FC">
        <w:rPr>
          <w:color w:val="000000" w:themeColor="text1"/>
          <w:lang w:val="en-GB"/>
        </w:rPr>
        <w:t xml:space="preserve">. Such a review pricing should improve the profitability and more specifically if pricing is uncompetitive, taking into account cost of reinsurance, then this may indicate to AUSLIFE that it is more appropriate not to take on the new Group business at all. </w:t>
      </w:r>
      <w:r w:rsidRPr="00D244E3">
        <w:rPr>
          <w:color w:val="00B050"/>
          <w:lang w:val="en-GB"/>
        </w:rPr>
        <w:t xml:space="preserve">Also consider not guaranteeing the premium rate for 3 years </w:t>
      </w:r>
      <w:r w:rsidRPr="00D841FC">
        <w:rPr>
          <w:color w:val="000000" w:themeColor="text1"/>
          <w:lang w:val="en-GB"/>
        </w:rPr>
        <w:t>(i.e. allow more frequent repricing).</w:t>
      </w:r>
    </w:p>
    <w:p w14:paraId="1802BAD4" w14:textId="1DE4E532" w:rsidR="00366464" w:rsidRPr="00D244E3" w:rsidRDefault="00D841FC" w:rsidP="00D841FC">
      <w:pPr>
        <w:pStyle w:val="ListParagraph"/>
        <w:numPr>
          <w:ilvl w:val="0"/>
          <w:numId w:val="12"/>
        </w:numPr>
        <w:spacing w:after="60"/>
        <w:rPr>
          <w:color w:val="FF0000"/>
          <w:lang w:val="en-GB"/>
        </w:rPr>
      </w:pPr>
      <w:r w:rsidRPr="00D841FC">
        <w:rPr>
          <w:color w:val="000000" w:themeColor="text1"/>
          <w:lang w:val="en-GB"/>
        </w:rPr>
        <w:t xml:space="preserve">When required to submit a tender response well in advance of the commencement date, </w:t>
      </w:r>
      <w:r w:rsidRPr="00D244E3">
        <w:rPr>
          <w:color w:val="FF0000"/>
          <w:lang w:val="en-GB"/>
        </w:rPr>
        <w:t>include a clause that allows for the premium to be increased if experience deteriorates by more than a specified amount.</w:t>
      </w:r>
    </w:p>
    <w:p w14:paraId="36AD1F89" w14:textId="77777777" w:rsidR="00366464" w:rsidRDefault="00366464" w:rsidP="00AA5EE6">
      <w:pPr>
        <w:pStyle w:val="ListParagraph"/>
        <w:spacing w:after="60"/>
        <w:ind w:left="0"/>
        <w:rPr>
          <w:color w:val="000000" w:themeColor="text1"/>
          <w:lang w:val="en-GB"/>
        </w:rPr>
      </w:pPr>
    </w:p>
    <w:p w14:paraId="48AD9CC4" w14:textId="77FC6A23" w:rsidR="00F50139" w:rsidRDefault="00F50139" w:rsidP="00AA5EE6">
      <w:pPr>
        <w:pStyle w:val="ListParagraph"/>
        <w:spacing w:after="60"/>
        <w:ind w:left="0"/>
        <w:rPr>
          <w:color w:val="000000" w:themeColor="text1"/>
          <w:lang w:val="en-GB"/>
        </w:rPr>
      </w:pPr>
      <w:r w:rsidRPr="00F50139">
        <w:rPr>
          <w:b/>
          <w:color w:val="000000" w:themeColor="text1"/>
          <w:lang w:val="en-GB"/>
        </w:rPr>
        <w:t>Q2</w:t>
      </w:r>
      <w:r>
        <w:rPr>
          <w:color w:val="000000" w:themeColor="text1"/>
          <w:lang w:val="en-GB"/>
        </w:rPr>
        <w:t xml:space="preserve"> </w:t>
      </w:r>
      <w:proofErr w:type="spellStart"/>
      <w:r>
        <w:rPr>
          <w:color w:val="000000" w:themeColor="text1"/>
          <w:lang w:val="en-GB"/>
        </w:rPr>
        <w:t>a</w:t>
      </w:r>
      <w:proofErr w:type="spellEnd"/>
      <w:r>
        <w:rPr>
          <w:color w:val="000000" w:themeColor="text1"/>
          <w:lang w:val="en-GB"/>
        </w:rPr>
        <w:t xml:space="preserve">) </w:t>
      </w:r>
      <w:r w:rsidR="00044A56">
        <w:rPr>
          <w:color w:val="000000" w:themeColor="text1"/>
          <w:lang w:val="en-GB"/>
        </w:rPr>
        <w:t>The business is new to the company, which means there are more uncertainties may arise:</w:t>
      </w:r>
    </w:p>
    <w:p w14:paraId="032BFA2D" w14:textId="0A446BA3" w:rsidR="00044A56" w:rsidRDefault="00044A56" w:rsidP="00BC6115">
      <w:pPr>
        <w:pStyle w:val="ListParagraph"/>
        <w:numPr>
          <w:ilvl w:val="0"/>
          <w:numId w:val="16"/>
        </w:numPr>
        <w:spacing w:after="60"/>
        <w:rPr>
          <w:color w:val="000000" w:themeColor="text1"/>
          <w:lang w:val="en-GB"/>
        </w:rPr>
      </w:pPr>
      <w:r>
        <w:rPr>
          <w:color w:val="000000" w:themeColor="text1"/>
          <w:lang w:val="en-GB"/>
        </w:rPr>
        <w:t>The new business volume is crucial to the future projection. A lower than expected volume could cause unrecoverable initial expense, including setting the underwriting process and IT systems.</w:t>
      </w:r>
    </w:p>
    <w:p w14:paraId="3CBBC369" w14:textId="2EC5DEAD" w:rsidR="00044A56" w:rsidRDefault="00044A56" w:rsidP="00BC6115">
      <w:pPr>
        <w:pStyle w:val="ListParagraph"/>
        <w:numPr>
          <w:ilvl w:val="0"/>
          <w:numId w:val="16"/>
        </w:numPr>
        <w:spacing w:after="60"/>
        <w:rPr>
          <w:color w:val="000000" w:themeColor="text1"/>
          <w:lang w:val="en-GB"/>
        </w:rPr>
      </w:pPr>
      <w:r>
        <w:rPr>
          <w:color w:val="000000" w:themeColor="text1"/>
          <w:lang w:val="en-GB"/>
        </w:rPr>
        <w:t>No historical experience: the assumption used might be subjective given we do not have any historical experience to refer to</w:t>
      </w:r>
      <w:r w:rsidR="0050452A">
        <w:rPr>
          <w:color w:val="000000" w:themeColor="text1"/>
          <w:lang w:val="en-GB"/>
        </w:rPr>
        <w:t xml:space="preserve"> when setting assumptions</w:t>
      </w:r>
      <w:r>
        <w:rPr>
          <w:color w:val="000000" w:themeColor="text1"/>
          <w:lang w:val="en-GB"/>
        </w:rPr>
        <w:t>.</w:t>
      </w:r>
      <w:r w:rsidR="00BC6115">
        <w:rPr>
          <w:color w:val="000000" w:themeColor="text1"/>
          <w:lang w:val="en-GB"/>
        </w:rPr>
        <w:t xml:space="preserve"> </w:t>
      </w:r>
      <w:r w:rsidR="00BC6115" w:rsidRPr="00BC6115">
        <w:rPr>
          <w:b/>
          <w:color w:val="000000" w:themeColor="text1"/>
          <w:lang w:val="en-GB"/>
        </w:rPr>
        <w:t>Hence it tends to deviate.</w:t>
      </w:r>
    </w:p>
    <w:p w14:paraId="4FB18B52" w14:textId="3323DA96" w:rsidR="00044A56" w:rsidRDefault="00044A56" w:rsidP="00BC6115">
      <w:pPr>
        <w:pStyle w:val="ListParagraph"/>
        <w:numPr>
          <w:ilvl w:val="0"/>
          <w:numId w:val="16"/>
        </w:numPr>
        <w:spacing w:after="60"/>
        <w:rPr>
          <w:color w:val="000000" w:themeColor="text1"/>
          <w:lang w:val="en-GB"/>
        </w:rPr>
      </w:pPr>
      <w:r>
        <w:rPr>
          <w:color w:val="000000" w:themeColor="text1"/>
          <w:lang w:val="en-GB"/>
        </w:rPr>
        <w:t>We may experience more operational risk, such as system malfunction, than those who have sold the Death cover for some time.</w:t>
      </w:r>
    </w:p>
    <w:p w14:paraId="3F86D846" w14:textId="53B07E91" w:rsidR="00044A56" w:rsidRDefault="00044A56" w:rsidP="00BC6115">
      <w:pPr>
        <w:pStyle w:val="ListParagraph"/>
        <w:numPr>
          <w:ilvl w:val="0"/>
          <w:numId w:val="16"/>
        </w:numPr>
        <w:spacing w:after="60"/>
        <w:rPr>
          <w:color w:val="000000" w:themeColor="text1"/>
          <w:lang w:val="en-GB"/>
        </w:rPr>
      </w:pPr>
      <w:r>
        <w:rPr>
          <w:color w:val="000000" w:themeColor="text1"/>
          <w:lang w:val="en-GB"/>
        </w:rPr>
        <w:t xml:space="preserve">More stress to be set in case our underwriting process is not robust enough as </w:t>
      </w:r>
      <w:proofErr w:type="gramStart"/>
      <w:r>
        <w:rPr>
          <w:color w:val="000000" w:themeColor="text1"/>
          <w:lang w:val="en-GB"/>
        </w:rPr>
        <w:t>a</w:t>
      </w:r>
      <w:proofErr w:type="gramEnd"/>
      <w:r>
        <w:rPr>
          <w:color w:val="000000" w:themeColor="text1"/>
          <w:lang w:val="en-GB"/>
        </w:rPr>
        <w:t xml:space="preserve"> it is just newly set up.</w:t>
      </w:r>
    </w:p>
    <w:p w14:paraId="2034F512" w14:textId="77777777" w:rsidR="0050452A" w:rsidRDefault="0050452A" w:rsidP="00AA5EE6">
      <w:pPr>
        <w:pStyle w:val="ListParagraph"/>
        <w:spacing w:after="60"/>
        <w:ind w:left="0"/>
        <w:rPr>
          <w:color w:val="000000" w:themeColor="text1"/>
          <w:lang w:val="en-GB"/>
        </w:rPr>
      </w:pPr>
    </w:p>
    <w:p w14:paraId="49BA63D5" w14:textId="77777777" w:rsidR="0050452A" w:rsidRDefault="0050452A" w:rsidP="0050452A">
      <w:pPr>
        <w:pStyle w:val="ListParagraph"/>
        <w:spacing w:after="60"/>
        <w:ind w:left="0"/>
        <w:rPr>
          <w:color w:val="FF0000"/>
          <w:lang w:val="en-GB"/>
        </w:rPr>
      </w:pPr>
      <w:r w:rsidRPr="0050452A">
        <w:rPr>
          <w:color w:val="FF0000"/>
          <w:lang w:val="en-GB"/>
        </w:rPr>
        <w:t xml:space="preserve">The random and future stress margins are </w:t>
      </w:r>
      <w:r w:rsidRPr="0050452A">
        <w:rPr>
          <w:b/>
          <w:color w:val="FF0000"/>
          <w:lang w:val="en-GB"/>
        </w:rPr>
        <w:t>not</w:t>
      </w:r>
      <w:r w:rsidRPr="0050452A">
        <w:rPr>
          <w:color w:val="FF0000"/>
          <w:lang w:val="en-GB"/>
        </w:rPr>
        <w:t xml:space="preserve"> prescribed by the Prudential Standards. The appointed actuary must determine the appropriateness </w:t>
      </w:r>
      <w:r w:rsidRPr="0050452A">
        <w:rPr>
          <w:color w:val="FF0000"/>
          <w:lang w:val="en-GB"/>
        </w:rPr>
        <w:t xml:space="preserve">of stress margins regarding the </w:t>
      </w:r>
      <w:r w:rsidRPr="0050452A">
        <w:rPr>
          <w:color w:val="FF0000"/>
          <w:lang w:val="en-GB"/>
        </w:rPr>
        <w:t xml:space="preserve">relevance to the business and to achieve a 99.5% probability of sufficiency. </w:t>
      </w:r>
    </w:p>
    <w:p w14:paraId="2A69C10D" w14:textId="0E94B52E" w:rsidR="0050452A" w:rsidRDefault="0050452A" w:rsidP="0050452A">
      <w:pPr>
        <w:pStyle w:val="ListParagraph"/>
        <w:spacing w:after="60"/>
        <w:ind w:left="0"/>
        <w:rPr>
          <w:color w:val="000000" w:themeColor="text1"/>
          <w:lang w:val="en-GB"/>
        </w:rPr>
      </w:pPr>
      <w:r w:rsidRPr="0050452A">
        <w:rPr>
          <w:color w:val="000000" w:themeColor="text1"/>
          <w:lang w:val="en-GB"/>
        </w:rPr>
        <w:t>We can therefore expect there will be differences across the industry. The stress margins we have proposed are higher than other companies with similar business size. These margins are reasonable because:</w:t>
      </w:r>
    </w:p>
    <w:p w14:paraId="3C5919FC" w14:textId="04C8619B" w:rsidR="00BC6115" w:rsidRPr="00BC6115" w:rsidRDefault="00E2631B" w:rsidP="00BC6115">
      <w:pPr>
        <w:pStyle w:val="ListParagraph"/>
        <w:spacing w:after="60"/>
        <w:ind w:left="360"/>
        <w:rPr>
          <w:b/>
          <w:color w:val="000000" w:themeColor="text1"/>
          <w:lang w:val="en-GB"/>
        </w:rPr>
      </w:pPr>
      <w:r>
        <w:rPr>
          <w:b/>
          <w:color w:val="000000" w:themeColor="text1"/>
          <w:lang w:val="en-GB"/>
        </w:rPr>
        <w:t>F</w:t>
      </w:r>
      <w:r w:rsidR="00BC6115" w:rsidRPr="00BC6115">
        <w:rPr>
          <w:b/>
          <w:color w:val="000000" w:themeColor="text1"/>
          <w:lang w:val="en-GB"/>
        </w:rPr>
        <w:t>uture stress</w:t>
      </w:r>
      <w:r w:rsidR="00BC6115">
        <w:rPr>
          <w:b/>
          <w:color w:val="000000" w:themeColor="text1"/>
          <w:lang w:val="en-GB"/>
        </w:rPr>
        <w:t>:</w:t>
      </w:r>
    </w:p>
    <w:p w14:paraId="361FD495" w14:textId="72CACECE" w:rsidR="0050452A" w:rsidRPr="0050452A" w:rsidRDefault="0050452A" w:rsidP="0050452A">
      <w:pPr>
        <w:pStyle w:val="ListParagraph"/>
        <w:numPr>
          <w:ilvl w:val="0"/>
          <w:numId w:val="15"/>
        </w:numPr>
        <w:spacing w:after="60"/>
        <w:rPr>
          <w:color w:val="000000" w:themeColor="text1"/>
          <w:lang w:val="en-GB"/>
        </w:rPr>
      </w:pPr>
      <w:r w:rsidRPr="0050452A">
        <w:rPr>
          <w:color w:val="000000" w:themeColor="text1"/>
          <w:lang w:val="en-GB"/>
        </w:rPr>
        <w:t xml:space="preserve">The level of maturity – </w:t>
      </w:r>
      <w:r w:rsidRPr="0050452A">
        <w:rPr>
          <w:color w:val="00B050"/>
          <w:lang w:val="en-GB"/>
        </w:rPr>
        <w:t>other companies will have some historical experience compared to ABC Life.</w:t>
      </w:r>
      <w:r w:rsidRPr="0050452A">
        <w:rPr>
          <w:color w:val="000000" w:themeColor="text1"/>
          <w:lang w:val="en-GB"/>
        </w:rPr>
        <w:t xml:space="preserve"> Given the lack of internal experience for setting of pricing and valuation assumptions, the possible deviation from the BE assumptions is relatively larger when compared to other companies for the purpose of determining the future stress. As a result of this, the future stress for ABC is currently higher compared to many of our peers.</w:t>
      </w:r>
    </w:p>
    <w:p w14:paraId="7E2B2F31" w14:textId="0D2096F5" w:rsidR="0050452A" w:rsidRPr="00BC6115" w:rsidRDefault="0050452A" w:rsidP="0050452A">
      <w:pPr>
        <w:pStyle w:val="ListParagraph"/>
        <w:numPr>
          <w:ilvl w:val="0"/>
          <w:numId w:val="15"/>
        </w:numPr>
        <w:spacing w:after="60"/>
        <w:rPr>
          <w:color w:val="FF0000"/>
          <w:lang w:val="en-GB"/>
        </w:rPr>
      </w:pPr>
      <w:r w:rsidRPr="0050452A">
        <w:rPr>
          <w:color w:val="000000" w:themeColor="text1"/>
          <w:lang w:val="en-GB"/>
        </w:rPr>
        <w:t xml:space="preserve">Quality of experience studies and analysis. ABC Life doesn’t yet have processes and systems in place to facilitate accurate experience studies, whereas the comparable peers likely do. </w:t>
      </w:r>
      <w:r w:rsidRPr="00BC6115">
        <w:rPr>
          <w:color w:val="00B050"/>
          <w:lang w:val="en-GB"/>
        </w:rPr>
        <w:t>ABC Life’s underwriting and claims management processes are untested in practice.</w:t>
      </w:r>
      <w:r w:rsidRPr="0050452A">
        <w:rPr>
          <w:color w:val="000000" w:themeColor="text1"/>
          <w:lang w:val="en-GB"/>
        </w:rPr>
        <w:t xml:space="preserve"> These may not deliver the expected experience that the assumptions have </w:t>
      </w:r>
      <w:r w:rsidRPr="0050452A">
        <w:rPr>
          <w:color w:val="000000" w:themeColor="text1"/>
          <w:lang w:val="en-GB"/>
        </w:rPr>
        <w:lastRenderedPageBreak/>
        <w:t xml:space="preserve">been based upon. </w:t>
      </w:r>
      <w:proofErr w:type="gramStart"/>
      <w:r w:rsidRPr="0050452A">
        <w:rPr>
          <w:color w:val="000000" w:themeColor="text1"/>
          <w:lang w:val="en-GB"/>
        </w:rPr>
        <w:t>Again</w:t>
      </w:r>
      <w:proofErr w:type="gramEnd"/>
      <w:r w:rsidRPr="0050452A">
        <w:rPr>
          <w:color w:val="000000" w:themeColor="text1"/>
          <w:lang w:val="en-GB"/>
        </w:rPr>
        <w:t xml:space="preserve"> </w:t>
      </w:r>
      <w:r w:rsidRPr="00BC6115">
        <w:rPr>
          <w:color w:val="FF0000"/>
          <w:lang w:val="en-GB"/>
        </w:rPr>
        <w:t>the future stress will be higher compared to our peers whose processes have been refined over a number of years as their staff have gained experience.</w:t>
      </w:r>
    </w:p>
    <w:p w14:paraId="59BE6D8D" w14:textId="364BF944" w:rsidR="0050452A" w:rsidRDefault="0050452A" w:rsidP="0050452A">
      <w:pPr>
        <w:pStyle w:val="ListParagraph"/>
        <w:numPr>
          <w:ilvl w:val="0"/>
          <w:numId w:val="15"/>
        </w:numPr>
        <w:spacing w:after="60"/>
        <w:rPr>
          <w:color w:val="000000" w:themeColor="text1"/>
          <w:lang w:val="en-GB"/>
        </w:rPr>
      </w:pPr>
      <w:r w:rsidRPr="00BC6115">
        <w:rPr>
          <w:color w:val="00B050"/>
          <w:lang w:val="en-GB"/>
        </w:rPr>
        <w:t xml:space="preserve">Uncertainty over volumes </w:t>
      </w:r>
      <w:r w:rsidRPr="00BC6115">
        <w:rPr>
          <w:color w:val="FF0000"/>
          <w:lang w:val="en-GB"/>
        </w:rPr>
        <w:t>and mix</w:t>
      </w:r>
      <w:r w:rsidRPr="0050452A">
        <w:rPr>
          <w:color w:val="000000" w:themeColor="text1"/>
          <w:lang w:val="en-GB"/>
        </w:rPr>
        <w:t>. ABC Life has not yet written the policies that would make it a comparable size to the others, hence there is uncertainty around attaining this which is reflected in the margins.</w:t>
      </w:r>
    </w:p>
    <w:p w14:paraId="52051CD0" w14:textId="5168B5F1" w:rsidR="00BC6115" w:rsidRPr="00BC6115" w:rsidRDefault="00E2631B" w:rsidP="00BC6115">
      <w:pPr>
        <w:pStyle w:val="ListParagraph"/>
        <w:spacing w:after="60"/>
        <w:ind w:left="360"/>
        <w:rPr>
          <w:b/>
          <w:color w:val="000000" w:themeColor="text1"/>
          <w:lang w:val="en-GB"/>
        </w:rPr>
      </w:pPr>
      <w:r>
        <w:rPr>
          <w:b/>
          <w:color w:val="000000" w:themeColor="text1"/>
          <w:lang w:val="en-GB"/>
        </w:rPr>
        <w:t>R</w:t>
      </w:r>
      <w:r w:rsidR="00BC6115" w:rsidRPr="00BC6115">
        <w:rPr>
          <w:b/>
          <w:color w:val="000000" w:themeColor="text1"/>
          <w:lang w:val="en-GB"/>
        </w:rPr>
        <w:t>andom stress</w:t>
      </w:r>
      <w:r w:rsidR="00BC6115">
        <w:rPr>
          <w:b/>
          <w:color w:val="000000" w:themeColor="text1"/>
          <w:lang w:val="en-GB"/>
        </w:rPr>
        <w:t>:</w:t>
      </w:r>
    </w:p>
    <w:p w14:paraId="797D92B6" w14:textId="1BA66B64" w:rsidR="0050452A" w:rsidRPr="0050452A" w:rsidRDefault="0050452A" w:rsidP="0050452A">
      <w:pPr>
        <w:pStyle w:val="ListParagraph"/>
        <w:numPr>
          <w:ilvl w:val="0"/>
          <w:numId w:val="15"/>
        </w:numPr>
        <w:spacing w:after="60"/>
        <w:rPr>
          <w:color w:val="000000" w:themeColor="text1"/>
          <w:lang w:val="en-GB"/>
        </w:rPr>
      </w:pPr>
      <w:r w:rsidRPr="0050452A">
        <w:rPr>
          <w:color w:val="000000" w:themeColor="text1"/>
          <w:lang w:val="en-GB"/>
        </w:rPr>
        <w:t xml:space="preserve">For random stress, the stress margin can be impacted by the reinsurance arrangement that ABC Life implemented for the risk business. In this </w:t>
      </w:r>
      <w:proofErr w:type="gramStart"/>
      <w:r w:rsidRPr="0050452A">
        <w:rPr>
          <w:color w:val="000000" w:themeColor="text1"/>
          <w:lang w:val="en-GB"/>
        </w:rPr>
        <w:t>case</w:t>
      </w:r>
      <w:proofErr w:type="gramEnd"/>
      <w:r w:rsidRPr="0050452A">
        <w:rPr>
          <w:color w:val="000000" w:themeColor="text1"/>
          <w:lang w:val="en-GB"/>
        </w:rPr>
        <w:t xml:space="preserve"> </w:t>
      </w:r>
      <w:r w:rsidRPr="00BC6115">
        <w:rPr>
          <w:color w:val="FF0000"/>
          <w:lang w:val="en-GB"/>
        </w:rPr>
        <w:t>a quota share arrangement implemented for our retail risk does not reduce the volatility of claims caused by large sum-insured like what surplus reinsurance can do</w:t>
      </w:r>
      <w:r w:rsidRPr="0050452A">
        <w:rPr>
          <w:color w:val="000000" w:themeColor="text1"/>
          <w:lang w:val="en-GB"/>
        </w:rPr>
        <w:t>. This means that the skewness of our claims distribution will result in a higher random stress margin.</w:t>
      </w:r>
    </w:p>
    <w:p w14:paraId="61723DCF" w14:textId="5A728BF5" w:rsidR="0050452A" w:rsidRPr="0050452A" w:rsidRDefault="0050452A" w:rsidP="0050452A">
      <w:pPr>
        <w:pStyle w:val="ListParagraph"/>
        <w:numPr>
          <w:ilvl w:val="0"/>
          <w:numId w:val="15"/>
        </w:numPr>
        <w:spacing w:after="60"/>
        <w:rPr>
          <w:color w:val="000000" w:themeColor="text1"/>
          <w:lang w:val="en-GB"/>
        </w:rPr>
      </w:pPr>
      <w:r w:rsidRPr="0050452A">
        <w:rPr>
          <w:color w:val="000000" w:themeColor="text1"/>
          <w:lang w:val="en-GB"/>
        </w:rPr>
        <w:t xml:space="preserve">There are many other factors that contribute to the stress margin such as the distribution of sum insured which is different for each company and impacts the random stress, while </w:t>
      </w:r>
      <w:r w:rsidRPr="00BC6115">
        <w:rPr>
          <w:color w:val="FF0000"/>
          <w:lang w:val="en-GB"/>
        </w:rPr>
        <w:t>view on future trend can be different</w:t>
      </w:r>
      <w:r w:rsidRPr="0050452A">
        <w:rPr>
          <w:color w:val="000000" w:themeColor="text1"/>
          <w:lang w:val="en-GB"/>
        </w:rPr>
        <w:t>, resulting in different future stress.</w:t>
      </w:r>
    </w:p>
    <w:p w14:paraId="2AAA6405" w14:textId="77777777" w:rsidR="0050452A" w:rsidRDefault="0050452A" w:rsidP="00AA5EE6">
      <w:pPr>
        <w:pStyle w:val="ListParagraph"/>
        <w:spacing w:after="60"/>
        <w:ind w:left="0"/>
        <w:rPr>
          <w:color w:val="000000" w:themeColor="text1"/>
          <w:lang w:val="en-GB"/>
        </w:rPr>
      </w:pPr>
    </w:p>
    <w:p w14:paraId="43E8F120" w14:textId="2D0ADCF1" w:rsidR="00BC6115" w:rsidRDefault="003540DA" w:rsidP="00AA5EE6">
      <w:pPr>
        <w:pStyle w:val="ListParagraph"/>
        <w:spacing w:after="60"/>
        <w:ind w:left="0"/>
        <w:rPr>
          <w:color w:val="000000" w:themeColor="text1"/>
          <w:lang w:val="en-GB"/>
        </w:rPr>
      </w:pPr>
      <w:r>
        <w:rPr>
          <w:color w:val="000000" w:themeColor="text1"/>
          <w:lang w:val="en-GB"/>
        </w:rPr>
        <w:t xml:space="preserve">2b) </w:t>
      </w:r>
    </w:p>
    <w:p w14:paraId="3D3DFE60" w14:textId="77777777" w:rsidR="00F370DC" w:rsidRPr="00F370DC" w:rsidRDefault="00F370DC" w:rsidP="00F370DC">
      <w:pPr>
        <w:pStyle w:val="ListParagraph"/>
        <w:numPr>
          <w:ilvl w:val="0"/>
          <w:numId w:val="15"/>
        </w:numPr>
        <w:spacing w:after="60"/>
        <w:rPr>
          <w:color w:val="000000" w:themeColor="text1"/>
          <w:lang w:val="en-GB"/>
        </w:rPr>
      </w:pPr>
      <w:r w:rsidRPr="00F370DC">
        <w:rPr>
          <w:color w:val="000000" w:themeColor="text1"/>
          <w:lang w:val="en-GB"/>
        </w:rPr>
        <w:t>The prudential capital standards do indeed allow for a diversification benefit between insurance and asset stresses for each statutory fund.</w:t>
      </w:r>
    </w:p>
    <w:p w14:paraId="0E547F6C" w14:textId="0AA5A2DE" w:rsidR="00F370DC" w:rsidRPr="00607C79" w:rsidRDefault="00F370DC" w:rsidP="00F370DC">
      <w:pPr>
        <w:pStyle w:val="ListParagraph"/>
        <w:numPr>
          <w:ilvl w:val="0"/>
          <w:numId w:val="15"/>
        </w:numPr>
        <w:spacing w:after="60"/>
        <w:rPr>
          <w:color w:val="FF0000"/>
          <w:lang w:val="en-GB"/>
        </w:rPr>
      </w:pPr>
      <w:r w:rsidRPr="00F370DC">
        <w:rPr>
          <w:color w:val="000000" w:themeColor="text1"/>
          <w:lang w:val="en-GB"/>
        </w:rPr>
        <w:t xml:space="preserve">However, </w:t>
      </w:r>
      <w:r w:rsidRPr="00607C79">
        <w:rPr>
          <w:color w:val="FF0000"/>
          <w:lang w:val="en-GB"/>
        </w:rPr>
        <w:t>the insurance business needs to be set up in a separate statutory fund compared with the investment-linked business as per the Life Act requirement.</w:t>
      </w:r>
    </w:p>
    <w:p w14:paraId="161BCF23" w14:textId="5F03A6CD" w:rsidR="00F370DC" w:rsidRPr="00607C79" w:rsidRDefault="00F370DC" w:rsidP="00F370DC">
      <w:pPr>
        <w:pStyle w:val="ListParagraph"/>
        <w:numPr>
          <w:ilvl w:val="0"/>
          <w:numId w:val="15"/>
        </w:numPr>
        <w:spacing w:after="60"/>
        <w:rPr>
          <w:color w:val="FF0000"/>
          <w:lang w:val="en-GB"/>
        </w:rPr>
      </w:pPr>
      <w:r w:rsidRPr="00607C79">
        <w:rPr>
          <w:color w:val="FF0000"/>
          <w:lang w:val="en-GB"/>
        </w:rPr>
        <w:t>Hence, the only aggregation benefit that does exist will be between whatever asset risk charge exists for the insurance business (which may be small) and the insurance risk charge. There is not likely to be an insurance risk charge for the investment-linked business as the fees can withstand a 10% increase in expenses.</w:t>
      </w:r>
    </w:p>
    <w:p w14:paraId="4763F381" w14:textId="77777777" w:rsidR="00F50139" w:rsidRDefault="00F50139" w:rsidP="00AA5EE6">
      <w:pPr>
        <w:pStyle w:val="ListParagraph"/>
        <w:spacing w:after="60"/>
        <w:ind w:left="0"/>
        <w:rPr>
          <w:color w:val="000000" w:themeColor="text1"/>
          <w:lang w:val="en-GB"/>
        </w:rPr>
      </w:pPr>
    </w:p>
    <w:p w14:paraId="3AD7D262" w14:textId="149A96DF" w:rsidR="007D44FF" w:rsidRDefault="007D44FF" w:rsidP="00AA5EE6">
      <w:pPr>
        <w:pStyle w:val="ListParagraph"/>
        <w:spacing w:after="60"/>
        <w:ind w:left="0"/>
        <w:rPr>
          <w:color w:val="000000" w:themeColor="text1"/>
          <w:lang w:val="en-GB"/>
        </w:rPr>
      </w:pPr>
      <w:r>
        <w:rPr>
          <w:color w:val="000000" w:themeColor="text1"/>
          <w:lang w:val="en-GB"/>
        </w:rPr>
        <w:t xml:space="preserve">2c) </w:t>
      </w:r>
      <w:r w:rsidR="007E784E">
        <w:rPr>
          <w:color w:val="000000" w:themeColor="text1"/>
          <w:lang w:val="en-GB"/>
        </w:rPr>
        <w:t>see spreadsheet</w:t>
      </w:r>
    </w:p>
    <w:p w14:paraId="3EE5D1CF" w14:textId="77777777" w:rsidR="007B04F4" w:rsidRDefault="007B04F4" w:rsidP="00AA5EE6">
      <w:pPr>
        <w:pStyle w:val="ListParagraph"/>
        <w:spacing w:after="60"/>
        <w:ind w:left="0"/>
        <w:rPr>
          <w:color w:val="000000" w:themeColor="text1"/>
          <w:lang w:val="en-GB"/>
        </w:rPr>
      </w:pPr>
    </w:p>
    <w:p w14:paraId="71741E7F" w14:textId="28F795B4" w:rsidR="007B04F4" w:rsidRPr="007B04F4" w:rsidRDefault="007B04F4" w:rsidP="007B04F4">
      <w:pPr>
        <w:pStyle w:val="ListParagraph"/>
        <w:spacing w:after="60"/>
        <w:ind w:left="0"/>
        <w:rPr>
          <w:color w:val="000000" w:themeColor="text1"/>
          <w:lang w:val="en-GB"/>
        </w:rPr>
      </w:pPr>
      <w:r>
        <w:rPr>
          <w:color w:val="000000" w:themeColor="text1"/>
          <w:lang w:val="en-GB"/>
        </w:rPr>
        <w:t xml:space="preserve">2d) </w:t>
      </w:r>
      <w:r w:rsidRPr="007B04F4">
        <w:rPr>
          <w:b/>
          <w:color w:val="000000" w:themeColor="text1"/>
          <w:lang w:val="en-GB"/>
        </w:rPr>
        <w:t>Memo</w:t>
      </w:r>
    </w:p>
    <w:p w14:paraId="0EC2D4DE" w14:textId="77777777" w:rsidR="007B04F4" w:rsidRPr="007B04F4" w:rsidRDefault="007B04F4" w:rsidP="007B04F4">
      <w:pPr>
        <w:pStyle w:val="ListParagraph"/>
        <w:spacing w:after="60"/>
        <w:ind w:left="0"/>
        <w:rPr>
          <w:i/>
          <w:color w:val="000000" w:themeColor="text1"/>
          <w:sz w:val="21"/>
          <w:szCs w:val="21"/>
          <w:lang w:val="en-GB"/>
        </w:rPr>
      </w:pPr>
      <w:r w:rsidRPr="007B04F4">
        <w:rPr>
          <w:i/>
          <w:color w:val="000000" w:themeColor="text1"/>
          <w:sz w:val="21"/>
          <w:szCs w:val="21"/>
          <w:lang w:val="en-GB"/>
        </w:rPr>
        <w:t>To: CFO of PQR Insurance</w:t>
      </w:r>
    </w:p>
    <w:p w14:paraId="636CFD52" w14:textId="77777777" w:rsidR="007B04F4" w:rsidRPr="007B04F4" w:rsidRDefault="007B04F4" w:rsidP="007B04F4">
      <w:pPr>
        <w:pStyle w:val="ListParagraph"/>
        <w:spacing w:after="60"/>
        <w:ind w:left="0"/>
        <w:rPr>
          <w:i/>
          <w:color w:val="000000" w:themeColor="text1"/>
          <w:sz w:val="21"/>
          <w:szCs w:val="21"/>
          <w:lang w:val="en-GB"/>
        </w:rPr>
      </w:pPr>
      <w:r w:rsidRPr="007B04F4">
        <w:rPr>
          <w:i/>
          <w:color w:val="000000" w:themeColor="text1"/>
          <w:sz w:val="21"/>
          <w:szCs w:val="21"/>
          <w:lang w:val="en-GB"/>
        </w:rPr>
        <w:t>CC: CFOO of ABC Life</w:t>
      </w:r>
    </w:p>
    <w:p w14:paraId="673F273A" w14:textId="77777777" w:rsidR="007B04F4" w:rsidRPr="007B04F4" w:rsidRDefault="007B04F4" w:rsidP="007B04F4">
      <w:pPr>
        <w:pStyle w:val="ListParagraph"/>
        <w:spacing w:after="60"/>
        <w:ind w:left="0"/>
        <w:rPr>
          <w:i/>
          <w:color w:val="000000" w:themeColor="text1"/>
          <w:sz w:val="21"/>
          <w:szCs w:val="21"/>
          <w:lang w:val="en-GB"/>
        </w:rPr>
      </w:pPr>
      <w:r w:rsidRPr="007B04F4">
        <w:rPr>
          <w:i/>
          <w:color w:val="000000" w:themeColor="text1"/>
          <w:sz w:val="21"/>
          <w:szCs w:val="21"/>
          <w:lang w:val="en-GB"/>
        </w:rPr>
        <w:t>From: Appointed Actuary, ABC Life</w:t>
      </w:r>
    </w:p>
    <w:p w14:paraId="7CD0C03F" w14:textId="77777777" w:rsidR="007B04F4" w:rsidRPr="007B04F4" w:rsidRDefault="007B04F4" w:rsidP="007B04F4">
      <w:pPr>
        <w:pStyle w:val="ListParagraph"/>
        <w:spacing w:after="60"/>
        <w:ind w:left="0"/>
        <w:rPr>
          <w:i/>
          <w:color w:val="000000" w:themeColor="text1"/>
          <w:sz w:val="21"/>
          <w:szCs w:val="21"/>
          <w:lang w:val="en-GB"/>
        </w:rPr>
      </w:pPr>
      <w:r w:rsidRPr="007B04F4">
        <w:rPr>
          <w:i/>
          <w:color w:val="000000" w:themeColor="text1"/>
          <w:sz w:val="21"/>
          <w:szCs w:val="21"/>
          <w:lang w:val="en-GB"/>
        </w:rPr>
        <w:t xml:space="preserve">Subject: Disadvantage of increasing ABC Life Quota Share Reinsurance with </w:t>
      </w:r>
      <w:proofErr w:type="spellStart"/>
      <w:r w:rsidRPr="007B04F4">
        <w:rPr>
          <w:i/>
          <w:color w:val="000000" w:themeColor="text1"/>
          <w:sz w:val="21"/>
          <w:szCs w:val="21"/>
          <w:lang w:val="en-GB"/>
        </w:rPr>
        <w:t>AussieRe</w:t>
      </w:r>
      <w:proofErr w:type="spellEnd"/>
    </w:p>
    <w:p w14:paraId="6F6C2B78" w14:textId="77777777" w:rsidR="007B04F4" w:rsidRPr="007B04F4" w:rsidRDefault="007B04F4" w:rsidP="007B04F4">
      <w:pPr>
        <w:pStyle w:val="ListParagraph"/>
        <w:spacing w:after="60"/>
        <w:ind w:left="0"/>
        <w:rPr>
          <w:color w:val="000000" w:themeColor="text1"/>
          <w:lang w:val="en-GB"/>
        </w:rPr>
      </w:pPr>
      <w:r w:rsidRPr="007B04F4">
        <w:rPr>
          <w:color w:val="000000" w:themeColor="text1"/>
          <w:lang w:val="en-GB"/>
        </w:rPr>
        <w:t>Dear CFO,</w:t>
      </w:r>
    </w:p>
    <w:p w14:paraId="23CC7ABB" w14:textId="77777777" w:rsidR="007B04F4" w:rsidRPr="007B04F4" w:rsidRDefault="007B04F4" w:rsidP="007B04F4">
      <w:pPr>
        <w:pStyle w:val="ListParagraph"/>
        <w:spacing w:after="60"/>
        <w:ind w:left="0"/>
        <w:rPr>
          <w:color w:val="000000" w:themeColor="text1"/>
          <w:lang w:val="en-GB"/>
        </w:rPr>
      </w:pPr>
      <w:r w:rsidRPr="007B04F4">
        <w:rPr>
          <w:color w:val="000000" w:themeColor="text1"/>
          <w:lang w:val="en-GB"/>
        </w:rPr>
        <w:t xml:space="preserve">Increasing the level of quota share reinsurance ABC Life holds with </w:t>
      </w:r>
      <w:proofErr w:type="spellStart"/>
      <w:r w:rsidRPr="007B04F4">
        <w:rPr>
          <w:color w:val="000000" w:themeColor="text1"/>
          <w:lang w:val="en-GB"/>
        </w:rPr>
        <w:t>AussieRe</w:t>
      </w:r>
      <w:proofErr w:type="spellEnd"/>
      <w:r w:rsidRPr="007B04F4">
        <w:rPr>
          <w:color w:val="000000" w:themeColor="text1"/>
          <w:lang w:val="en-GB"/>
        </w:rPr>
        <w:t xml:space="preserve"> does have a potential disadvantage from a capital viewpoint.</w:t>
      </w:r>
    </w:p>
    <w:p w14:paraId="768D0D34" w14:textId="77777777" w:rsidR="007B04F4" w:rsidRPr="007B04F4" w:rsidRDefault="007B04F4" w:rsidP="007B04F4">
      <w:pPr>
        <w:pStyle w:val="ListParagraph"/>
        <w:spacing w:after="60"/>
        <w:ind w:left="0"/>
        <w:rPr>
          <w:color w:val="000000" w:themeColor="text1"/>
          <w:lang w:val="en-GB"/>
        </w:rPr>
      </w:pPr>
      <w:r w:rsidRPr="007B04F4">
        <w:rPr>
          <w:color w:val="000000" w:themeColor="text1"/>
          <w:lang w:val="en-GB"/>
        </w:rPr>
        <w:t>This is due to this potentially causing ABC Life to hold a sufficiently large concentrated exposure to a single counterparty (</w:t>
      </w:r>
      <w:proofErr w:type="spellStart"/>
      <w:r w:rsidRPr="007B04F4">
        <w:rPr>
          <w:color w:val="000000" w:themeColor="text1"/>
          <w:lang w:val="en-GB"/>
        </w:rPr>
        <w:t>AussieRe</w:t>
      </w:r>
      <w:proofErr w:type="spellEnd"/>
      <w:r w:rsidRPr="007B04F4">
        <w:rPr>
          <w:color w:val="000000" w:themeColor="text1"/>
          <w:lang w:val="en-GB"/>
        </w:rPr>
        <w:t xml:space="preserve">). Under Australian capital requirements, there may be an </w:t>
      </w:r>
      <w:r w:rsidRPr="007B04F4">
        <w:rPr>
          <w:color w:val="00B050"/>
          <w:lang w:val="en-GB"/>
        </w:rPr>
        <w:t>increase in capital (through a concentration risk charge) required as a result</w:t>
      </w:r>
      <w:r w:rsidRPr="007B04F4">
        <w:rPr>
          <w:color w:val="000000" w:themeColor="text1"/>
          <w:lang w:val="en-GB"/>
        </w:rPr>
        <w:t xml:space="preserve">, to protect policyholders against the risk of </w:t>
      </w:r>
      <w:proofErr w:type="spellStart"/>
      <w:r w:rsidRPr="007B04F4">
        <w:rPr>
          <w:color w:val="000000" w:themeColor="text1"/>
          <w:lang w:val="en-GB"/>
        </w:rPr>
        <w:t>AussieRe</w:t>
      </w:r>
      <w:proofErr w:type="spellEnd"/>
      <w:r w:rsidRPr="007B04F4">
        <w:rPr>
          <w:color w:val="000000" w:themeColor="text1"/>
          <w:lang w:val="en-GB"/>
        </w:rPr>
        <w:t xml:space="preserve"> defaulting on the reinsurance in adverse circumstances.</w:t>
      </w:r>
    </w:p>
    <w:p w14:paraId="1C4089B7" w14:textId="77777777" w:rsidR="007B04F4" w:rsidRPr="007B04F4" w:rsidRDefault="007B04F4" w:rsidP="007B04F4">
      <w:pPr>
        <w:pStyle w:val="ListParagraph"/>
        <w:spacing w:after="60"/>
        <w:ind w:left="0"/>
        <w:rPr>
          <w:color w:val="000000" w:themeColor="text1"/>
          <w:lang w:val="en-GB"/>
        </w:rPr>
      </w:pPr>
      <w:r w:rsidRPr="007B04F4">
        <w:rPr>
          <w:color w:val="000000" w:themeColor="text1"/>
          <w:lang w:val="en-GB"/>
        </w:rPr>
        <w:t>This risk however can be mitigated, for example by:</w:t>
      </w:r>
    </w:p>
    <w:p w14:paraId="1E52E336" w14:textId="5CD56BB9" w:rsidR="007B04F4" w:rsidRPr="007B04F4" w:rsidRDefault="007B04F4" w:rsidP="00C509BA">
      <w:pPr>
        <w:pStyle w:val="ListParagraph"/>
        <w:numPr>
          <w:ilvl w:val="0"/>
          <w:numId w:val="17"/>
        </w:numPr>
        <w:spacing w:after="60"/>
        <w:rPr>
          <w:color w:val="000000" w:themeColor="text1"/>
          <w:lang w:val="en-GB"/>
        </w:rPr>
      </w:pPr>
      <w:r w:rsidRPr="007B04F4">
        <w:rPr>
          <w:color w:val="000000" w:themeColor="text1"/>
          <w:lang w:val="en-GB"/>
        </w:rPr>
        <w:lastRenderedPageBreak/>
        <w:t xml:space="preserve">Maintaining a 20% share with </w:t>
      </w:r>
      <w:proofErr w:type="spellStart"/>
      <w:r w:rsidRPr="007B04F4">
        <w:rPr>
          <w:color w:val="000000" w:themeColor="text1"/>
          <w:lang w:val="en-GB"/>
        </w:rPr>
        <w:t>AussieRe</w:t>
      </w:r>
      <w:proofErr w:type="spellEnd"/>
      <w:r w:rsidRPr="007B04F4">
        <w:rPr>
          <w:color w:val="000000" w:themeColor="text1"/>
          <w:lang w:val="en-GB"/>
        </w:rPr>
        <w:t xml:space="preserve"> and </w:t>
      </w:r>
      <w:r w:rsidRPr="007B04F4">
        <w:rPr>
          <w:color w:val="00B050"/>
          <w:lang w:val="en-GB"/>
        </w:rPr>
        <w:t>taking out additional quota share</w:t>
      </w:r>
      <w:r w:rsidRPr="007B04F4">
        <w:rPr>
          <w:color w:val="00B050"/>
          <w:lang w:val="en-GB"/>
        </w:rPr>
        <w:t xml:space="preserve"> </w:t>
      </w:r>
      <w:r w:rsidRPr="007B04F4">
        <w:rPr>
          <w:color w:val="00B050"/>
          <w:lang w:val="en-GB"/>
        </w:rPr>
        <w:t xml:space="preserve">reinsurance with another reinsurer </w:t>
      </w:r>
      <w:r w:rsidRPr="007B04F4">
        <w:rPr>
          <w:color w:val="000000" w:themeColor="text1"/>
          <w:lang w:val="en-GB"/>
        </w:rPr>
        <w:t>(thereby not increasing the counterparty</w:t>
      </w:r>
      <w:r>
        <w:rPr>
          <w:color w:val="000000" w:themeColor="text1"/>
          <w:lang w:val="en-GB"/>
        </w:rPr>
        <w:t xml:space="preserve"> </w:t>
      </w:r>
      <w:r w:rsidRPr="007B04F4">
        <w:rPr>
          <w:color w:val="000000" w:themeColor="text1"/>
          <w:lang w:val="en-GB"/>
        </w:rPr>
        <w:t xml:space="preserve">concentration to </w:t>
      </w:r>
      <w:proofErr w:type="spellStart"/>
      <w:r w:rsidRPr="007B04F4">
        <w:rPr>
          <w:color w:val="000000" w:themeColor="text1"/>
          <w:lang w:val="en-GB"/>
        </w:rPr>
        <w:t>AussieRe</w:t>
      </w:r>
      <w:proofErr w:type="spellEnd"/>
      <w:r w:rsidRPr="007B04F4">
        <w:rPr>
          <w:color w:val="000000" w:themeColor="text1"/>
          <w:lang w:val="en-GB"/>
        </w:rPr>
        <w:t>).</w:t>
      </w:r>
    </w:p>
    <w:p w14:paraId="662EDB98" w14:textId="3FB5029C" w:rsidR="007B04F4" w:rsidRPr="00215F83" w:rsidRDefault="007B04F4" w:rsidP="00EA1764">
      <w:pPr>
        <w:pStyle w:val="ListParagraph"/>
        <w:numPr>
          <w:ilvl w:val="0"/>
          <w:numId w:val="17"/>
        </w:numPr>
        <w:spacing w:after="60"/>
        <w:rPr>
          <w:color w:val="FF0000"/>
          <w:lang w:val="en-GB"/>
        </w:rPr>
      </w:pPr>
      <w:r w:rsidRPr="00215F83">
        <w:rPr>
          <w:color w:val="FF0000"/>
          <w:lang w:val="en-GB"/>
        </w:rPr>
        <w:t xml:space="preserve">Agreeing to special terms with </w:t>
      </w:r>
      <w:proofErr w:type="spellStart"/>
      <w:r w:rsidRPr="00215F83">
        <w:rPr>
          <w:color w:val="FF0000"/>
          <w:lang w:val="en-GB"/>
        </w:rPr>
        <w:t>AussieRe</w:t>
      </w:r>
      <w:proofErr w:type="spellEnd"/>
      <w:r w:rsidRPr="00215F83">
        <w:rPr>
          <w:color w:val="FF0000"/>
          <w:lang w:val="en-GB"/>
        </w:rPr>
        <w:t xml:space="preserve"> which reduce ABC Life’s exposure to</w:t>
      </w:r>
      <w:r w:rsidRPr="00215F83">
        <w:rPr>
          <w:color w:val="FF0000"/>
          <w:lang w:val="en-GB"/>
        </w:rPr>
        <w:t xml:space="preserve"> </w:t>
      </w:r>
      <w:proofErr w:type="spellStart"/>
      <w:r w:rsidRPr="00215F83">
        <w:rPr>
          <w:color w:val="FF0000"/>
          <w:lang w:val="en-GB"/>
        </w:rPr>
        <w:t>AussieRe</w:t>
      </w:r>
      <w:proofErr w:type="spellEnd"/>
      <w:r w:rsidRPr="00215F83">
        <w:rPr>
          <w:color w:val="FF0000"/>
          <w:lang w:val="en-GB"/>
        </w:rPr>
        <w:t xml:space="preserve"> under Australian capital standards (e.g. by paying reinsurance premiums twelve months in arrears, which offsets ABC Life’s exposure to </w:t>
      </w:r>
      <w:proofErr w:type="spellStart"/>
      <w:r w:rsidRPr="00215F83">
        <w:rPr>
          <w:color w:val="FF0000"/>
          <w:lang w:val="en-GB"/>
        </w:rPr>
        <w:t>AussieRe</w:t>
      </w:r>
      <w:proofErr w:type="spellEnd"/>
      <w:r w:rsidRPr="00215F83">
        <w:rPr>
          <w:color w:val="FF0000"/>
          <w:lang w:val="en-GB"/>
        </w:rPr>
        <w:t>).</w:t>
      </w:r>
    </w:p>
    <w:p w14:paraId="7DC4C6BF" w14:textId="2218EE87" w:rsidR="00215F83" w:rsidRPr="007B04F4" w:rsidRDefault="00215F83" w:rsidP="00EA1764">
      <w:pPr>
        <w:pStyle w:val="ListParagraph"/>
        <w:numPr>
          <w:ilvl w:val="0"/>
          <w:numId w:val="17"/>
        </w:numPr>
        <w:spacing w:after="60"/>
        <w:rPr>
          <w:color w:val="000000" w:themeColor="text1"/>
          <w:lang w:val="en-GB"/>
        </w:rPr>
      </w:pPr>
      <w:r>
        <w:rPr>
          <w:color w:val="000000" w:themeColor="text1"/>
          <w:lang w:val="en-GB"/>
        </w:rPr>
        <w:t xml:space="preserve">Ask for </w:t>
      </w:r>
      <w:r w:rsidRPr="00215F83">
        <w:rPr>
          <w:color w:val="000000" w:themeColor="text1"/>
          <w:lang w:val="en-GB"/>
        </w:rPr>
        <w:t>collateral</w:t>
      </w:r>
      <w:r>
        <w:rPr>
          <w:color w:val="000000" w:themeColor="text1"/>
          <w:lang w:val="en-GB"/>
        </w:rPr>
        <w:t xml:space="preserve"> from reinsurer.</w:t>
      </w:r>
    </w:p>
    <w:p w14:paraId="1CB925B1" w14:textId="77777777" w:rsidR="00215F83" w:rsidRDefault="007B04F4" w:rsidP="007B04F4">
      <w:pPr>
        <w:pStyle w:val="ListParagraph"/>
        <w:spacing w:after="60"/>
        <w:ind w:left="0"/>
        <w:rPr>
          <w:color w:val="000000" w:themeColor="text1"/>
          <w:lang w:val="en-GB"/>
        </w:rPr>
      </w:pPr>
      <w:r w:rsidRPr="007B04F4">
        <w:rPr>
          <w:color w:val="000000" w:themeColor="text1"/>
          <w:lang w:val="en-GB"/>
        </w:rPr>
        <w:t>Regards</w:t>
      </w:r>
      <w:r w:rsidR="00215F83">
        <w:rPr>
          <w:color w:val="000000" w:themeColor="text1"/>
          <w:lang w:val="en-GB"/>
        </w:rPr>
        <w:t xml:space="preserve">, </w:t>
      </w:r>
    </w:p>
    <w:p w14:paraId="7AD361EC" w14:textId="05E7BF29" w:rsidR="007B04F4" w:rsidRDefault="007B04F4" w:rsidP="007B04F4">
      <w:pPr>
        <w:pStyle w:val="ListParagraph"/>
        <w:spacing w:after="60"/>
        <w:ind w:left="0"/>
        <w:rPr>
          <w:color w:val="000000" w:themeColor="text1"/>
          <w:lang w:val="en-GB"/>
        </w:rPr>
      </w:pPr>
      <w:r w:rsidRPr="007B04F4">
        <w:rPr>
          <w:color w:val="000000" w:themeColor="text1"/>
          <w:lang w:val="en-GB"/>
        </w:rPr>
        <w:t>Appointed Actuary, ABC Life</w:t>
      </w:r>
    </w:p>
    <w:p w14:paraId="63BAFF7E" w14:textId="77777777" w:rsidR="00F50139" w:rsidRDefault="00F50139" w:rsidP="00AA5EE6">
      <w:pPr>
        <w:pStyle w:val="ListParagraph"/>
        <w:spacing w:after="60"/>
        <w:ind w:left="0"/>
        <w:rPr>
          <w:color w:val="000000" w:themeColor="text1"/>
          <w:lang w:val="en-GB"/>
        </w:rPr>
      </w:pPr>
    </w:p>
    <w:p w14:paraId="624C8614" w14:textId="77777777" w:rsidR="003774AA" w:rsidRDefault="003774AA" w:rsidP="00AA5EE6">
      <w:pPr>
        <w:pStyle w:val="ListParagraph"/>
        <w:spacing w:after="60"/>
        <w:ind w:left="0"/>
        <w:rPr>
          <w:color w:val="000000" w:themeColor="text1"/>
          <w:lang w:val="en-GB"/>
        </w:rPr>
      </w:pPr>
    </w:p>
    <w:p w14:paraId="04870699" w14:textId="77777777" w:rsidR="00BB5EC2" w:rsidRDefault="003774AA" w:rsidP="00BB5EC2">
      <w:pPr>
        <w:pStyle w:val="ListParagraph"/>
        <w:spacing w:after="60"/>
        <w:ind w:left="0"/>
        <w:rPr>
          <w:color w:val="000000" w:themeColor="text1"/>
          <w:lang w:val="en-GB"/>
        </w:rPr>
      </w:pPr>
      <w:r w:rsidRPr="003774AA">
        <w:rPr>
          <w:b/>
          <w:color w:val="000000" w:themeColor="text1"/>
          <w:lang w:val="en-GB"/>
        </w:rPr>
        <w:t>Q3</w:t>
      </w:r>
      <w:r>
        <w:rPr>
          <w:color w:val="000000" w:themeColor="text1"/>
          <w:lang w:val="en-GB"/>
        </w:rPr>
        <w:t xml:space="preserve"> a)</w:t>
      </w:r>
      <w:r w:rsidR="007E784E">
        <w:rPr>
          <w:color w:val="000000" w:themeColor="text1"/>
          <w:lang w:val="en-GB"/>
        </w:rPr>
        <w:t xml:space="preserve"> </w:t>
      </w:r>
      <w:proofErr w:type="spellStart"/>
      <w:r w:rsidR="004B656E">
        <w:rPr>
          <w:color w:val="000000" w:themeColor="text1"/>
          <w:lang w:val="en-GB"/>
        </w:rPr>
        <w:t>i</w:t>
      </w:r>
      <w:proofErr w:type="spellEnd"/>
      <w:r w:rsidR="004B656E">
        <w:rPr>
          <w:color w:val="000000" w:themeColor="text1"/>
          <w:lang w:val="en-GB"/>
        </w:rPr>
        <w:t xml:space="preserve">. </w:t>
      </w:r>
      <w:r w:rsidR="00BB5EC2" w:rsidRPr="00BB5EC2">
        <w:rPr>
          <w:i/>
          <w:color w:val="000000" w:themeColor="text1"/>
          <w:lang w:val="en-GB"/>
        </w:rPr>
        <w:t>In relation to the 31 December 2016 valuation results, it is expected that:</w:t>
      </w:r>
      <w:r w:rsidR="00BB5EC2" w:rsidRPr="00BB5EC2">
        <w:rPr>
          <w:color w:val="000000" w:themeColor="text1"/>
          <w:lang w:val="en-GB"/>
        </w:rPr>
        <w:t xml:space="preserve"> </w:t>
      </w:r>
    </w:p>
    <w:p w14:paraId="1E1B2737" w14:textId="4B14D6A0" w:rsidR="00BB5EC2" w:rsidRPr="00A5300B" w:rsidRDefault="00BB5EC2" w:rsidP="00BB5EC2">
      <w:pPr>
        <w:pStyle w:val="ListParagraph"/>
        <w:spacing w:after="60"/>
        <w:ind w:left="0"/>
        <w:rPr>
          <w:b/>
          <w:color w:val="000000" w:themeColor="text1"/>
          <w:lang w:val="en-GB"/>
        </w:rPr>
      </w:pPr>
      <w:r w:rsidRPr="00A5300B">
        <w:rPr>
          <w:b/>
          <w:color w:val="000000" w:themeColor="text1"/>
          <w:lang w:val="en-GB"/>
        </w:rPr>
        <w:t>VSA</w:t>
      </w:r>
    </w:p>
    <w:p w14:paraId="12BC2F57" w14:textId="521E73F3" w:rsidR="00BB5EC2" w:rsidRPr="00A5300B" w:rsidRDefault="00BB5EC2" w:rsidP="00A5300B">
      <w:pPr>
        <w:pStyle w:val="ListParagraph"/>
        <w:numPr>
          <w:ilvl w:val="0"/>
          <w:numId w:val="17"/>
        </w:numPr>
        <w:spacing w:after="60"/>
        <w:rPr>
          <w:color w:val="FF0000"/>
          <w:lang w:val="en-GB"/>
        </w:rPr>
      </w:pPr>
      <w:r w:rsidRPr="00BB5EC2">
        <w:rPr>
          <w:color w:val="000000" w:themeColor="text1"/>
          <w:lang w:val="en-GB"/>
        </w:rPr>
        <w:t xml:space="preserve">Given that the actual investment experience is captured within the VSA, the VSA will have decreased since the September position. </w:t>
      </w:r>
      <w:r w:rsidRPr="00A5300B">
        <w:rPr>
          <w:color w:val="00B050"/>
          <w:lang w:val="en-GB"/>
        </w:rPr>
        <w:t xml:space="preserve">As a large proportion of the assets backing the participating business are invested in long term fixed interest securities, the recent upward movements in the yield curve will have reduced their value materially. </w:t>
      </w:r>
      <w:r w:rsidRPr="00A5300B">
        <w:rPr>
          <w:color w:val="FF0000"/>
          <w:lang w:val="en-GB"/>
        </w:rPr>
        <w:t>This reduction would outweigh any actual investment earnings.</w:t>
      </w:r>
    </w:p>
    <w:p w14:paraId="5870E596" w14:textId="77777777" w:rsidR="00BB5EC2" w:rsidRPr="00A5300B" w:rsidRDefault="00BB5EC2" w:rsidP="00A5300B">
      <w:pPr>
        <w:pStyle w:val="ListParagraph"/>
        <w:spacing w:after="60"/>
        <w:ind w:left="0"/>
        <w:rPr>
          <w:b/>
          <w:color w:val="000000" w:themeColor="text1"/>
          <w:lang w:val="en-GB"/>
        </w:rPr>
      </w:pPr>
      <w:r w:rsidRPr="00A5300B">
        <w:rPr>
          <w:b/>
          <w:color w:val="000000" w:themeColor="text1"/>
          <w:lang w:val="en-GB"/>
        </w:rPr>
        <w:t>BEL</w:t>
      </w:r>
    </w:p>
    <w:p w14:paraId="7E24822E" w14:textId="75530EC9" w:rsidR="00BB5EC2" w:rsidRPr="00A5300B" w:rsidRDefault="00BB5EC2" w:rsidP="00A5300B">
      <w:pPr>
        <w:pStyle w:val="ListParagraph"/>
        <w:numPr>
          <w:ilvl w:val="0"/>
          <w:numId w:val="17"/>
        </w:numPr>
        <w:spacing w:after="60"/>
        <w:rPr>
          <w:color w:val="00B050"/>
          <w:lang w:val="en-GB"/>
        </w:rPr>
      </w:pPr>
      <w:r w:rsidRPr="00A5300B">
        <w:rPr>
          <w:color w:val="00B050"/>
          <w:lang w:val="en-GB"/>
        </w:rPr>
        <w:t>The discount rate to value the best estimate liability will have increased due to the upward movements in the yield curve, resulting in a lower BEL.</w:t>
      </w:r>
    </w:p>
    <w:p w14:paraId="59A324FB" w14:textId="0E6B293D" w:rsidR="00BB5EC2" w:rsidRPr="00A5300B" w:rsidRDefault="00BB5EC2" w:rsidP="00A5300B">
      <w:pPr>
        <w:pStyle w:val="ListParagraph"/>
        <w:numPr>
          <w:ilvl w:val="0"/>
          <w:numId w:val="17"/>
        </w:numPr>
        <w:spacing w:after="60"/>
        <w:rPr>
          <w:color w:val="FF0000"/>
          <w:lang w:val="en-GB"/>
        </w:rPr>
      </w:pPr>
      <w:r w:rsidRPr="00A5300B">
        <w:rPr>
          <w:color w:val="FF0000"/>
          <w:lang w:val="en-GB"/>
        </w:rPr>
        <w:t>However, as the asset duration is longer than the liability duration, proportionally, the VSA will reduce more than BEL. As such, BEL as a proportion of the VSA will increase. Given the level of BEL was already 95% of VSA, there might be a chance that this business will be in loss recognition.</w:t>
      </w:r>
    </w:p>
    <w:p w14:paraId="62CE9E34" w14:textId="77777777" w:rsidR="00BB5EC2" w:rsidRPr="00A5300B" w:rsidRDefault="00BB5EC2" w:rsidP="00A5300B">
      <w:pPr>
        <w:pStyle w:val="ListParagraph"/>
        <w:spacing w:after="60"/>
        <w:ind w:left="0"/>
        <w:rPr>
          <w:b/>
          <w:color w:val="000000" w:themeColor="text1"/>
          <w:lang w:val="en-GB"/>
        </w:rPr>
      </w:pPr>
      <w:r w:rsidRPr="00A5300B">
        <w:rPr>
          <w:b/>
          <w:color w:val="000000" w:themeColor="text1"/>
          <w:lang w:val="en-GB"/>
        </w:rPr>
        <w:t>BE Supportable Bonus Rate</w:t>
      </w:r>
    </w:p>
    <w:p w14:paraId="2CC089CE" w14:textId="4019B225" w:rsidR="003774AA" w:rsidRDefault="00BB5EC2" w:rsidP="00A5300B">
      <w:pPr>
        <w:pStyle w:val="ListParagraph"/>
        <w:numPr>
          <w:ilvl w:val="0"/>
          <w:numId w:val="17"/>
        </w:numPr>
        <w:spacing w:after="60"/>
        <w:rPr>
          <w:color w:val="000000" w:themeColor="text1"/>
          <w:lang w:val="en-GB"/>
        </w:rPr>
      </w:pPr>
      <w:r w:rsidRPr="00BB5EC2">
        <w:rPr>
          <w:color w:val="000000" w:themeColor="text1"/>
          <w:lang w:val="en-GB"/>
        </w:rPr>
        <w:t xml:space="preserve">All things being equal, </w:t>
      </w:r>
      <w:r w:rsidRPr="00A5300B">
        <w:rPr>
          <w:color w:val="00B050"/>
          <w:lang w:val="en-GB"/>
        </w:rPr>
        <w:t>there will be downwards pressure on the supportable bonus rate</w:t>
      </w:r>
      <w:r w:rsidRPr="00BB5EC2">
        <w:rPr>
          <w:color w:val="000000" w:themeColor="text1"/>
          <w:lang w:val="en-GB"/>
        </w:rPr>
        <w:t xml:space="preserve">, </w:t>
      </w:r>
      <w:r w:rsidRPr="00A5300B">
        <w:rPr>
          <w:color w:val="FF0000"/>
          <w:lang w:val="en-GB"/>
        </w:rPr>
        <w:t xml:space="preserve">as the VSA have reduced by more than the BEL </w:t>
      </w:r>
      <w:r w:rsidRPr="00BB5EC2">
        <w:rPr>
          <w:color w:val="000000" w:themeColor="text1"/>
          <w:lang w:val="en-GB"/>
        </w:rPr>
        <w:t>(reducing the PV BE Bonus component of the policy liability).</w:t>
      </w:r>
    </w:p>
    <w:p w14:paraId="5BD6F42A" w14:textId="77777777" w:rsidR="00791940" w:rsidRDefault="00791940" w:rsidP="00BB5EC2">
      <w:pPr>
        <w:pStyle w:val="ListParagraph"/>
        <w:spacing w:after="60"/>
        <w:ind w:left="0"/>
        <w:rPr>
          <w:color w:val="000000" w:themeColor="text1"/>
          <w:lang w:val="en-GB"/>
        </w:rPr>
      </w:pPr>
    </w:p>
    <w:p w14:paraId="2100433C" w14:textId="760C4ADC" w:rsidR="004E0949" w:rsidRPr="004E0949" w:rsidRDefault="00A5300B" w:rsidP="004E0949">
      <w:pPr>
        <w:pStyle w:val="ListParagraph"/>
        <w:spacing w:after="60"/>
        <w:ind w:left="0"/>
        <w:rPr>
          <w:color w:val="FF0000"/>
          <w:lang w:val="en-GB"/>
        </w:rPr>
      </w:pPr>
      <w:r>
        <w:rPr>
          <w:color w:val="000000" w:themeColor="text1"/>
          <w:lang w:val="en-GB"/>
        </w:rPr>
        <w:t xml:space="preserve">ii. </w:t>
      </w:r>
      <w:r w:rsidR="004E0949">
        <w:rPr>
          <w:color w:val="FF0000"/>
          <w:lang w:val="en-GB"/>
        </w:rPr>
        <w:t>As a result</w:t>
      </w:r>
      <w:r w:rsidR="004E0949" w:rsidRPr="004E0949">
        <w:rPr>
          <w:color w:val="FF0000"/>
          <w:lang w:val="en-GB"/>
        </w:rPr>
        <w:t xml:space="preserve"> of the mismatch in assets and liabilities, the bonus that can be supported has deteriorated (the resulting declared bonus might be a lot lower than historical levels and may not meet </w:t>
      </w:r>
      <w:r w:rsidR="004E0949" w:rsidRPr="007A2476">
        <w:rPr>
          <w:b/>
          <w:color w:val="FF0000"/>
          <w:lang w:val="en-GB"/>
        </w:rPr>
        <w:t>policy owners’ reasonable expectations</w:t>
      </w:r>
      <w:r w:rsidR="004E0949" w:rsidRPr="004E0949">
        <w:rPr>
          <w:color w:val="FF0000"/>
          <w:lang w:val="en-GB"/>
        </w:rPr>
        <w:t>).</w:t>
      </w:r>
    </w:p>
    <w:p w14:paraId="222011CA" w14:textId="77777777" w:rsidR="004E0949" w:rsidRPr="004E0949" w:rsidRDefault="004E0949" w:rsidP="004E0949">
      <w:pPr>
        <w:pStyle w:val="ListParagraph"/>
        <w:spacing w:after="60"/>
        <w:ind w:left="0"/>
        <w:rPr>
          <w:color w:val="000000" w:themeColor="text1"/>
          <w:lang w:val="en-GB"/>
        </w:rPr>
      </w:pPr>
      <w:r w:rsidRPr="004E0949">
        <w:rPr>
          <w:color w:val="000000" w:themeColor="text1"/>
          <w:lang w:val="en-GB"/>
        </w:rPr>
        <w:t>Therefore, MEDLIFE must address the mismatch after the annual valuation by:</w:t>
      </w:r>
    </w:p>
    <w:p w14:paraId="6CF0E58A" w14:textId="1596DDA7" w:rsidR="00A5300B" w:rsidRDefault="004E0949" w:rsidP="004E0949">
      <w:pPr>
        <w:pStyle w:val="ListParagraph"/>
        <w:numPr>
          <w:ilvl w:val="0"/>
          <w:numId w:val="17"/>
        </w:numPr>
        <w:spacing w:after="60"/>
        <w:rPr>
          <w:color w:val="000000" w:themeColor="text1"/>
          <w:lang w:val="en-GB"/>
        </w:rPr>
      </w:pPr>
      <w:r w:rsidRPr="004E0949">
        <w:rPr>
          <w:color w:val="FF0000"/>
          <w:lang w:val="en-GB"/>
        </w:rPr>
        <w:t xml:space="preserve">Conducting a full review and proposing a </w:t>
      </w:r>
      <w:r w:rsidRPr="004E0949">
        <w:rPr>
          <w:b/>
          <w:color w:val="FF0000"/>
          <w:lang w:val="en-GB"/>
        </w:rPr>
        <w:t>new investment strategy</w:t>
      </w:r>
      <w:r w:rsidRPr="004E0949">
        <w:rPr>
          <w:color w:val="FF0000"/>
          <w:lang w:val="en-GB"/>
        </w:rPr>
        <w:t xml:space="preserve"> that is suitable for the current market condition,</w:t>
      </w:r>
      <w:r w:rsidRPr="004E0949">
        <w:rPr>
          <w:color w:val="000000" w:themeColor="text1"/>
          <w:lang w:val="en-GB"/>
        </w:rPr>
        <w:t xml:space="preserve"> the existing liability profile and help to deliver the policy owners’ reasonable expectations of future bonuses.</w:t>
      </w:r>
    </w:p>
    <w:p w14:paraId="2F91B5C5" w14:textId="77777777" w:rsidR="004E0949" w:rsidRPr="004E0949" w:rsidRDefault="004E0949" w:rsidP="004E0949">
      <w:pPr>
        <w:pStyle w:val="ListParagraph"/>
        <w:numPr>
          <w:ilvl w:val="0"/>
          <w:numId w:val="17"/>
        </w:numPr>
        <w:spacing w:after="60"/>
        <w:rPr>
          <w:color w:val="000000" w:themeColor="text1"/>
          <w:lang w:val="en-GB"/>
        </w:rPr>
      </w:pPr>
      <w:r w:rsidRPr="004E0949">
        <w:rPr>
          <w:color w:val="000000" w:themeColor="text1"/>
          <w:lang w:val="en-GB"/>
        </w:rPr>
        <w:t xml:space="preserve">The review should </w:t>
      </w:r>
      <w:r w:rsidRPr="004E0949">
        <w:rPr>
          <w:color w:val="FF0000"/>
          <w:lang w:val="en-GB"/>
        </w:rPr>
        <w:t>ensure that assets and liabilities are regularly monitored so that any developing mismatch is addressed in a timely manner</w:t>
      </w:r>
      <w:r w:rsidRPr="004E0949">
        <w:rPr>
          <w:color w:val="000000" w:themeColor="text1"/>
          <w:lang w:val="en-GB"/>
        </w:rPr>
        <w:t xml:space="preserve"> (i.e. rebalance the duration of the underlying fixed income assets to better match the liabilities).</w:t>
      </w:r>
    </w:p>
    <w:p w14:paraId="063F41F4" w14:textId="50A0CFDC" w:rsidR="004E0949" w:rsidRPr="004E0949" w:rsidRDefault="004E0949" w:rsidP="004E0949">
      <w:pPr>
        <w:pStyle w:val="ListParagraph"/>
        <w:numPr>
          <w:ilvl w:val="0"/>
          <w:numId w:val="17"/>
        </w:numPr>
        <w:spacing w:after="60"/>
        <w:rPr>
          <w:color w:val="FF0000"/>
          <w:lang w:val="en-GB"/>
        </w:rPr>
      </w:pPr>
      <w:r>
        <w:rPr>
          <w:color w:val="FF0000"/>
          <w:lang w:val="en-GB"/>
        </w:rPr>
        <w:lastRenderedPageBreak/>
        <w:t xml:space="preserve">[In the question, asset duration is longer than liability duration] </w:t>
      </w:r>
      <w:r w:rsidRPr="004E0949">
        <w:rPr>
          <w:color w:val="FF0000"/>
          <w:lang w:val="en-GB"/>
        </w:rPr>
        <w:t>This is likely to be implemented through selling longer term fixed interest assets and purchasing shorter duration fixed interest assets to match the liabilities.</w:t>
      </w:r>
    </w:p>
    <w:p w14:paraId="6061E8CA" w14:textId="77777777" w:rsidR="00791940" w:rsidRDefault="00791940" w:rsidP="00AA5EE6">
      <w:pPr>
        <w:pStyle w:val="ListParagraph"/>
        <w:spacing w:after="60"/>
        <w:ind w:left="0"/>
        <w:rPr>
          <w:color w:val="000000" w:themeColor="text1"/>
          <w:lang w:val="en-GB"/>
        </w:rPr>
      </w:pPr>
    </w:p>
    <w:p w14:paraId="4453012A" w14:textId="38741BD8" w:rsidR="004E0949" w:rsidRDefault="00E24582" w:rsidP="00AA5EE6">
      <w:pPr>
        <w:pStyle w:val="ListParagraph"/>
        <w:spacing w:after="60"/>
        <w:ind w:left="0"/>
        <w:rPr>
          <w:color w:val="000000" w:themeColor="text1"/>
          <w:lang w:val="en-GB"/>
        </w:rPr>
      </w:pPr>
      <w:r>
        <w:rPr>
          <w:color w:val="000000" w:themeColor="text1"/>
          <w:lang w:val="en-GB"/>
        </w:rPr>
        <w:t xml:space="preserve">3b) </w:t>
      </w:r>
      <w:proofErr w:type="spellStart"/>
      <w:r w:rsidR="00D854A3">
        <w:rPr>
          <w:color w:val="000000" w:themeColor="text1"/>
          <w:lang w:val="en-GB"/>
        </w:rPr>
        <w:t>i</w:t>
      </w:r>
      <w:proofErr w:type="spellEnd"/>
      <w:r w:rsidR="00D854A3">
        <w:rPr>
          <w:color w:val="000000" w:themeColor="text1"/>
          <w:lang w:val="en-GB"/>
        </w:rPr>
        <w:t xml:space="preserve">. </w:t>
      </w:r>
    </w:p>
    <w:p w14:paraId="4EF83B50" w14:textId="4D191866" w:rsidR="00A966F8" w:rsidRPr="00FD67D5" w:rsidRDefault="00A966F8" w:rsidP="00A966F8">
      <w:pPr>
        <w:pStyle w:val="ListParagraph"/>
        <w:numPr>
          <w:ilvl w:val="0"/>
          <w:numId w:val="17"/>
        </w:numPr>
        <w:spacing w:after="60"/>
        <w:rPr>
          <w:color w:val="FF0000"/>
          <w:lang w:val="en-GB"/>
        </w:rPr>
      </w:pPr>
      <w:r w:rsidRPr="00FD67D5">
        <w:rPr>
          <w:color w:val="FF0000"/>
          <w:lang w:val="en-GB"/>
        </w:rPr>
        <w:t>The recent reduction in the surrender experience has persisted for the last couple of years which provides strong justification in reducing the surrender assumption Therefore the surrender assumption should be revised down.</w:t>
      </w:r>
    </w:p>
    <w:p w14:paraId="24083C9D" w14:textId="56C9DDAA" w:rsidR="00A966F8" w:rsidRPr="00A966F8" w:rsidRDefault="00A966F8" w:rsidP="00A966F8">
      <w:pPr>
        <w:pStyle w:val="ListParagraph"/>
        <w:numPr>
          <w:ilvl w:val="0"/>
          <w:numId w:val="17"/>
        </w:numPr>
        <w:spacing w:after="60"/>
        <w:rPr>
          <w:color w:val="000000" w:themeColor="text1"/>
          <w:lang w:val="en-GB"/>
        </w:rPr>
      </w:pPr>
      <w:r w:rsidRPr="00A966F8">
        <w:rPr>
          <w:color w:val="000000" w:themeColor="text1"/>
          <w:lang w:val="en-GB"/>
        </w:rPr>
        <w:t>However, it should be noted that:</w:t>
      </w:r>
    </w:p>
    <w:p w14:paraId="6B0A10A0" w14:textId="1949B015" w:rsidR="00A966F8" w:rsidRPr="00A966F8" w:rsidRDefault="00A966F8" w:rsidP="00A966F8">
      <w:pPr>
        <w:pStyle w:val="ListParagraph"/>
        <w:numPr>
          <w:ilvl w:val="1"/>
          <w:numId w:val="17"/>
        </w:numPr>
        <w:spacing w:after="60"/>
        <w:rPr>
          <w:color w:val="000000" w:themeColor="text1"/>
          <w:lang w:val="en-GB"/>
        </w:rPr>
      </w:pPr>
      <w:r w:rsidRPr="00FD67D5">
        <w:rPr>
          <w:color w:val="FF0000"/>
          <w:lang w:val="en-GB"/>
        </w:rPr>
        <w:t xml:space="preserve">The past bonus declaration </w:t>
      </w:r>
      <w:proofErr w:type="gramStart"/>
      <w:r w:rsidRPr="00FD67D5">
        <w:rPr>
          <w:color w:val="FF0000"/>
          <w:lang w:val="en-GB"/>
        </w:rPr>
        <w:t>have</w:t>
      </w:r>
      <w:proofErr w:type="gramEnd"/>
      <w:r w:rsidRPr="00FD67D5">
        <w:rPr>
          <w:color w:val="FF0000"/>
          <w:lang w:val="en-GB"/>
        </w:rPr>
        <w:t xml:space="preserve"> been generous post the global finance crisis when compared to other available investment options. This could have contributed to the much lower surrender experience than expected</w:t>
      </w:r>
      <w:r w:rsidRPr="00A966F8">
        <w:rPr>
          <w:color w:val="000000" w:themeColor="text1"/>
          <w:lang w:val="en-GB"/>
        </w:rPr>
        <w:t>.</w:t>
      </w:r>
    </w:p>
    <w:p w14:paraId="7C2CAFCD" w14:textId="3AF4C9A1" w:rsidR="00A966F8" w:rsidRPr="00A966F8" w:rsidRDefault="00A966F8" w:rsidP="00A966F8">
      <w:pPr>
        <w:pStyle w:val="ListParagraph"/>
        <w:numPr>
          <w:ilvl w:val="1"/>
          <w:numId w:val="17"/>
        </w:numPr>
        <w:spacing w:after="60"/>
        <w:rPr>
          <w:color w:val="000000" w:themeColor="text1"/>
          <w:lang w:val="en-GB"/>
        </w:rPr>
      </w:pPr>
      <w:r w:rsidRPr="00A966F8">
        <w:rPr>
          <w:color w:val="000000" w:themeColor="text1"/>
          <w:lang w:val="en-GB"/>
        </w:rPr>
        <w:t xml:space="preserve">In light of recent yield movements, the supportable bonus is expected to be lower and </w:t>
      </w:r>
      <w:r w:rsidRPr="00FD67D5">
        <w:rPr>
          <w:color w:val="FF0000"/>
          <w:lang w:val="en-GB"/>
        </w:rPr>
        <w:t>the actual bonus rate is likely to experience downward pressure, which may increase surrenders in the near future.</w:t>
      </w:r>
    </w:p>
    <w:p w14:paraId="5961380B" w14:textId="5BE80193" w:rsidR="00A966F8" w:rsidRPr="003F6E04" w:rsidRDefault="00A966F8" w:rsidP="00A966F8">
      <w:pPr>
        <w:pStyle w:val="ListParagraph"/>
        <w:numPr>
          <w:ilvl w:val="0"/>
          <w:numId w:val="17"/>
        </w:numPr>
        <w:spacing w:after="60"/>
        <w:rPr>
          <w:color w:val="FF0000"/>
          <w:lang w:val="en-GB"/>
        </w:rPr>
      </w:pPr>
      <w:r w:rsidRPr="003F6E04">
        <w:rPr>
          <w:color w:val="FF0000"/>
          <w:lang w:val="en-GB"/>
        </w:rPr>
        <w:t>Lower surrender experience also could be due to the conservative surrender basis particularly as a growing proportion of the policies approach their maturity date.</w:t>
      </w:r>
    </w:p>
    <w:p w14:paraId="01AFDF7B" w14:textId="514EB89B" w:rsidR="00A966F8" w:rsidRPr="00A966F8" w:rsidRDefault="00A966F8" w:rsidP="00A966F8">
      <w:pPr>
        <w:pStyle w:val="ListParagraph"/>
        <w:numPr>
          <w:ilvl w:val="0"/>
          <w:numId w:val="17"/>
        </w:numPr>
        <w:spacing w:after="60"/>
        <w:rPr>
          <w:color w:val="000000" w:themeColor="text1"/>
          <w:lang w:val="en-GB"/>
        </w:rPr>
      </w:pPr>
      <w:r w:rsidRPr="00A966F8">
        <w:rPr>
          <w:color w:val="000000" w:themeColor="text1"/>
          <w:lang w:val="en-GB"/>
        </w:rPr>
        <w:t>Therefore, reducing the assumption down to 3.5% is unlik</w:t>
      </w:r>
      <w:r w:rsidR="00FD67D5">
        <w:rPr>
          <w:color w:val="000000" w:themeColor="text1"/>
          <w:lang w:val="en-GB"/>
        </w:rPr>
        <w:t>ely to be appropriate as a long-</w:t>
      </w:r>
      <w:r w:rsidRPr="00A966F8">
        <w:rPr>
          <w:color w:val="000000" w:themeColor="text1"/>
          <w:lang w:val="en-GB"/>
        </w:rPr>
        <w:t>term assumption.</w:t>
      </w:r>
    </w:p>
    <w:p w14:paraId="531D3139" w14:textId="5669728C" w:rsidR="00A966F8" w:rsidRPr="00A966F8" w:rsidRDefault="00A966F8" w:rsidP="00A966F8">
      <w:pPr>
        <w:pStyle w:val="ListParagraph"/>
        <w:numPr>
          <w:ilvl w:val="1"/>
          <w:numId w:val="17"/>
        </w:numPr>
        <w:spacing w:after="60"/>
        <w:rPr>
          <w:color w:val="000000" w:themeColor="text1"/>
          <w:lang w:val="en-GB"/>
        </w:rPr>
      </w:pPr>
      <w:r w:rsidRPr="00A966F8">
        <w:rPr>
          <w:color w:val="000000" w:themeColor="text1"/>
          <w:lang w:val="en-GB"/>
        </w:rPr>
        <w:t>A lower surrender assumption will reduce the level of future supportable bonus rate, and lower future supportable bonus rate, which may ultimately result in higher surrender experience.</w:t>
      </w:r>
    </w:p>
    <w:p w14:paraId="00C55B8A" w14:textId="265C3E67" w:rsidR="00A966F8" w:rsidRPr="00FD67D5" w:rsidRDefault="00A966F8" w:rsidP="00A966F8">
      <w:pPr>
        <w:pStyle w:val="ListParagraph"/>
        <w:numPr>
          <w:ilvl w:val="1"/>
          <w:numId w:val="17"/>
        </w:numPr>
        <w:spacing w:after="60"/>
        <w:rPr>
          <w:color w:val="FF0000"/>
          <w:lang w:val="en-GB"/>
        </w:rPr>
      </w:pPr>
      <w:r w:rsidRPr="00FD67D5">
        <w:rPr>
          <w:color w:val="FF0000"/>
          <w:lang w:val="en-GB"/>
        </w:rPr>
        <w:t>Hence, a better middle ground might be somewhere between 8% and 3.5%, with ongoing monitoring of experience recommended.</w:t>
      </w:r>
    </w:p>
    <w:p w14:paraId="58B91C9C" w14:textId="77777777" w:rsidR="0012330B" w:rsidRDefault="0012330B" w:rsidP="00AA5EE6">
      <w:pPr>
        <w:pStyle w:val="ListParagraph"/>
        <w:spacing w:after="60"/>
        <w:ind w:left="0"/>
        <w:rPr>
          <w:color w:val="000000" w:themeColor="text1"/>
          <w:lang w:val="en-GB"/>
        </w:rPr>
      </w:pPr>
    </w:p>
    <w:p w14:paraId="508B6563" w14:textId="6A18B0FB" w:rsidR="0012330B" w:rsidRDefault="00FD67D5" w:rsidP="00AA5EE6">
      <w:pPr>
        <w:pStyle w:val="ListParagraph"/>
        <w:spacing w:after="60"/>
        <w:ind w:left="0"/>
        <w:rPr>
          <w:color w:val="000000" w:themeColor="text1"/>
          <w:lang w:val="en-GB"/>
        </w:rPr>
      </w:pPr>
      <w:r>
        <w:rPr>
          <w:color w:val="000000" w:themeColor="text1"/>
          <w:lang w:val="en-GB"/>
        </w:rPr>
        <w:t xml:space="preserve">ii. </w:t>
      </w:r>
    </w:p>
    <w:p w14:paraId="2398FC1F" w14:textId="62E6F969" w:rsidR="00FD67D5" w:rsidRPr="00FD67D5" w:rsidRDefault="00FD67D5" w:rsidP="00FD67D5">
      <w:pPr>
        <w:pStyle w:val="ListParagraph"/>
        <w:numPr>
          <w:ilvl w:val="0"/>
          <w:numId w:val="17"/>
        </w:numPr>
        <w:spacing w:after="60"/>
        <w:rPr>
          <w:color w:val="FF0000"/>
          <w:lang w:val="en-GB"/>
        </w:rPr>
      </w:pPr>
      <w:r w:rsidRPr="00FD67D5">
        <w:rPr>
          <w:color w:val="FF0000"/>
          <w:lang w:val="en-GB"/>
        </w:rPr>
        <w:t>Given the surrender assumption has been maintained at 8% where there was evidence of a downward trend, you would expect to see surrender experience losses in the last couple of years.</w:t>
      </w:r>
    </w:p>
    <w:p w14:paraId="3F0CEA0F" w14:textId="51FB0D3B" w:rsidR="00FD67D5" w:rsidRPr="00FD67D5" w:rsidRDefault="00FD67D5" w:rsidP="00FD67D5">
      <w:pPr>
        <w:pStyle w:val="ListParagraph"/>
        <w:numPr>
          <w:ilvl w:val="0"/>
          <w:numId w:val="17"/>
        </w:numPr>
        <w:spacing w:after="60"/>
        <w:rPr>
          <w:color w:val="FF0000"/>
          <w:lang w:val="en-GB"/>
        </w:rPr>
      </w:pPr>
      <w:r w:rsidRPr="00FD67D5">
        <w:rPr>
          <w:color w:val="000000" w:themeColor="text1"/>
          <w:lang w:val="en-GB"/>
        </w:rPr>
        <w:t xml:space="preserve">Lower surrender experience than expected results in a surrender experience loss for this business. </w:t>
      </w:r>
      <w:r w:rsidRPr="00FD67D5">
        <w:rPr>
          <w:color w:val="FF0000"/>
          <w:lang w:val="en-GB"/>
        </w:rPr>
        <w:t xml:space="preserve">This is because a conservative surrender basis implies the surrender value paid to policy owners will be less that the actual reduction in the policy liability. </w:t>
      </w:r>
      <w:r w:rsidRPr="00FD67D5">
        <w:rPr>
          <w:b/>
          <w:color w:val="FF0000"/>
          <w:lang w:val="en-GB"/>
        </w:rPr>
        <w:t>In other words, every surrender generates a surrender profit.</w:t>
      </w:r>
    </w:p>
    <w:p w14:paraId="281C8B4C" w14:textId="27377357" w:rsidR="00FD67D5" w:rsidRDefault="00FD67D5" w:rsidP="00FD67D5">
      <w:pPr>
        <w:pStyle w:val="ListParagraph"/>
        <w:numPr>
          <w:ilvl w:val="0"/>
          <w:numId w:val="17"/>
        </w:numPr>
        <w:spacing w:after="60"/>
        <w:rPr>
          <w:color w:val="000000" w:themeColor="text1"/>
          <w:lang w:val="en-GB"/>
        </w:rPr>
      </w:pPr>
      <w:r w:rsidRPr="00FD67D5">
        <w:rPr>
          <w:color w:val="000000" w:themeColor="text1"/>
          <w:lang w:val="en-GB"/>
        </w:rPr>
        <w:t xml:space="preserve">To a small extent, lower surrender experience will potentially result in a potential </w:t>
      </w:r>
      <w:r w:rsidRPr="00FD67D5">
        <w:rPr>
          <w:color w:val="FF0000"/>
          <w:lang w:val="en-GB"/>
        </w:rPr>
        <w:t>expense profit as the cost of paying surrenders reduces</w:t>
      </w:r>
      <w:r w:rsidRPr="00FD67D5">
        <w:rPr>
          <w:color w:val="000000" w:themeColor="text1"/>
          <w:lang w:val="en-GB"/>
        </w:rPr>
        <w:t>.</w:t>
      </w:r>
    </w:p>
    <w:p w14:paraId="0EBD6334" w14:textId="77777777" w:rsidR="0012330B" w:rsidRDefault="0012330B" w:rsidP="00AA5EE6">
      <w:pPr>
        <w:pStyle w:val="ListParagraph"/>
        <w:spacing w:after="60"/>
        <w:ind w:left="0"/>
        <w:rPr>
          <w:color w:val="000000" w:themeColor="text1"/>
          <w:lang w:val="en-GB"/>
        </w:rPr>
      </w:pPr>
    </w:p>
    <w:p w14:paraId="4B50A660" w14:textId="2286BF63" w:rsidR="00D6415F" w:rsidRPr="00D6415F" w:rsidRDefault="00FD67D5" w:rsidP="00D6415F">
      <w:pPr>
        <w:pStyle w:val="ListParagraph"/>
        <w:spacing w:after="60"/>
        <w:ind w:left="0"/>
        <w:rPr>
          <w:color w:val="000000" w:themeColor="text1"/>
          <w:lang w:val="en-GB"/>
        </w:rPr>
      </w:pPr>
      <w:r>
        <w:rPr>
          <w:color w:val="000000" w:themeColor="text1"/>
          <w:lang w:val="en-GB"/>
        </w:rPr>
        <w:t>3c)</w:t>
      </w:r>
      <w:r w:rsidR="00D6415F">
        <w:rPr>
          <w:color w:val="000000" w:themeColor="text1"/>
          <w:lang w:val="en-GB"/>
        </w:rPr>
        <w:t xml:space="preserve"> </w:t>
      </w:r>
      <w:r w:rsidR="00D6415F" w:rsidRPr="00D6415F">
        <w:rPr>
          <w:b/>
          <w:color w:val="000000" w:themeColor="text1"/>
          <w:lang w:val="en-GB"/>
        </w:rPr>
        <w:t>Claim decrement experience is mainly:</w:t>
      </w:r>
    </w:p>
    <w:p w14:paraId="700B7C66" w14:textId="00178CF2" w:rsidR="00D6415F" w:rsidRPr="00D6415F" w:rsidRDefault="00D6415F" w:rsidP="00D6415F">
      <w:pPr>
        <w:pStyle w:val="ListParagraph"/>
        <w:numPr>
          <w:ilvl w:val="0"/>
          <w:numId w:val="17"/>
        </w:numPr>
        <w:spacing w:after="60"/>
        <w:rPr>
          <w:color w:val="000000" w:themeColor="text1"/>
          <w:lang w:val="en-GB"/>
        </w:rPr>
      </w:pPr>
      <w:r w:rsidRPr="00D6415F">
        <w:rPr>
          <w:color w:val="00B050"/>
          <w:lang w:val="en-GB"/>
        </w:rPr>
        <w:t xml:space="preserve">Mortality experience item </w:t>
      </w:r>
      <w:r w:rsidRPr="00D6415F">
        <w:rPr>
          <w:color w:val="000000" w:themeColor="text1"/>
          <w:lang w:val="en-GB"/>
        </w:rPr>
        <w:t>– more deaths than expected will result in experience losses. This is due to the claim payment of the Sum Assured plus reversionary bonuses exceeding the reserve held.</w:t>
      </w:r>
    </w:p>
    <w:p w14:paraId="03B058DC" w14:textId="7F47FD41" w:rsidR="00D6415F" w:rsidRPr="00D6415F" w:rsidRDefault="00D6415F" w:rsidP="00D6415F">
      <w:pPr>
        <w:pStyle w:val="ListParagraph"/>
        <w:spacing w:after="60"/>
        <w:ind w:left="0"/>
        <w:rPr>
          <w:b/>
          <w:color w:val="000000" w:themeColor="text1"/>
          <w:lang w:val="en-GB"/>
        </w:rPr>
      </w:pPr>
      <w:r w:rsidRPr="00D6415F">
        <w:rPr>
          <w:b/>
          <w:color w:val="000000" w:themeColor="text1"/>
          <w:lang w:val="en-GB"/>
        </w:rPr>
        <w:t>Non-claim decrement is mainly:</w:t>
      </w:r>
    </w:p>
    <w:p w14:paraId="7DADF250" w14:textId="4BBAB00F" w:rsidR="00D6415F" w:rsidRPr="001855C5" w:rsidRDefault="00D6415F" w:rsidP="007571B2">
      <w:pPr>
        <w:pStyle w:val="ListParagraph"/>
        <w:numPr>
          <w:ilvl w:val="0"/>
          <w:numId w:val="17"/>
        </w:numPr>
        <w:spacing w:after="60"/>
        <w:rPr>
          <w:color w:val="FF0000"/>
          <w:lang w:val="en-GB"/>
        </w:rPr>
      </w:pPr>
      <w:r w:rsidRPr="0003215F">
        <w:rPr>
          <w:color w:val="00B050"/>
          <w:lang w:val="en-GB"/>
        </w:rPr>
        <w:lastRenderedPageBreak/>
        <w:t xml:space="preserve">Surrender experience </w:t>
      </w:r>
      <w:r w:rsidRPr="0003215F">
        <w:rPr>
          <w:color w:val="000000" w:themeColor="text1"/>
          <w:lang w:val="en-GB"/>
        </w:rPr>
        <w:t xml:space="preserve">(per part b) (ii)). </w:t>
      </w:r>
      <w:r w:rsidRPr="001855C5">
        <w:rPr>
          <w:color w:val="FF0000"/>
          <w:lang w:val="en-GB"/>
        </w:rPr>
        <w:t>The policy liability is released upon</w:t>
      </w:r>
      <w:r w:rsidR="0003215F" w:rsidRPr="001855C5">
        <w:rPr>
          <w:color w:val="FF0000"/>
          <w:lang w:val="en-GB"/>
        </w:rPr>
        <w:t xml:space="preserve"> </w:t>
      </w:r>
      <w:r w:rsidRPr="001855C5">
        <w:rPr>
          <w:color w:val="FF0000"/>
          <w:lang w:val="en-GB"/>
        </w:rPr>
        <w:t>surrender and a surrender value paid, which drives this experience item.</w:t>
      </w:r>
    </w:p>
    <w:p w14:paraId="1535E984" w14:textId="54A36EB4" w:rsidR="00D6415F" w:rsidRPr="00D6415F" w:rsidRDefault="00D6415F" w:rsidP="0003215F">
      <w:pPr>
        <w:pStyle w:val="ListParagraph"/>
        <w:numPr>
          <w:ilvl w:val="0"/>
          <w:numId w:val="17"/>
        </w:numPr>
        <w:spacing w:after="60"/>
        <w:rPr>
          <w:color w:val="000000" w:themeColor="text1"/>
          <w:lang w:val="en-GB"/>
        </w:rPr>
      </w:pPr>
      <w:r w:rsidRPr="0003215F">
        <w:rPr>
          <w:color w:val="FF0000"/>
          <w:lang w:val="en-GB"/>
        </w:rPr>
        <w:t xml:space="preserve">Paid-Up experience item </w:t>
      </w:r>
      <w:r w:rsidRPr="00D6415F">
        <w:rPr>
          <w:color w:val="000000" w:themeColor="text1"/>
          <w:lang w:val="en-GB"/>
        </w:rPr>
        <w:t>– this arises when the policyholder decides to cease paying premiums at some point before the end of the contract term. As the company also adopts a conservative basis for Paid-Up policies, every Paid-Up should also generate a Paid-Up experience profit. This is similar to the surrender experience item discussed above.</w:t>
      </w:r>
    </w:p>
    <w:p w14:paraId="504C2992" w14:textId="5B7DAC4D" w:rsidR="00D6415F" w:rsidRPr="00D6415F" w:rsidRDefault="00D6415F" w:rsidP="00D6415F">
      <w:pPr>
        <w:pStyle w:val="ListParagraph"/>
        <w:spacing w:after="60"/>
        <w:ind w:left="0"/>
        <w:rPr>
          <w:b/>
          <w:color w:val="000000" w:themeColor="text1"/>
          <w:lang w:val="en-GB"/>
        </w:rPr>
      </w:pPr>
      <w:r w:rsidRPr="00D6415F">
        <w:rPr>
          <w:b/>
          <w:color w:val="000000" w:themeColor="text1"/>
          <w:lang w:val="en-GB"/>
        </w:rPr>
        <w:t>Expense experience:</w:t>
      </w:r>
    </w:p>
    <w:p w14:paraId="14E39DDC" w14:textId="1CC2D73A" w:rsidR="00D6415F" w:rsidRPr="00D6415F" w:rsidRDefault="00D6415F" w:rsidP="0003215F">
      <w:pPr>
        <w:pStyle w:val="ListParagraph"/>
        <w:numPr>
          <w:ilvl w:val="0"/>
          <w:numId w:val="17"/>
        </w:numPr>
        <w:spacing w:after="60"/>
        <w:rPr>
          <w:color w:val="000000" w:themeColor="text1"/>
          <w:lang w:val="en-GB"/>
        </w:rPr>
      </w:pPr>
      <w:r w:rsidRPr="00D6415F">
        <w:rPr>
          <w:color w:val="000000" w:themeColor="text1"/>
          <w:lang w:val="en-GB"/>
        </w:rPr>
        <w:t xml:space="preserve">Expense experience profit/loss </w:t>
      </w:r>
      <w:r w:rsidRPr="004B13B3">
        <w:rPr>
          <w:color w:val="FF0000"/>
          <w:lang w:val="en-GB"/>
        </w:rPr>
        <w:t xml:space="preserve">may result from lower/higher actual expense as a result of genuine changes in the level of management expenses </w:t>
      </w:r>
      <w:r w:rsidRPr="00D6415F">
        <w:rPr>
          <w:color w:val="000000" w:themeColor="text1"/>
          <w:lang w:val="en-GB"/>
        </w:rPr>
        <w:t>(i.e. staff costs, rent or IT costs) with respect to the product.</w:t>
      </w:r>
    </w:p>
    <w:p w14:paraId="7B2BAFE6" w14:textId="79C79A98" w:rsidR="00D6415F" w:rsidRPr="00D6415F" w:rsidRDefault="00D6415F" w:rsidP="0003215F">
      <w:pPr>
        <w:pStyle w:val="ListParagraph"/>
        <w:numPr>
          <w:ilvl w:val="0"/>
          <w:numId w:val="17"/>
        </w:numPr>
        <w:spacing w:after="60"/>
        <w:rPr>
          <w:color w:val="000000" w:themeColor="text1"/>
          <w:lang w:val="en-GB"/>
        </w:rPr>
      </w:pPr>
      <w:r w:rsidRPr="00D6415F">
        <w:rPr>
          <w:color w:val="000000" w:themeColor="text1"/>
          <w:lang w:val="en-GB"/>
        </w:rPr>
        <w:t xml:space="preserve">Alternatively, </w:t>
      </w:r>
      <w:r w:rsidRPr="00425E57">
        <w:rPr>
          <w:color w:val="FF0000"/>
          <w:lang w:val="en-GB"/>
        </w:rPr>
        <w:t>this could result from lower or higher than expected inforce count which might have affected the actual expense apportionment</w:t>
      </w:r>
      <w:r w:rsidRPr="00D6415F">
        <w:rPr>
          <w:color w:val="000000" w:themeColor="text1"/>
          <w:lang w:val="en-GB"/>
        </w:rPr>
        <w:t xml:space="preserve"> between participating and YRT risk products.</w:t>
      </w:r>
    </w:p>
    <w:p w14:paraId="5608067C" w14:textId="419DBD8D" w:rsidR="00D6415F" w:rsidRPr="00D6415F" w:rsidRDefault="00D6415F" w:rsidP="00D6415F">
      <w:pPr>
        <w:pStyle w:val="ListParagraph"/>
        <w:spacing w:after="60"/>
        <w:ind w:left="0"/>
        <w:rPr>
          <w:b/>
          <w:color w:val="000000" w:themeColor="text1"/>
          <w:lang w:val="en-GB"/>
        </w:rPr>
      </w:pPr>
      <w:r w:rsidRPr="00D6415F">
        <w:rPr>
          <w:b/>
          <w:color w:val="000000" w:themeColor="text1"/>
          <w:lang w:val="en-GB"/>
        </w:rPr>
        <w:t>Investment experience:</w:t>
      </w:r>
    </w:p>
    <w:p w14:paraId="3713654B" w14:textId="494CE53D" w:rsidR="00FD67D5" w:rsidRDefault="00D6415F" w:rsidP="008D42AA">
      <w:pPr>
        <w:pStyle w:val="ListParagraph"/>
        <w:numPr>
          <w:ilvl w:val="0"/>
          <w:numId w:val="23"/>
        </w:numPr>
        <w:spacing w:after="60"/>
        <w:rPr>
          <w:color w:val="FF0000"/>
          <w:lang w:val="en-GB"/>
        </w:rPr>
      </w:pPr>
      <w:r w:rsidRPr="0003215F">
        <w:rPr>
          <w:color w:val="FF0000"/>
          <w:lang w:val="en-GB"/>
        </w:rPr>
        <w:t xml:space="preserve">There will be </w:t>
      </w:r>
      <w:r w:rsidRPr="0003215F">
        <w:rPr>
          <w:b/>
          <w:color w:val="FF0000"/>
          <w:lang w:val="en-GB"/>
        </w:rPr>
        <w:t>no investment experience profit or loss</w:t>
      </w:r>
      <w:r w:rsidRPr="0003215F">
        <w:rPr>
          <w:color w:val="FF0000"/>
          <w:lang w:val="en-GB"/>
        </w:rPr>
        <w:t xml:space="preserve"> for participating</w:t>
      </w:r>
      <w:r w:rsidR="0003215F" w:rsidRPr="0003215F">
        <w:rPr>
          <w:color w:val="FF0000"/>
          <w:lang w:val="en-GB"/>
        </w:rPr>
        <w:t xml:space="preserve"> </w:t>
      </w:r>
      <w:r w:rsidRPr="0003215F">
        <w:rPr>
          <w:color w:val="FF0000"/>
          <w:lang w:val="en-GB"/>
        </w:rPr>
        <w:t>business as the variances will be all absorbed into VSA.</w:t>
      </w:r>
    </w:p>
    <w:p w14:paraId="6D8AADC1" w14:textId="45C72292" w:rsidR="00FD67D5" w:rsidRPr="00425E57" w:rsidRDefault="00DB10F1" w:rsidP="00425E57">
      <w:pPr>
        <w:pStyle w:val="ListParagraph"/>
        <w:numPr>
          <w:ilvl w:val="0"/>
          <w:numId w:val="23"/>
        </w:numPr>
        <w:spacing w:after="60"/>
        <w:rPr>
          <w:color w:val="FF0000"/>
          <w:lang w:val="en-GB"/>
        </w:rPr>
      </w:pPr>
      <w:r w:rsidRPr="00DB10F1">
        <w:rPr>
          <w:b/>
          <w:color w:val="FF0000"/>
          <w:lang w:val="en-GB"/>
        </w:rPr>
        <w:t>Differences between actual and expected investment returns affects the current year best estimate cost of bonus and the value of future best estimate bonuses,</w:t>
      </w:r>
      <w:r w:rsidRPr="00DB10F1">
        <w:rPr>
          <w:color w:val="FF0000"/>
          <w:lang w:val="en-GB"/>
        </w:rPr>
        <w:t xml:space="preserve"> which are both included in the policy liability. </w:t>
      </w:r>
    </w:p>
    <w:p w14:paraId="7C38AA0A" w14:textId="77777777" w:rsidR="00FD67D5" w:rsidRDefault="00FD67D5" w:rsidP="00AA5EE6">
      <w:pPr>
        <w:pStyle w:val="ListParagraph"/>
        <w:spacing w:after="60"/>
        <w:ind w:left="0"/>
        <w:rPr>
          <w:color w:val="000000" w:themeColor="text1"/>
          <w:lang w:val="en-GB"/>
        </w:rPr>
      </w:pPr>
    </w:p>
    <w:p w14:paraId="07F87ADF" w14:textId="3034683A" w:rsidR="00425E57" w:rsidRPr="00425E57" w:rsidRDefault="00425E57" w:rsidP="00425E57">
      <w:pPr>
        <w:pStyle w:val="ListParagraph"/>
        <w:spacing w:after="60"/>
        <w:ind w:left="0"/>
        <w:rPr>
          <w:b/>
          <w:color w:val="000000" w:themeColor="text1"/>
          <w:lang w:val="en-GB"/>
        </w:rPr>
      </w:pPr>
      <w:r>
        <w:rPr>
          <w:color w:val="000000" w:themeColor="text1"/>
          <w:lang w:val="en-GB"/>
        </w:rPr>
        <w:t xml:space="preserve">ii. </w:t>
      </w:r>
      <w:r w:rsidRPr="00425E57">
        <w:rPr>
          <w:b/>
          <w:color w:val="000000" w:themeColor="text1"/>
          <w:lang w:val="en-GB"/>
        </w:rPr>
        <w:t>Claim decrement experience:</w:t>
      </w:r>
    </w:p>
    <w:p w14:paraId="628E6D0A" w14:textId="0D296CE9" w:rsidR="00425E57" w:rsidRPr="00425E57" w:rsidRDefault="00425E57" w:rsidP="00425E57">
      <w:pPr>
        <w:pStyle w:val="ListParagraph"/>
        <w:numPr>
          <w:ilvl w:val="0"/>
          <w:numId w:val="23"/>
        </w:numPr>
        <w:spacing w:after="60"/>
        <w:rPr>
          <w:color w:val="000000" w:themeColor="text1"/>
          <w:lang w:val="en-GB"/>
        </w:rPr>
      </w:pPr>
      <w:r w:rsidRPr="00425E57">
        <w:rPr>
          <w:color w:val="00B050"/>
          <w:lang w:val="en-GB"/>
        </w:rPr>
        <w:t xml:space="preserve">This is consistent with YRT risk products in direction </w:t>
      </w:r>
      <w:r w:rsidRPr="00425E57">
        <w:rPr>
          <w:color w:val="000000" w:themeColor="text1"/>
          <w:lang w:val="en-GB"/>
        </w:rPr>
        <w:t>i.e. higher than expected deaths will lead to an experience loss.</w:t>
      </w:r>
    </w:p>
    <w:p w14:paraId="0CFA0309" w14:textId="0943CFA2" w:rsidR="00425E57" w:rsidRPr="00425E57" w:rsidRDefault="00425E57" w:rsidP="00425E57">
      <w:pPr>
        <w:pStyle w:val="ListParagraph"/>
        <w:numPr>
          <w:ilvl w:val="0"/>
          <w:numId w:val="23"/>
        </w:numPr>
        <w:spacing w:after="60"/>
        <w:rPr>
          <w:color w:val="FF0000"/>
          <w:lang w:val="en-GB"/>
        </w:rPr>
      </w:pPr>
      <w:r w:rsidRPr="00425E57">
        <w:rPr>
          <w:color w:val="000000" w:themeColor="text1"/>
          <w:lang w:val="en-GB"/>
        </w:rPr>
        <w:t xml:space="preserve">However, </w:t>
      </w:r>
      <w:r w:rsidRPr="00425E57">
        <w:rPr>
          <w:color w:val="FF0000"/>
          <w:lang w:val="en-GB"/>
        </w:rPr>
        <w:t>the proportional impact per death will be much more significant for YRT risk products than traditional participating products. This is due to the sums at risk – YRT policies have significantly higher sums insured which are fully at risk (ignoring reinsurance) whereas the sum at risk reduces for participating policies as the reserve grows.</w:t>
      </w:r>
    </w:p>
    <w:p w14:paraId="6E53210C" w14:textId="74B9D9D1" w:rsidR="00425E57" w:rsidRPr="00425E57" w:rsidRDefault="00425E57" w:rsidP="00425E57">
      <w:pPr>
        <w:pStyle w:val="ListParagraph"/>
        <w:spacing w:after="60"/>
        <w:ind w:left="0"/>
        <w:rPr>
          <w:b/>
          <w:color w:val="000000" w:themeColor="text1"/>
          <w:lang w:val="en-GB"/>
        </w:rPr>
      </w:pPr>
      <w:r w:rsidRPr="00425E57">
        <w:rPr>
          <w:b/>
          <w:color w:val="000000" w:themeColor="text1"/>
          <w:lang w:val="en-GB"/>
        </w:rPr>
        <w:t>Non-claim decrement experience:</w:t>
      </w:r>
    </w:p>
    <w:p w14:paraId="0627ACB8" w14:textId="5728B049" w:rsidR="00425E57" w:rsidRPr="00425E57" w:rsidRDefault="00425E57" w:rsidP="00425E57">
      <w:pPr>
        <w:pStyle w:val="ListParagraph"/>
        <w:numPr>
          <w:ilvl w:val="0"/>
          <w:numId w:val="23"/>
        </w:numPr>
        <w:spacing w:after="60"/>
        <w:rPr>
          <w:color w:val="000000" w:themeColor="text1"/>
          <w:lang w:val="en-GB"/>
        </w:rPr>
      </w:pPr>
      <w:r w:rsidRPr="00425E57">
        <w:rPr>
          <w:color w:val="000000" w:themeColor="text1"/>
          <w:lang w:val="en-GB"/>
        </w:rPr>
        <w:t>The equivalent to surrender experience for YRT risk products is the lapse experience.</w:t>
      </w:r>
    </w:p>
    <w:p w14:paraId="3B19BCED" w14:textId="32DADD46" w:rsidR="00425E57" w:rsidRPr="00425E57" w:rsidRDefault="00425E57" w:rsidP="00425E57">
      <w:pPr>
        <w:pStyle w:val="ListParagraph"/>
        <w:numPr>
          <w:ilvl w:val="0"/>
          <w:numId w:val="23"/>
        </w:numPr>
        <w:spacing w:after="60"/>
        <w:rPr>
          <w:color w:val="00B050"/>
          <w:lang w:val="en-GB"/>
        </w:rPr>
      </w:pPr>
      <w:r w:rsidRPr="00425E57">
        <w:rPr>
          <w:color w:val="000000" w:themeColor="text1"/>
          <w:lang w:val="en-GB"/>
        </w:rPr>
        <w:t>However</w:t>
      </w:r>
      <w:r>
        <w:rPr>
          <w:color w:val="000000" w:themeColor="text1"/>
          <w:lang w:val="en-GB"/>
        </w:rPr>
        <w:t>,</w:t>
      </w:r>
      <w:r w:rsidRPr="00425E57">
        <w:rPr>
          <w:color w:val="000000" w:themeColor="text1"/>
          <w:lang w:val="en-GB"/>
        </w:rPr>
        <w:t xml:space="preserve"> the impact is different –</w:t>
      </w:r>
      <w:r w:rsidRPr="00425E57">
        <w:rPr>
          <w:color w:val="00B050"/>
          <w:lang w:val="en-GB"/>
        </w:rPr>
        <w:t xml:space="preserve"> higher than expected lapses leads to an experience loss for YRT. This loss arises from the unrecovered acquisition expenses (DAC) needing to be capitalised for the additional lapsed policies.</w:t>
      </w:r>
    </w:p>
    <w:p w14:paraId="65719EC5" w14:textId="1167909D" w:rsidR="00425E57" w:rsidRPr="00425E57" w:rsidRDefault="00425E57" w:rsidP="00425E57">
      <w:pPr>
        <w:pStyle w:val="ListParagraph"/>
        <w:numPr>
          <w:ilvl w:val="0"/>
          <w:numId w:val="23"/>
        </w:numPr>
        <w:spacing w:after="60"/>
        <w:rPr>
          <w:color w:val="000000" w:themeColor="text1"/>
          <w:lang w:val="en-GB"/>
        </w:rPr>
      </w:pPr>
      <w:r w:rsidRPr="00425E57">
        <w:rPr>
          <w:color w:val="000000" w:themeColor="text1"/>
          <w:lang w:val="en-GB"/>
        </w:rPr>
        <w:t>The loss can be sizeable for YRT products if the additional lapses occur in the early durations of the policy. For participating policies</w:t>
      </w:r>
      <w:r>
        <w:rPr>
          <w:color w:val="000000" w:themeColor="text1"/>
          <w:lang w:val="en-GB"/>
        </w:rPr>
        <w:t>,</w:t>
      </w:r>
      <w:r w:rsidRPr="00425E57">
        <w:rPr>
          <w:color w:val="000000" w:themeColor="text1"/>
          <w:lang w:val="en-GB"/>
        </w:rPr>
        <w:t xml:space="preserve"> the experience profit reduces as the policy approaches maturity – i.e. the surrender value should approach the maturity value (even with a conservative basis).</w:t>
      </w:r>
    </w:p>
    <w:p w14:paraId="0777D527" w14:textId="77777777" w:rsidR="00425E57" w:rsidRPr="00425E57" w:rsidRDefault="00425E57" w:rsidP="00425E57">
      <w:pPr>
        <w:pStyle w:val="ListParagraph"/>
        <w:numPr>
          <w:ilvl w:val="0"/>
          <w:numId w:val="23"/>
        </w:numPr>
        <w:spacing w:after="60"/>
        <w:rPr>
          <w:color w:val="FF0000"/>
          <w:lang w:val="en-GB"/>
        </w:rPr>
      </w:pPr>
      <w:r w:rsidRPr="00425E57">
        <w:rPr>
          <w:color w:val="FF0000"/>
          <w:lang w:val="en-GB"/>
        </w:rPr>
        <w:t>There is no equivalent paid up</w:t>
      </w:r>
      <w:r w:rsidRPr="00425E57">
        <w:rPr>
          <w:color w:val="FF0000"/>
          <w:lang w:val="en-GB"/>
        </w:rPr>
        <w:t xml:space="preserve"> experience for YRT policies. </w:t>
      </w:r>
    </w:p>
    <w:p w14:paraId="52E4E121" w14:textId="1B38F6FD" w:rsidR="00425E57" w:rsidRPr="00425E57" w:rsidRDefault="00425E57" w:rsidP="00425E57">
      <w:pPr>
        <w:pStyle w:val="ListParagraph"/>
        <w:spacing w:after="60"/>
        <w:ind w:left="0"/>
        <w:rPr>
          <w:b/>
          <w:color w:val="000000" w:themeColor="text1"/>
          <w:lang w:val="en-GB"/>
        </w:rPr>
      </w:pPr>
      <w:r w:rsidRPr="00425E57">
        <w:rPr>
          <w:b/>
          <w:color w:val="000000" w:themeColor="text1"/>
          <w:lang w:val="en-GB"/>
        </w:rPr>
        <w:t>Expense experience:</w:t>
      </w:r>
    </w:p>
    <w:p w14:paraId="319D889B" w14:textId="664CFEE1" w:rsidR="00425E57" w:rsidRPr="00425E57" w:rsidRDefault="00425E57" w:rsidP="00425E57">
      <w:pPr>
        <w:pStyle w:val="ListParagraph"/>
        <w:numPr>
          <w:ilvl w:val="0"/>
          <w:numId w:val="23"/>
        </w:numPr>
        <w:spacing w:after="60"/>
        <w:rPr>
          <w:color w:val="000000" w:themeColor="text1"/>
          <w:lang w:val="en-GB"/>
        </w:rPr>
      </w:pPr>
      <w:r w:rsidRPr="00425E57">
        <w:rPr>
          <w:color w:val="00B050"/>
          <w:lang w:val="en-GB"/>
        </w:rPr>
        <w:lastRenderedPageBreak/>
        <w:t xml:space="preserve">The expense experience is determined similarly for participating products and YRT risk products. </w:t>
      </w:r>
      <w:r w:rsidRPr="00425E57">
        <w:rPr>
          <w:color w:val="000000" w:themeColor="text1"/>
          <w:lang w:val="en-GB"/>
        </w:rPr>
        <w:t>In both cases</w:t>
      </w:r>
      <w:r>
        <w:rPr>
          <w:color w:val="000000" w:themeColor="text1"/>
          <w:lang w:val="en-GB"/>
        </w:rPr>
        <w:t>,</w:t>
      </w:r>
      <w:r w:rsidRPr="00425E57">
        <w:rPr>
          <w:color w:val="000000" w:themeColor="text1"/>
          <w:lang w:val="en-GB"/>
        </w:rPr>
        <w:t xml:space="preserve"> higher than expected expenses will lead to an experience loss.</w:t>
      </w:r>
    </w:p>
    <w:p w14:paraId="038E5F14" w14:textId="7E982E96" w:rsidR="00425E57" w:rsidRPr="00425E57" w:rsidRDefault="00425E57" w:rsidP="00425E57">
      <w:pPr>
        <w:pStyle w:val="ListParagraph"/>
        <w:spacing w:after="60"/>
        <w:ind w:left="0"/>
        <w:rPr>
          <w:b/>
          <w:color w:val="000000" w:themeColor="text1"/>
          <w:lang w:val="en-GB"/>
        </w:rPr>
      </w:pPr>
      <w:r w:rsidRPr="00425E57">
        <w:rPr>
          <w:b/>
          <w:color w:val="000000" w:themeColor="text1"/>
          <w:lang w:val="en-GB"/>
        </w:rPr>
        <w:t>I</w:t>
      </w:r>
      <w:r w:rsidRPr="00425E57">
        <w:rPr>
          <w:b/>
          <w:color w:val="000000" w:themeColor="text1"/>
          <w:lang w:val="en-GB"/>
        </w:rPr>
        <w:t>nvestment experience:</w:t>
      </w:r>
    </w:p>
    <w:p w14:paraId="576F08E2" w14:textId="77777777" w:rsidR="00425E57" w:rsidRPr="0020160F" w:rsidRDefault="00425E57" w:rsidP="00FA4139">
      <w:pPr>
        <w:pStyle w:val="ListParagraph"/>
        <w:numPr>
          <w:ilvl w:val="0"/>
          <w:numId w:val="26"/>
        </w:numPr>
        <w:spacing w:after="60"/>
        <w:rPr>
          <w:color w:val="00B050"/>
          <w:lang w:val="en-GB"/>
        </w:rPr>
      </w:pPr>
      <w:r w:rsidRPr="0020160F">
        <w:rPr>
          <w:color w:val="00B050"/>
          <w:lang w:val="en-GB"/>
        </w:rPr>
        <w:t>Unlike participating business, an investment experience will be reported in</w:t>
      </w:r>
      <w:r w:rsidRPr="0020160F">
        <w:rPr>
          <w:color w:val="00B050"/>
          <w:lang w:val="en-GB"/>
        </w:rPr>
        <w:t xml:space="preserve"> </w:t>
      </w:r>
      <w:r w:rsidRPr="0020160F">
        <w:rPr>
          <w:color w:val="00B050"/>
          <w:lang w:val="en-GB"/>
        </w:rPr>
        <w:t>the Analysis of Prof</w:t>
      </w:r>
      <w:r w:rsidRPr="0020160F">
        <w:rPr>
          <w:color w:val="00B050"/>
          <w:lang w:val="en-GB"/>
        </w:rPr>
        <w:t xml:space="preserve">it for the YRT risk products. </w:t>
      </w:r>
    </w:p>
    <w:p w14:paraId="0082C697" w14:textId="379F760F" w:rsidR="00425E57" w:rsidRPr="00D079C0" w:rsidRDefault="00D079C0" w:rsidP="00FA4139">
      <w:pPr>
        <w:pStyle w:val="ListParagraph"/>
        <w:numPr>
          <w:ilvl w:val="0"/>
          <w:numId w:val="26"/>
        </w:numPr>
        <w:spacing w:after="60"/>
        <w:rPr>
          <w:b/>
          <w:color w:val="FF0000"/>
          <w:lang w:val="en-GB"/>
        </w:rPr>
      </w:pPr>
      <w:r w:rsidRPr="00D079C0">
        <w:rPr>
          <w:b/>
          <w:color w:val="FF0000"/>
          <w:lang w:val="en-GB"/>
        </w:rPr>
        <w:t>Investment experience for YRT</w:t>
      </w:r>
      <w:r w:rsidR="00425E57" w:rsidRPr="00D079C0">
        <w:rPr>
          <w:b/>
          <w:color w:val="FF0000"/>
          <w:lang w:val="en-GB"/>
        </w:rPr>
        <w:t xml:space="preserve"> will reflect:</w:t>
      </w:r>
    </w:p>
    <w:p w14:paraId="74B8569D" w14:textId="6C73A541" w:rsidR="00425E57" w:rsidRPr="00D079C0" w:rsidRDefault="00425E57" w:rsidP="00015B7C">
      <w:pPr>
        <w:pStyle w:val="ListParagraph"/>
        <w:numPr>
          <w:ilvl w:val="0"/>
          <w:numId w:val="27"/>
        </w:numPr>
        <w:spacing w:after="60"/>
        <w:rPr>
          <w:color w:val="FF0000"/>
          <w:lang w:val="en-GB"/>
        </w:rPr>
      </w:pPr>
      <w:r w:rsidRPr="00D079C0">
        <w:rPr>
          <w:color w:val="FF0000"/>
          <w:lang w:val="en-GB"/>
        </w:rPr>
        <w:t>Any changes to the policy liability due to changes in discount rates over the valuation period.</w:t>
      </w:r>
    </w:p>
    <w:p w14:paraId="549BC9AB" w14:textId="370C9BCF" w:rsidR="00425E57" w:rsidRPr="00D079C0" w:rsidRDefault="00425E57" w:rsidP="00015B7C">
      <w:pPr>
        <w:pStyle w:val="ListParagraph"/>
        <w:numPr>
          <w:ilvl w:val="0"/>
          <w:numId w:val="27"/>
        </w:numPr>
        <w:spacing w:after="60"/>
        <w:rPr>
          <w:color w:val="FF0000"/>
          <w:lang w:val="en-GB"/>
        </w:rPr>
      </w:pPr>
      <w:r w:rsidRPr="00D079C0">
        <w:rPr>
          <w:color w:val="FF0000"/>
          <w:lang w:val="en-GB"/>
        </w:rPr>
        <w:t xml:space="preserve">The difference between the discount rate and the actual rate of investment return on the policy liability and </w:t>
      </w:r>
      <w:proofErr w:type="spellStart"/>
      <w:r w:rsidRPr="00D079C0">
        <w:rPr>
          <w:color w:val="FF0000"/>
          <w:lang w:val="en-GB"/>
        </w:rPr>
        <w:t>cashflows</w:t>
      </w:r>
      <w:proofErr w:type="spellEnd"/>
      <w:r w:rsidRPr="00D079C0">
        <w:rPr>
          <w:color w:val="FF0000"/>
          <w:lang w:val="en-GB"/>
        </w:rPr>
        <w:t xml:space="preserve"> over the reporting period.</w:t>
      </w:r>
    </w:p>
    <w:p w14:paraId="6ED5161C" w14:textId="77777777" w:rsidR="0012330B" w:rsidRDefault="0012330B" w:rsidP="00AA5EE6">
      <w:pPr>
        <w:pStyle w:val="ListParagraph"/>
        <w:spacing w:after="60"/>
        <w:ind w:left="0"/>
        <w:rPr>
          <w:color w:val="000000" w:themeColor="text1"/>
          <w:lang w:val="en-GB"/>
        </w:rPr>
      </w:pPr>
    </w:p>
    <w:p w14:paraId="04820E88" w14:textId="6977D2E1" w:rsidR="00425E57" w:rsidRPr="00D22CCD" w:rsidRDefault="00856455" w:rsidP="00AA5EE6">
      <w:pPr>
        <w:pStyle w:val="ListParagraph"/>
        <w:spacing w:after="60"/>
        <w:ind w:left="0"/>
        <w:rPr>
          <w:color w:val="FF0000"/>
          <w:lang w:val="en-GB"/>
        </w:rPr>
      </w:pPr>
      <w:r>
        <w:rPr>
          <w:color w:val="000000" w:themeColor="text1"/>
          <w:lang w:val="en-GB"/>
        </w:rPr>
        <w:t xml:space="preserve">3d) </w:t>
      </w:r>
    </w:p>
    <w:p w14:paraId="51B4D612" w14:textId="4F810693" w:rsidR="00D22CCD" w:rsidRPr="00D22CCD" w:rsidRDefault="00D22CCD" w:rsidP="00D22CCD">
      <w:pPr>
        <w:pStyle w:val="ListParagraph"/>
        <w:numPr>
          <w:ilvl w:val="0"/>
          <w:numId w:val="26"/>
        </w:numPr>
        <w:spacing w:after="60"/>
        <w:rPr>
          <w:color w:val="FF0000"/>
          <w:lang w:val="en-GB"/>
        </w:rPr>
      </w:pPr>
      <w:r w:rsidRPr="00D22CCD">
        <w:rPr>
          <w:color w:val="FF0000"/>
          <w:lang w:val="en-GB"/>
        </w:rPr>
        <w:t xml:space="preserve">Any expense experience loss of the MEDLIFE participating business is split 80% to policyholders and 20% to shareholders. This can therefore significantly impact the </w:t>
      </w:r>
      <w:r w:rsidRPr="00D22CCD">
        <w:rPr>
          <w:b/>
          <w:color w:val="FF0000"/>
          <w:lang w:val="en-GB"/>
        </w:rPr>
        <w:t>future</w:t>
      </w:r>
      <w:r w:rsidRPr="00D22CCD">
        <w:rPr>
          <w:color w:val="FF0000"/>
          <w:lang w:val="en-GB"/>
        </w:rPr>
        <w:t xml:space="preserve"> bonus rates declared to policyholders on the product.</w:t>
      </w:r>
    </w:p>
    <w:p w14:paraId="21854C2E" w14:textId="23E612FD" w:rsidR="00D22CCD" w:rsidRPr="00942555" w:rsidRDefault="00D22CCD" w:rsidP="00D22CCD">
      <w:pPr>
        <w:pStyle w:val="ListParagraph"/>
        <w:numPr>
          <w:ilvl w:val="0"/>
          <w:numId w:val="26"/>
        </w:numPr>
        <w:spacing w:after="60"/>
        <w:rPr>
          <w:color w:val="FF0000"/>
          <w:lang w:val="en-GB"/>
        </w:rPr>
      </w:pPr>
      <w:r w:rsidRPr="00942555">
        <w:rPr>
          <w:color w:val="FF0000"/>
          <w:lang w:val="en-GB"/>
        </w:rPr>
        <w:t>It is important that the Appointed Actuary is fully aware of the reasons for the experience items prior to setting bonus rates.</w:t>
      </w:r>
    </w:p>
    <w:p w14:paraId="11C839CF" w14:textId="4C7348BB" w:rsidR="00D22CCD" w:rsidRPr="00D22CCD" w:rsidRDefault="00D22CCD" w:rsidP="00D22CCD">
      <w:pPr>
        <w:pStyle w:val="ListParagraph"/>
        <w:numPr>
          <w:ilvl w:val="0"/>
          <w:numId w:val="26"/>
        </w:numPr>
        <w:spacing w:after="60"/>
        <w:rPr>
          <w:color w:val="000000" w:themeColor="text1"/>
          <w:lang w:val="en-GB"/>
        </w:rPr>
      </w:pPr>
      <w:r w:rsidRPr="00D22CCD">
        <w:rPr>
          <w:color w:val="000000" w:themeColor="text1"/>
          <w:lang w:val="en-GB"/>
        </w:rPr>
        <w:t xml:space="preserve">It is important to </w:t>
      </w:r>
      <w:r w:rsidRPr="00942555">
        <w:rPr>
          <w:color w:val="FF0000"/>
          <w:lang w:val="en-GB"/>
        </w:rPr>
        <w:t>understand whether the large expense loss is a new occurrence</w:t>
      </w:r>
      <w:r w:rsidRPr="00D22CCD">
        <w:rPr>
          <w:color w:val="000000" w:themeColor="text1"/>
          <w:lang w:val="en-GB"/>
        </w:rPr>
        <w:t xml:space="preserve"> as this will help provide guidance as to what items to investigate. If it has existed previously it is important to understand what actions were taken and why given the potential impact on bonus rates.</w:t>
      </w:r>
    </w:p>
    <w:p w14:paraId="495E7D69" w14:textId="7DB9F915" w:rsidR="00D22CCD" w:rsidRPr="00D22CCD" w:rsidRDefault="00D22CCD" w:rsidP="00D22CCD">
      <w:pPr>
        <w:pStyle w:val="ListParagraph"/>
        <w:numPr>
          <w:ilvl w:val="0"/>
          <w:numId w:val="26"/>
        </w:numPr>
        <w:spacing w:after="60"/>
        <w:rPr>
          <w:color w:val="000000" w:themeColor="text1"/>
          <w:lang w:val="en-GB"/>
        </w:rPr>
      </w:pPr>
      <w:r w:rsidRPr="00D22CCD">
        <w:rPr>
          <w:color w:val="000000" w:themeColor="text1"/>
          <w:lang w:val="en-GB"/>
        </w:rPr>
        <w:t>A large Expense experience loss could indicate either:</w:t>
      </w:r>
    </w:p>
    <w:p w14:paraId="53359BBC" w14:textId="77777777" w:rsidR="00D22CCD" w:rsidRDefault="00D22CCD" w:rsidP="00D22CCD">
      <w:pPr>
        <w:pStyle w:val="ListParagraph"/>
        <w:numPr>
          <w:ilvl w:val="1"/>
          <w:numId w:val="26"/>
        </w:numPr>
        <w:spacing w:after="60"/>
        <w:rPr>
          <w:color w:val="000000" w:themeColor="text1"/>
          <w:lang w:val="en-GB"/>
        </w:rPr>
      </w:pPr>
      <w:r w:rsidRPr="00D22CCD">
        <w:rPr>
          <w:color w:val="000000" w:themeColor="text1"/>
          <w:lang w:val="en-GB"/>
        </w:rPr>
        <w:t>a genu</w:t>
      </w:r>
      <w:r>
        <w:rPr>
          <w:color w:val="000000" w:themeColor="text1"/>
          <w:lang w:val="en-GB"/>
        </w:rPr>
        <w:t xml:space="preserve">ine direct expense overrun; or </w:t>
      </w:r>
    </w:p>
    <w:p w14:paraId="48FDFC5C" w14:textId="4AA4524A" w:rsidR="00D22CCD" w:rsidRPr="00D22CCD" w:rsidRDefault="00D22CCD" w:rsidP="00D22CCD">
      <w:pPr>
        <w:pStyle w:val="ListParagraph"/>
        <w:numPr>
          <w:ilvl w:val="1"/>
          <w:numId w:val="26"/>
        </w:numPr>
        <w:spacing w:after="60"/>
        <w:rPr>
          <w:color w:val="000000" w:themeColor="text1"/>
          <w:lang w:val="en-GB"/>
        </w:rPr>
      </w:pPr>
      <w:r w:rsidRPr="00942555">
        <w:rPr>
          <w:color w:val="FF0000"/>
          <w:lang w:val="en-GB"/>
        </w:rPr>
        <w:t xml:space="preserve">an overhead </w:t>
      </w:r>
      <w:proofErr w:type="spellStart"/>
      <w:r w:rsidRPr="00942555">
        <w:rPr>
          <w:color w:val="FF0000"/>
          <w:lang w:val="en-GB"/>
        </w:rPr>
        <w:t>mis</w:t>
      </w:r>
      <w:proofErr w:type="spellEnd"/>
      <w:r w:rsidRPr="00942555">
        <w:rPr>
          <w:color w:val="FF0000"/>
          <w:lang w:val="en-GB"/>
        </w:rPr>
        <w:t>-allocation</w:t>
      </w:r>
      <w:r w:rsidRPr="00D22CCD">
        <w:rPr>
          <w:color w:val="000000" w:themeColor="text1"/>
          <w:lang w:val="en-GB"/>
        </w:rPr>
        <w:t>; or</w:t>
      </w:r>
    </w:p>
    <w:p w14:paraId="52C73FBF" w14:textId="2172C2EB" w:rsidR="00D22CCD" w:rsidRPr="00D22CCD" w:rsidRDefault="00D22CCD" w:rsidP="00D22CCD">
      <w:pPr>
        <w:pStyle w:val="ListParagraph"/>
        <w:numPr>
          <w:ilvl w:val="1"/>
          <w:numId w:val="26"/>
        </w:numPr>
        <w:spacing w:after="60"/>
        <w:rPr>
          <w:color w:val="000000" w:themeColor="text1"/>
          <w:lang w:val="en-GB"/>
        </w:rPr>
      </w:pPr>
      <w:r w:rsidRPr="00D22CCD">
        <w:rPr>
          <w:color w:val="000000" w:themeColor="text1"/>
          <w:lang w:val="en-GB"/>
        </w:rPr>
        <w:t>a one-off expense (e.g. a project).</w:t>
      </w:r>
    </w:p>
    <w:p w14:paraId="40E5528F" w14:textId="4AAC6A77" w:rsidR="00D22CCD" w:rsidRPr="00D22CCD" w:rsidRDefault="00D22CCD" w:rsidP="00D22CCD">
      <w:pPr>
        <w:pStyle w:val="ListParagraph"/>
        <w:numPr>
          <w:ilvl w:val="0"/>
          <w:numId w:val="26"/>
        </w:numPr>
        <w:spacing w:after="60"/>
        <w:rPr>
          <w:color w:val="000000" w:themeColor="text1"/>
          <w:lang w:val="en-GB"/>
        </w:rPr>
      </w:pPr>
      <w:r w:rsidRPr="00942555">
        <w:rPr>
          <w:color w:val="FF0000"/>
          <w:lang w:val="en-GB"/>
        </w:rPr>
        <w:t xml:space="preserve">As the old participating business is in run off, the expense allocation should be decreasing over time </w:t>
      </w:r>
      <w:r w:rsidRPr="00D22CCD">
        <w:rPr>
          <w:color w:val="000000" w:themeColor="text1"/>
          <w:lang w:val="en-GB"/>
        </w:rPr>
        <w:t>– if this is not the case then the allocation should be investigated further to understand why this is not the case.</w:t>
      </w:r>
    </w:p>
    <w:p w14:paraId="389D1F6D" w14:textId="537D40CE" w:rsidR="00D22CCD" w:rsidRPr="00D22CCD" w:rsidRDefault="00D22CCD" w:rsidP="00D22CCD">
      <w:pPr>
        <w:pStyle w:val="ListParagraph"/>
        <w:numPr>
          <w:ilvl w:val="0"/>
          <w:numId w:val="26"/>
        </w:numPr>
        <w:spacing w:after="60"/>
        <w:rPr>
          <w:color w:val="000000" w:themeColor="text1"/>
          <w:lang w:val="en-GB"/>
        </w:rPr>
      </w:pPr>
      <w:r w:rsidRPr="00D22CCD">
        <w:rPr>
          <w:color w:val="000000" w:themeColor="text1"/>
          <w:lang w:val="en-GB"/>
        </w:rPr>
        <w:t>There might still be a possibility that the expense reduction is not fast enough to be reasonable for a participating book.</w:t>
      </w:r>
    </w:p>
    <w:p w14:paraId="7ECB6C84" w14:textId="072BF60E" w:rsidR="00D22CCD" w:rsidRPr="00D22CCD" w:rsidRDefault="00D22CCD" w:rsidP="00D22CCD">
      <w:pPr>
        <w:pStyle w:val="ListParagraph"/>
        <w:numPr>
          <w:ilvl w:val="1"/>
          <w:numId w:val="26"/>
        </w:numPr>
        <w:spacing w:after="60"/>
        <w:rPr>
          <w:color w:val="00B050"/>
          <w:lang w:val="en-GB"/>
        </w:rPr>
      </w:pPr>
      <w:r w:rsidRPr="00D22CCD">
        <w:rPr>
          <w:color w:val="00B050"/>
          <w:lang w:val="en-GB"/>
        </w:rPr>
        <w:t>This may be due to the difficulty in reducing fixed expenses relating to the participating products (i.e. legacy system costs).</w:t>
      </w:r>
    </w:p>
    <w:p w14:paraId="5D0EEE93" w14:textId="3C8B3B0C" w:rsidR="00D22CCD" w:rsidRPr="00D22CCD" w:rsidRDefault="00D22CCD" w:rsidP="00D22CCD">
      <w:pPr>
        <w:pStyle w:val="ListParagraph"/>
        <w:numPr>
          <w:ilvl w:val="1"/>
          <w:numId w:val="26"/>
        </w:numPr>
        <w:spacing w:after="60"/>
        <w:rPr>
          <w:color w:val="000000" w:themeColor="text1"/>
          <w:lang w:val="en-GB"/>
        </w:rPr>
      </w:pPr>
      <w:r w:rsidRPr="00D22CCD">
        <w:rPr>
          <w:color w:val="000000" w:themeColor="text1"/>
          <w:lang w:val="en-GB"/>
        </w:rPr>
        <w:t>Or this may happen as a result of apportionment methodology deficiency or difficulty in identifying the true expense cost for the participating book.</w:t>
      </w:r>
    </w:p>
    <w:p w14:paraId="1600CD09" w14:textId="77777777" w:rsidR="00A22150" w:rsidRPr="00D80AC1" w:rsidRDefault="00D22CCD" w:rsidP="00A22150">
      <w:pPr>
        <w:pStyle w:val="ListParagraph"/>
        <w:numPr>
          <w:ilvl w:val="0"/>
          <w:numId w:val="26"/>
        </w:numPr>
        <w:rPr>
          <w:color w:val="FF0000"/>
          <w:lang w:val="en-GB"/>
        </w:rPr>
      </w:pPr>
      <w:r w:rsidRPr="00D80AC1">
        <w:rPr>
          <w:color w:val="FF0000"/>
          <w:lang w:val="en-GB"/>
        </w:rPr>
        <w:t>The Appointed Actuary can exercise their judgement and bypass the allocation and propose a capping to the total expense allocated to Participating business with appropriate justification (e.g. when the policy holders have been unfairly or adversely impacted by expense allocation). Such a capping may be in the form of</w:t>
      </w:r>
      <w:r w:rsidR="00A22150" w:rsidRPr="00D80AC1">
        <w:rPr>
          <w:color w:val="FF0000"/>
          <w:lang w:val="en-GB"/>
        </w:rPr>
        <w:t xml:space="preserve"> setting an expense per unit assumption that is indexed each year, with the expense overrun allocated to the shareholder.</w:t>
      </w:r>
    </w:p>
    <w:p w14:paraId="7FBE24AF" w14:textId="77777777" w:rsidR="0012330B" w:rsidRDefault="0012330B" w:rsidP="00AA5EE6">
      <w:pPr>
        <w:pStyle w:val="ListParagraph"/>
        <w:spacing w:after="60"/>
        <w:ind w:left="0"/>
        <w:rPr>
          <w:color w:val="000000" w:themeColor="text1"/>
          <w:lang w:val="en-GB"/>
        </w:rPr>
      </w:pPr>
    </w:p>
    <w:p w14:paraId="17E85FBD" w14:textId="77777777" w:rsidR="00F50139" w:rsidRDefault="00F50139" w:rsidP="00AA5EE6">
      <w:pPr>
        <w:pStyle w:val="ListParagraph"/>
        <w:spacing w:after="60"/>
        <w:ind w:left="0"/>
        <w:rPr>
          <w:color w:val="000000" w:themeColor="text1"/>
          <w:lang w:val="en-GB"/>
        </w:rPr>
      </w:pPr>
    </w:p>
    <w:p w14:paraId="63ACD67B" w14:textId="411D6847" w:rsidR="006E2547" w:rsidRPr="00AD2734" w:rsidRDefault="00625A16" w:rsidP="00A6287F">
      <w:pPr>
        <w:pStyle w:val="ListParagraph"/>
        <w:spacing w:after="60"/>
        <w:ind w:left="0"/>
        <w:rPr>
          <w:b/>
          <w:color w:val="000000" w:themeColor="text1"/>
          <w:lang w:val="en-GB"/>
        </w:rPr>
      </w:pPr>
      <w:r w:rsidRPr="00AD2734">
        <w:rPr>
          <w:b/>
          <w:color w:val="000000" w:themeColor="text1"/>
          <w:lang w:val="en-GB"/>
        </w:rPr>
        <w:t xml:space="preserve">1. </w:t>
      </w:r>
      <w:r w:rsidRPr="00AD2734">
        <w:rPr>
          <w:b/>
          <w:color w:val="000000" w:themeColor="text1"/>
          <w:highlight w:val="green"/>
          <w:lang w:val="en-GB"/>
        </w:rPr>
        <w:t>[Group</w:t>
      </w:r>
      <w:r w:rsidR="00615F35">
        <w:rPr>
          <w:b/>
          <w:color w:val="000000" w:themeColor="text1"/>
          <w:highlight w:val="green"/>
          <w:lang w:val="en-GB"/>
        </w:rPr>
        <w:t xml:space="preserve"> Death &amp; GSC</w:t>
      </w:r>
      <w:r w:rsidRPr="00AD2734">
        <w:rPr>
          <w:b/>
          <w:color w:val="000000" w:themeColor="text1"/>
          <w:highlight w:val="green"/>
          <w:lang w:val="en-GB"/>
        </w:rPr>
        <w:t>]</w:t>
      </w:r>
    </w:p>
    <w:p w14:paraId="78AD2025" w14:textId="129B7011" w:rsidR="006E2547" w:rsidRDefault="000711CB" w:rsidP="00A6287F">
      <w:pPr>
        <w:pStyle w:val="ListParagraph"/>
        <w:spacing w:after="60"/>
        <w:ind w:left="0"/>
        <w:rPr>
          <w:color w:val="000000" w:themeColor="text1"/>
          <w:lang w:val="en-GB"/>
        </w:rPr>
      </w:pPr>
      <w:r>
        <w:rPr>
          <w:color w:val="000000" w:themeColor="text1"/>
          <w:lang w:val="en-GB"/>
        </w:rPr>
        <w:t>1a. Why use accumulation method compared to projection method</w:t>
      </w:r>
    </w:p>
    <w:p w14:paraId="7026F857" w14:textId="3B0ED4F7" w:rsidR="000711CB" w:rsidRPr="000711CB" w:rsidRDefault="006E2547" w:rsidP="00A6287F">
      <w:pPr>
        <w:pStyle w:val="ListParagraph"/>
        <w:spacing w:after="60"/>
        <w:ind w:left="0"/>
        <w:rPr>
          <w:color w:val="FF0000"/>
          <w:lang w:val="en-GB"/>
        </w:rPr>
      </w:pPr>
      <w:r>
        <w:rPr>
          <w:color w:val="000000" w:themeColor="text1"/>
          <w:lang w:val="en-GB"/>
        </w:rPr>
        <w:t>1b</w:t>
      </w:r>
      <w:r w:rsidR="000711CB">
        <w:rPr>
          <w:color w:val="000000" w:themeColor="text1"/>
          <w:lang w:val="en-GB"/>
        </w:rPr>
        <w:t xml:space="preserve">. </w:t>
      </w:r>
      <w:r w:rsidR="000711CB" w:rsidRPr="000711CB">
        <w:rPr>
          <w:color w:val="FF0000"/>
          <w:lang w:val="en-GB"/>
        </w:rPr>
        <w:t>Calculate PL for Group Death and GSC</w:t>
      </w:r>
    </w:p>
    <w:p w14:paraId="24B72820" w14:textId="27F0E947" w:rsidR="006E2547" w:rsidRPr="000711CB" w:rsidRDefault="000711CB" w:rsidP="00A6287F">
      <w:pPr>
        <w:pStyle w:val="ListParagraph"/>
        <w:spacing w:after="60"/>
        <w:ind w:left="0"/>
        <w:rPr>
          <w:i/>
          <w:color w:val="000000" w:themeColor="text1"/>
          <w:lang w:val="en-GB"/>
        </w:rPr>
      </w:pPr>
      <w:r w:rsidRPr="000711CB">
        <w:rPr>
          <w:i/>
          <w:color w:val="000000" w:themeColor="text1"/>
          <w:lang w:val="en-GB"/>
        </w:rPr>
        <w:t>*</w:t>
      </w:r>
      <w:r w:rsidR="006E2547" w:rsidRPr="000711CB">
        <w:rPr>
          <w:i/>
          <w:color w:val="000000" w:themeColor="text1"/>
          <w:lang w:val="en-GB"/>
        </w:rPr>
        <w:t>DAC is not recoverable if in loss recognition</w:t>
      </w:r>
      <w:r w:rsidRPr="000711CB">
        <w:rPr>
          <w:i/>
          <w:color w:val="000000" w:themeColor="text1"/>
          <w:lang w:val="en-GB"/>
        </w:rPr>
        <w:t xml:space="preserve"> or to be reduced to the amount that can be recovered.</w:t>
      </w:r>
    </w:p>
    <w:p w14:paraId="603212F8" w14:textId="10BE40D5" w:rsidR="000711CB" w:rsidRDefault="000711CB" w:rsidP="00A6287F">
      <w:pPr>
        <w:pStyle w:val="ListParagraph"/>
        <w:spacing w:after="60"/>
        <w:ind w:left="0"/>
        <w:rPr>
          <w:color w:val="000000" w:themeColor="text1"/>
          <w:lang w:val="en-GB"/>
        </w:rPr>
      </w:pPr>
      <w:r>
        <w:rPr>
          <w:color w:val="000000" w:themeColor="text1"/>
          <w:lang w:val="en-GB"/>
        </w:rPr>
        <w:t xml:space="preserve">1c. </w:t>
      </w:r>
      <w:r w:rsidR="00CD4EEF">
        <w:rPr>
          <w:color w:val="000000" w:themeColor="text1"/>
          <w:lang w:val="en-GB"/>
        </w:rPr>
        <w:t>Calculate profit =</w:t>
      </w:r>
      <w:r w:rsidR="00CD4EEF" w:rsidRPr="00CD4EEF">
        <w:t xml:space="preserve"> </w:t>
      </w:r>
      <w:r w:rsidR="00CD4EEF" w:rsidRPr="00CD4EEF">
        <w:rPr>
          <w:color w:val="000000" w:themeColor="text1"/>
          <w:lang w:val="en-GB"/>
        </w:rPr>
        <w:t xml:space="preserve">premiums – claims </w:t>
      </w:r>
      <w:r w:rsidR="00CD4EEF" w:rsidRPr="00CD4EEF">
        <w:rPr>
          <w:b/>
          <w:color w:val="000000" w:themeColor="text1"/>
          <w:lang w:val="en-GB"/>
        </w:rPr>
        <w:t>paid</w:t>
      </w:r>
      <w:r w:rsidR="00CD4EEF" w:rsidRPr="00CD4EEF">
        <w:rPr>
          <w:color w:val="000000" w:themeColor="text1"/>
          <w:lang w:val="en-GB"/>
        </w:rPr>
        <w:t xml:space="preserve"> – expenses – increase in PL</w:t>
      </w:r>
    </w:p>
    <w:p w14:paraId="27D4F5DD" w14:textId="6DEAE989" w:rsidR="00AD2734" w:rsidRDefault="00CD4EEF" w:rsidP="00A6287F">
      <w:pPr>
        <w:pStyle w:val="ListParagraph"/>
        <w:spacing w:after="60"/>
        <w:ind w:left="0"/>
        <w:rPr>
          <w:color w:val="000000" w:themeColor="text1"/>
          <w:lang w:val="en-GB"/>
        </w:rPr>
      </w:pPr>
      <w:r>
        <w:rPr>
          <w:color w:val="000000" w:themeColor="text1"/>
          <w:lang w:val="en-GB"/>
        </w:rPr>
        <w:t xml:space="preserve">1d. </w:t>
      </w:r>
      <w:r w:rsidR="00E42500">
        <w:rPr>
          <w:color w:val="000000" w:themeColor="text1"/>
          <w:lang w:val="en-GB"/>
        </w:rPr>
        <w:t xml:space="preserve">How to </w:t>
      </w:r>
      <w:r w:rsidR="00D841FC">
        <w:rPr>
          <w:color w:val="000000" w:themeColor="text1"/>
          <w:lang w:val="en-GB"/>
        </w:rPr>
        <w:t>Improve Profitability</w:t>
      </w:r>
    </w:p>
    <w:p w14:paraId="36908736" w14:textId="4C3A6F13" w:rsidR="005C2B34" w:rsidRPr="003774AA" w:rsidRDefault="00332912" w:rsidP="00332912">
      <w:pPr>
        <w:pStyle w:val="ListParagraph"/>
        <w:tabs>
          <w:tab w:val="left" w:pos="2477"/>
        </w:tabs>
        <w:spacing w:after="60"/>
        <w:ind w:left="0"/>
        <w:rPr>
          <w:b/>
          <w:color w:val="000000" w:themeColor="text1"/>
          <w:lang w:val="en-GB"/>
        </w:rPr>
      </w:pPr>
      <w:r w:rsidRPr="003774AA">
        <w:rPr>
          <w:b/>
          <w:color w:val="000000" w:themeColor="text1"/>
          <w:lang w:val="en-GB"/>
        </w:rPr>
        <w:t>2.</w:t>
      </w:r>
      <w:r w:rsidR="004334CA">
        <w:rPr>
          <w:b/>
          <w:color w:val="000000" w:themeColor="text1"/>
          <w:lang w:val="en-GB"/>
        </w:rPr>
        <w:t xml:space="preserve"> Capital / Insurance Risk Charge</w:t>
      </w:r>
    </w:p>
    <w:p w14:paraId="07FE0301" w14:textId="08343D02" w:rsidR="00332912" w:rsidRDefault="00332912" w:rsidP="00332912">
      <w:pPr>
        <w:pStyle w:val="ListParagraph"/>
        <w:tabs>
          <w:tab w:val="left" w:pos="2477"/>
        </w:tabs>
        <w:spacing w:after="60"/>
        <w:ind w:left="0"/>
        <w:rPr>
          <w:color w:val="000000" w:themeColor="text1"/>
          <w:lang w:val="en-GB"/>
        </w:rPr>
      </w:pPr>
      <w:r>
        <w:rPr>
          <w:color w:val="000000" w:themeColor="text1"/>
          <w:lang w:val="en-GB"/>
        </w:rPr>
        <w:t xml:space="preserve">2a. Why Future/Random stress </w:t>
      </w:r>
      <w:r w:rsidR="00FF2C68">
        <w:rPr>
          <w:color w:val="000000" w:themeColor="text1"/>
          <w:lang w:val="en-GB"/>
        </w:rPr>
        <w:t xml:space="preserve">for a new entrant </w:t>
      </w:r>
      <w:r>
        <w:rPr>
          <w:color w:val="000000" w:themeColor="text1"/>
          <w:lang w:val="en-GB"/>
        </w:rPr>
        <w:t>are higher than others respectively</w:t>
      </w:r>
    </w:p>
    <w:p w14:paraId="0097FE70" w14:textId="3121B192" w:rsidR="00332912" w:rsidRDefault="00332912" w:rsidP="00332912">
      <w:pPr>
        <w:pStyle w:val="ListParagraph"/>
        <w:tabs>
          <w:tab w:val="left" w:pos="2477"/>
        </w:tabs>
        <w:spacing w:after="60"/>
        <w:ind w:left="0"/>
        <w:rPr>
          <w:color w:val="000000" w:themeColor="text1"/>
          <w:lang w:val="en-GB"/>
        </w:rPr>
      </w:pPr>
      <w:r>
        <w:rPr>
          <w:color w:val="000000" w:themeColor="text1"/>
          <w:lang w:val="en-GB"/>
        </w:rPr>
        <w:t xml:space="preserve">2b. </w:t>
      </w:r>
      <w:r w:rsidR="00607C79">
        <w:rPr>
          <w:color w:val="000000" w:themeColor="text1"/>
          <w:lang w:val="en-GB"/>
        </w:rPr>
        <w:t>No aggregation benefit across different SF.</w:t>
      </w:r>
    </w:p>
    <w:p w14:paraId="53F49A6E" w14:textId="2CB7D8B7" w:rsidR="001E2335" w:rsidRDefault="001E2335" w:rsidP="00332912">
      <w:pPr>
        <w:pStyle w:val="ListParagraph"/>
        <w:tabs>
          <w:tab w:val="left" w:pos="2477"/>
        </w:tabs>
        <w:spacing w:after="60"/>
        <w:ind w:left="0"/>
        <w:rPr>
          <w:color w:val="000000" w:themeColor="text1"/>
          <w:lang w:val="en-GB"/>
        </w:rPr>
      </w:pPr>
      <w:r>
        <w:rPr>
          <w:color w:val="000000" w:themeColor="text1"/>
          <w:lang w:val="en-GB"/>
        </w:rPr>
        <w:t xml:space="preserve">2c. </w:t>
      </w:r>
      <w:r w:rsidR="007E784E" w:rsidRPr="007E784E">
        <w:rPr>
          <w:color w:val="FF0000"/>
          <w:lang w:val="en-GB"/>
        </w:rPr>
        <w:t>Detailed calculation of IRC (compare with textbook spreadsheet)</w:t>
      </w:r>
      <w:r w:rsidR="007E784E">
        <w:rPr>
          <w:color w:val="FF0000"/>
          <w:lang w:val="en-GB"/>
        </w:rPr>
        <w:t xml:space="preserve"> ==&gt; </w:t>
      </w:r>
      <w:r w:rsidR="007E784E" w:rsidRPr="007E784E">
        <w:rPr>
          <w:b/>
          <w:color w:val="FF0000"/>
          <w:lang w:val="en-GB"/>
        </w:rPr>
        <w:t>SUMMARISED</w:t>
      </w:r>
    </w:p>
    <w:p w14:paraId="2FE8D948" w14:textId="7ABEBE40" w:rsidR="00AD2734" w:rsidRDefault="004F5251" w:rsidP="00A6287F">
      <w:pPr>
        <w:pStyle w:val="ListParagraph"/>
        <w:spacing w:after="60"/>
        <w:ind w:left="0"/>
        <w:rPr>
          <w:color w:val="000000" w:themeColor="text1"/>
          <w:lang w:val="en-GB"/>
        </w:rPr>
      </w:pPr>
      <w:r>
        <w:rPr>
          <w:color w:val="000000" w:themeColor="text1"/>
          <w:lang w:val="en-GB"/>
        </w:rPr>
        <w:t>2d. Reinsurer concentration risk / mitigation</w:t>
      </w:r>
    </w:p>
    <w:p w14:paraId="72C97422" w14:textId="055130A7" w:rsidR="003774AA" w:rsidRPr="003774AA" w:rsidRDefault="003774AA" w:rsidP="00A6287F">
      <w:pPr>
        <w:pStyle w:val="ListParagraph"/>
        <w:spacing w:after="60"/>
        <w:ind w:left="0"/>
        <w:rPr>
          <w:b/>
          <w:color w:val="000000" w:themeColor="text1"/>
          <w:lang w:val="en-GB"/>
        </w:rPr>
      </w:pPr>
      <w:r w:rsidRPr="003774AA">
        <w:rPr>
          <w:b/>
          <w:color w:val="000000" w:themeColor="text1"/>
          <w:lang w:val="en-GB"/>
        </w:rPr>
        <w:t>3.</w:t>
      </w:r>
      <w:r w:rsidR="007F0D43">
        <w:rPr>
          <w:b/>
          <w:color w:val="000000" w:themeColor="text1"/>
          <w:lang w:val="en-GB"/>
        </w:rPr>
        <w:t xml:space="preserve"> Experience Analysis</w:t>
      </w:r>
    </w:p>
    <w:p w14:paraId="075FA1F9" w14:textId="2FEFF205" w:rsidR="003774AA" w:rsidRDefault="003774AA" w:rsidP="00A6287F">
      <w:pPr>
        <w:pStyle w:val="ListParagraph"/>
        <w:spacing w:after="60"/>
        <w:ind w:left="0"/>
        <w:rPr>
          <w:color w:val="000000" w:themeColor="text1"/>
          <w:lang w:val="en-GB"/>
        </w:rPr>
      </w:pPr>
      <w:r>
        <w:rPr>
          <w:color w:val="000000" w:themeColor="text1"/>
          <w:lang w:val="en-GB"/>
        </w:rPr>
        <w:t xml:space="preserve">3a. </w:t>
      </w:r>
      <w:r w:rsidR="004E0949">
        <w:rPr>
          <w:color w:val="000000" w:themeColor="text1"/>
          <w:lang w:val="en-GB"/>
        </w:rPr>
        <w:t>IR up, impact on VSA / BEL / Bonus Rate</w:t>
      </w:r>
    </w:p>
    <w:p w14:paraId="123254E8" w14:textId="1D8758AA" w:rsidR="004E0949" w:rsidRDefault="004E0949" w:rsidP="00A6287F">
      <w:pPr>
        <w:pStyle w:val="ListParagraph"/>
        <w:spacing w:after="60"/>
        <w:ind w:left="0"/>
        <w:rPr>
          <w:color w:val="000000" w:themeColor="text1"/>
          <w:lang w:val="en-GB"/>
        </w:rPr>
      </w:pPr>
      <w:r>
        <w:rPr>
          <w:color w:val="000000" w:themeColor="text1"/>
          <w:lang w:val="en-GB"/>
        </w:rPr>
        <w:t xml:space="preserve">3b. </w:t>
      </w:r>
      <w:r w:rsidR="003F6E04">
        <w:rPr>
          <w:color w:val="000000" w:themeColor="text1"/>
          <w:lang w:val="en-GB"/>
        </w:rPr>
        <w:t xml:space="preserve">Surrender assumption for </w:t>
      </w:r>
      <w:r w:rsidR="003F6E04" w:rsidRPr="003F6E04">
        <w:rPr>
          <w:color w:val="000000" w:themeColor="text1"/>
          <w:highlight w:val="green"/>
          <w:lang w:val="en-GB"/>
        </w:rPr>
        <w:t>[Par Endowment]</w:t>
      </w:r>
    </w:p>
    <w:p w14:paraId="2032EABE" w14:textId="3919227D" w:rsidR="00555283" w:rsidRDefault="00A24513" w:rsidP="00A6287F">
      <w:pPr>
        <w:pStyle w:val="ListParagraph"/>
        <w:spacing w:after="60"/>
        <w:ind w:left="0"/>
        <w:rPr>
          <w:color w:val="000000" w:themeColor="text1"/>
          <w:lang w:val="en-GB"/>
        </w:rPr>
      </w:pPr>
      <w:r>
        <w:rPr>
          <w:color w:val="000000" w:themeColor="text1"/>
          <w:lang w:val="en-GB"/>
        </w:rPr>
        <w:t xml:space="preserve">3c. </w:t>
      </w:r>
      <w:r w:rsidR="00555283" w:rsidRPr="00555283">
        <w:rPr>
          <w:color w:val="000000" w:themeColor="text1"/>
          <w:lang w:val="en-GB"/>
        </w:rPr>
        <w:t>Claim decrement</w:t>
      </w:r>
      <w:r w:rsidR="00555283">
        <w:rPr>
          <w:color w:val="000000" w:themeColor="text1"/>
          <w:lang w:val="en-GB"/>
        </w:rPr>
        <w:t xml:space="preserve"> / </w:t>
      </w:r>
      <w:r w:rsidR="00555283" w:rsidRPr="00555283">
        <w:rPr>
          <w:color w:val="000000" w:themeColor="text1"/>
          <w:lang w:val="en-GB"/>
        </w:rPr>
        <w:t>Non-claim decrement</w:t>
      </w:r>
      <w:r w:rsidR="00555283">
        <w:rPr>
          <w:color w:val="000000" w:themeColor="text1"/>
          <w:lang w:val="en-GB"/>
        </w:rPr>
        <w:t xml:space="preserve"> / </w:t>
      </w:r>
      <w:r w:rsidR="00555283" w:rsidRPr="00555283">
        <w:rPr>
          <w:color w:val="000000" w:themeColor="text1"/>
          <w:lang w:val="en-GB"/>
        </w:rPr>
        <w:t>Expense</w:t>
      </w:r>
      <w:r w:rsidR="00555283">
        <w:rPr>
          <w:color w:val="000000" w:themeColor="text1"/>
          <w:lang w:val="en-GB"/>
        </w:rPr>
        <w:t xml:space="preserve"> / Investment experience for [Par] &amp; [YRT]</w:t>
      </w:r>
    </w:p>
    <w:p w14:paraId="2909A46B" w14:textId="5C644E6B" w:rsidR="00DB10F1" w:rsidRPr="00393411" w:rsidRDefault="00DB10F1" w:rsidP="00A6287F">
      <w:pPr>
        <w:pStyle w:val="ListParagraph"/>
        <w:spacing w:after="60"/>
        <w:ind w:left="0"/>
        <w:rPr>
          <w:b/>
          <w:color w:val="000000" w:themeColor="text1"/>
          <w:lang w:val="en-GB"/>
        </w:rPr>
      </w:pPr>
      <w:r w:rsidRPr="00393411">
        <w:rPr>
          <w:b/>
          <w:color w:val="000000" w:themeColor="text1"/>
          <w:lang w:val="en-GB"/>
        </w:rPr>
        <w:t xml:space="preserve">Investment experience for [Par]: </w:t>
      </w:r>
    </w:p>
    <w:p w14:paraId="685BEDA1" w14:textId="2D74A9E0" w:rsidR="001855C5" w:rsidRPr="001855C5" w:rsidRDefault="00DB10F1" w:rsidP="00DB10F1">
      <w:pPr>
        <w:pStyle w:val="ListParagraph"/>
        <w:spacing w:after="60"/>
        <w:ind w:left="284"/>
        <w:rPr>
          <w:i/>
          <w:color w:val="000000" w:themeColor="text1"/>
          <w:lang w:val="en-GB"/>
        </w:rPr>
      </w:pPr>
      <w:r w:rsidRPr="001855C5">
        <w:rPr>
          <w:i/>
          <w:color w:val="000000" w:themeColor="text1"/>
          <w:lang w:val="en-GB"/>
        </w:rPr>
        <w:t>No investment experience profit or loss</w:t>
      </w:r>
      <w:r w:rsidR="001855C5">
        <w:rPr>
          <w:i/>
          <w:color w:val="000000" w:themeColor="text1"/>
          <w:lang w:val="en-GB"/>
        </w:rPr>
        <w:t xml:space="preserve"> </w:t>
      </w:r>
      <w:r w:rsidR="001855C5" w:rsidRPr="001855C5">
        <w:rPr>
          <w:i/>
          <w:color w:val="000000" w:themeColor="text1"/>
          <w:lang w:val="en-GB"/>
        </w:rPr>
        <w:t xml:space="preserve">as the variances will be all </w:t>
      </w:r>
      <w:r w:rsidRPr="001855C5">
        <w:rPr>
          <w:i/>
          <w:color w:val="000000" w:themeColor="text1"/>
          <w:lang w:val="en-GB"/>
        </w:rPr>
        <w:t xml:space="preserve">absorbed into VSA. </w:t>
      </w:r>
    </w:p>
    <w:p w14:paraId="6C6125C1" w14:textId="29B8198D" w:rsidR="003F6E04" w:rsidRDefault="00DB10F1" w:rsidP="00DB10F1">
      <w:pPr>
        <w:pStyle w:val="ListParagraph"/>
        <w:spacing w:after="60"/>
        <w:ind w:left="284"/>
        <w:rPr>
          <w:i/>
          <w:color w:val="000000" w:themeColor="text1"/>
          <w:lang w:val="en-GB"/>
        </w:rPr>
      </w:pPr>
      <w:r w:rsidRPr="001855C5">
        <w:rPr>
          <w:i/>
          <w:color w:val="000000" w:themeColor="text1"/>
          <w:lang w:val="en-GB"/>
        </w:rPr>
        <w:t>Only affects the current year best estimate cost of bonus and the value of future best estimate bonuses</w:t>
      </w:r>
      <w:r w:rsidR="001855C5" w:rsidRPr="001855C5">
        <w:rPr>
          <w:i/>
          <w:color w:val="000000" w:themeColor="text1"/>
          <w:lang w:val="en-GB"/>
        </w:rPr>
        <w:t>,</w:t>
      </w:r>
      <w:r w:rsidR="001855C5" w:rsidRPr="001855C5">
        <w:rPr>
          <w:i/>
        </w:rPr>
        <w:t xml:space="preserve"> </w:t>
      </w:r>
      <w:r w:rsidR="001855C5" w:rsidRPr="001855C5">
        <w:rPr>
          <w:i/>
          <w:color w:val="000000" w:themeColor="text1"/>
          <w:lang w:val="en-GB"/>
        </w:rPr>
        <w:t>which are both included in the policy liability.</w:t>
      </w:r>
    </w:p>
    <w:p w14:paraId="59774A0C" w14:textId="25A0184F" w:rsidR="00393411" w:rsidRPr="00393411" w:rsidRDefault="00393411" w:rsidP="00393411">
      <w:pPr>
        <w:pStyle w:val="ListParagraph"/>
        <w:spacing w:after="60"/>
        <w:ind w:left="0"/>
        <w:rPr>
          <w:b/>
          <w:color w:val="000000" w:themeColor="text1"/>
          <w:lang w:val="en-GB"/>
        </w:rPr>
      </w:pPr>
      <w:r w:rsidRPr="00393411">
        <w:rPr>
          <w:b/>
          <w:color w:val="000000" w:themeColor="text1"/>
          <w:lang w:val="en-GB"/>
        </w:rPr>
        <w:t>Investment experience for [</w:t>
      </w:r>
      <w:r w:rsidRPr="00393411">
        <w:rPr>
          <w:b/>
          <w:color w:val="000000" w:themeColor="text1"/>
          <w:lang w:val="en-GB"/>
        </w:rPr>
        <w:t>YRT</w:t>
      </w:r>
      <w:r w:rsidRPr="00393411">
        <w:rPr>
          <w:b/>
          <w:color w:val="000000" w:themeColor="text1"/>
          <w:lang w:val="en-GB"/>
        </w:rPr>
        <w:t xml:space="preserve">]: </w:t>
      </w:r>
    </w:p>
    <w:p w14:paraId="409CBAB6" w14:textId="3CE40B79" w:rsidR="00393411" w:rsidRPr="00393411" w:rsidRDefault="00393411" w:rsidP="00393411">
      <w:pPr>
        <w:pStyle w:val="ListParagraph"/>
        <w:spacing w:after="60"/>
        <w:ind w:left="284"/>
        <w:rPr>
          <w:i/>
          <w:color w:val="000000" w:themeColor="text1"/>
          <w:lang w:val="en-GB"/>
        </w:rPr>
      </w:pPr>
      <w:r>
        <w:rPr>
          <w:i/>
          <w:color w:val="000000" w:themeColor="text1"/>
          <w:lang w:val="en-GB"/>
        </w:rPr>
        <w:t>A</w:t>
      </w:r>
      <w:r w:rsidRPr="00393411">
        <w:rPr>
          <w:i/>
          <w:color w:val="000000" w:themeColor="text1"/>
          <w:lang w:val="en-GB"/>
        </w:rPr>
        <w:t xml:space="preserve">n investment experience will be reported in the Analysis of Profit for the YRT risk </w:t>
      </w:r>
      <w:r>
        <w:rPr>
          <w:i/>
          <w:color w:val="000000" w:themeColor="text1"/>
          <w:lang w:val="en-GB"/>
        </w:rPr>
        <w:t>products:</w:t>
      </w:r>
    </w:p>
    <w:p w14:paraId="20E4B687" w14:textId="1B41B774" w:rsidR="00393411" w:rsidRPr="00393411" w:rsidRDefault="00393411" w:rsidP="00393411">
      <w:pPr>
        <w:pStyle w:val="ListParagraph"/>
        <w:spacing w:after="60"/>
        <w:ind w:left="284"/>
        <w:rPr>
          <w:i/>
          <w:color w:val="000000" w:themeColor="text1"/>
          <w:lang w:val="en-GB"/>
        </w:rPr>
      </w:pPr>
      <w:r>
        <w:rPr>
          <w:i/>
          <w:color w:val="000000" w:themeColor="text1"/>
          <w:lang w:val="en-GB"/>
        </w:rPr>
        <w:t xml:space="preserve">o </w:t>
      </w:r>
      <w:r w:rsidRPr="00393411">
        <w:rPr>
          <w:i/>
          <w:color w:val="000000" w:themeColor="text1"/>
          <w:lang w:val="en-GB"/>
        </w:rPr>
        <w:t>Any changes to the policy liability due to changes in discount rates over the valuation period.</w:t>
      </w:r>
    </w:p>
    <w:p w14:paraId="013B1703" w14:textId="52F6FDA9" w:rsidR="00393411" w:rsidRPr="00393411" w:rsidRDefault="00393411" w:rsidP="00393411">
      <w:pPr>
        <w:pStyle w:val="ListParagraph"/>
        <w:spacing w:after="60"/>
        <w:ind w:left="284"/>
        <w:rPr>
          <w:i/>
          <w:color w:val="000000" w:themeColor="text1"/>
          <w:lang w:val="en-GB"/>
        </w:rPr>
      </w:pPr>
      <w:r>
        <w:rPr>
          <w:i/>
          <w:color w:val="000000" w:themeColor="text1"/>
          <w:lang w:val="en-GB"/>
        </w:rPr>
        <w:t xml:space="preserve">o </w:t>
      </w:r>
      <w:proofErr w:type="gramStart"/>
      <w:r w:rsidRPr="00393411">
        <w:rPr>
          <w:i/>
          <w:color w:val="000000" w:themeColor="text1"/>
          <w:lang w:val="en-GB"/>
        </w:rPr>
        <w:t>The</w:t>
      </w:r>
      <w:proofErr w:type="gramEnd"/>
      <w:r w:rsidRPr="00393411">
        <w:rPr>
          <w:i/>
          <w:color w:val="000000" w:themeColor="text1"/>
          <w:lang w:val="en-GB"/>
        </w:rPr>
        <w:t xml:space="preserve"> difference between the discount rate and the actual rate of investment return on the policy liability and </w:t>
      </w:r>
      <w:proofErr w:type="spellStart"/>
      <w:r w:rsidRPr="00393411">
        <w:rPr>
          <w:i/>
          <w:color w:val="000000" w:themeColor="text1"/>
          <w:lang w:val="en-GB"/>
        </w:rPr>
        <w:t>cashflows</w:t>
      </w:r>
      <w:proofErr w:type="spellEnd"/>
      <w:r w:rsidRPr="00393411">
        <w:rPr>
          <w:i/>
          <w:color w:val="000000" w:themeColor="text1"/>
          <w:lang w:val="en-GB"/>
        </w:rPr>
        <w:t xml:space="preserve"> over the reporting period.</w:t>
      </w:r>
    </w:p>
    <w:p w14:paraId="5CC4BAE5" w14:textId="7C3909B5" w:rsidR="00DB10F1" w:rsidRDefault="00DB10F1" w:rsidP="00DB10F1">
      <w:pPr>
        <w:pStyle w:val="ListParagraph"/>
        <w:spacing w:after="60"/>
        <w:ind w:left="0"/>
        <w:rPr>
          <w:color w:val="000000" w:themeColor="text1"/>
          <w:lang w:val="en-GB"/>
        </w:rPr>
      </w:pPr>
      <w:r>
        <w:rPr>
          <w:color w:val="000000" w:themeColor="text1"/>
          <w:lang w:val="en-GB"/>
        </w:rPr>
        <w:t xml:space="preserve">3d. </w:t>
      </w:r>
      <w:r w:rsidR="00942555" w:rsidRPr="00A00E00">
        <w:rPr>
          <w:b/>
          <w:color w:val="000000" w:themeColor="text1"/>
          <w:lang w:val="en-GB"/>
        </w:rPr>
        <w:t>AA</w:t>
      </w:r>
      <w:r w:rsidR="00942555">
        <w:rPr>
          <w:color w:val="000000" w:themeColor="text1"/>
          <w:lang w:val="en-GB"/>
        </w:rPr>
        <w:t xml:space="preserve"> to consider regarding the expense experience loss</w:t>
      </w:r>
    </w:p>
    <w:p w14:paraId="2891D06C" w14:textId="77777777" w:rsidR="00DB10F1" w:rsidRDefault="00DB10F1" w:rsidP="00DB10F1">
      <w:pPr>
        <w:pStyle w:val="ListParagraph"/>
        <w:spacing w:after="60"/>
        <w:ind w:left="0"/>
        <w:rPr>
          <w:color w:val="000000" w:themeColor="text1"/>
          <w:lang w:val="en-GB"/>
        </w:rPr>
      </w:pPr>
      <w:bookmarkStart w:id="0" w:name="_GoBack"/>
      <w:bookmarkEnd w:id="0"/>
    </w:p>
    <w:p w14:paraId="70D6AF6C" w14:textId="77777777" w:rsidR="00DB10F1" w:rsidRDefault="00DB10F1" w:rsidP="00DB10F1">
      <w:pPr>
        <w:pStyle w:val="ListParagraph"/>
        <w:spacing w:after="60"/>
        <w:ind w:left="0"/>
        <w:rPr>
          <w:color w:val="000000" w:themeColor="text1"/>
          <w:lang w:val="en-GB"/>
        </w:rPr>
      </w:pPr>
    </w:p>
    <w:p w14:paraId="7714B83E" w14:textId="77777777" w:rsidR="00DB10F1" w:rsidRPr="00A6287F" w:rsidRDefault="00DB10F1" w:rsidP="00DB10F1">
      <w:pPr>
        <w:pStyle w:val="ListParagraph"/>
        <w:spacing w:after="60"/>
        <w:ind w:left="0"/>
        <w:rPr>
          <w:color w:val="000000" w:themeColor="text1"/>
          <w:lang w:val="en-GB"/>
        </w:rPr>
      </w:pPr>
    </w:p>
    <w:sectPr w:rsidR="00DB10F1" w:rsidRPr="00A6287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D4D52" w14:textId="77777777" w:rsidR="00BB6D51" w:rsidRDefault="00BB6D51" w:rsidP="00565DE9">
      <w:pPr>
        <w:spacing w:after="0" w:line="240" w:lineRule="auto"/>
      </w:pPr>
      <w:r>
        <w:separator/>
      </w:r>
    </w:p>
  </w:endnote>
  <w:endnote w:type="continuationSeparator" w:id="0">
    <w:p w14:paraId="0F1CEC72" w14:textId="77777777" w:rsidR="00BB6D51" w:rsidRDefault="00BB6D51"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D8236" w14:textId="77777777" w:rsidR="00BB6D51" w:rsidRDefault="00BB6D51" w:rsidP="00565DE9">
      <w:pPr>
        <w:spacing w:after="0" w:line="240" w:lineRule="auto"/>
      </w:pPr>
      <w:r>
        <w:separator/>
      </w:r>
    </w:p>
  </w:footnote>
  <w:footnote w:type="continuationSeparator" w:id="0">
    <w:p w14:paraId="750377CF" w14:textId="77777777" w:rsidR="00BB6D51" w:rsidRDefault="00BB6D51" w:rsidP="00565DE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648E1"/>
    <w:multiLevelType w:val="hybridMultilevel"/>
    <w:tmpl w:val="2CEA9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1173DA"/>
    <w:multiLevelType w:val="hybridMultilevel"/>
    <w:tmpl w:val="96B66E7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B94242"/>
    <w:multiLevelType w:val="hybridMultilevel"/>
    <w:tmpl w:val="2CE26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1A342D"/>
    <w:multiLevelType w:val="hybridMultilevel"/>
    <w:tmpl w:val="CE82E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96112B"/>
    <w:multiLevelType w:val="hybridMultilevel"/>
    <w:tmpl w:val="12A0EC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FE6A78"/>
    <w:multiLevelType w:val="hybridMultilevel"/>
    <w:tmpl w:val="8B9A37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804939"/>
    <w:multiLevelType w:val="hybridMultilevel"/>
    <w:tmpl w:val="8FE2638C"/>
    <w:lvl w:ilvl="0" w:tplc="D20E0FC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3F4AA9"/>
    <w:multiLevelType w:val="hybridMultilevel"/>
    <w:tmpl w:val="6F8CA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0E4D2D"/>
    <w:multiLevelType w:val="hybridMultilevel"/>
    <w:tmpl w:val="6720A2CC"/>
    <w:lvl w:ilvl="0" w:tplc="97D6877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6C85E1F"/>
    <w:multiLevelType w:val="hybridMultilevel"/>
    <w:tmpl w:val="441C3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367D35"/>
    <w:multiLevelType w:val="hybridMultilevel"/>
    <w:tmpl w:val="D6E460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E72DB5"/>
    <w:multiLevelType w:val="hybridMultilevel"/>
    <w:tmpl w:val="507C0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5D7211"/>
    <w:multiLevelType w:val="hybridMultilevel"/>
    <w:tmpl w:val="9D3C7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5F0A1B"/>
    <w:multiLevelType w:val="hybridMultilevel"/>
    <w:tmpl w:val="A52E5B7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EFF63D4"/>
    <w:multiLevelType w:val="hybridMultilevel"/>
    <w:tmpl w:val="763A09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53681A"/>
    <w:multiLevelType w:val="hybridMultilevel"/>
    <w:tmpl w:val="1738342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40047FE"/>
    <w:multiLevelType w:val="hybridMultilevel"/>
    <w:tmpl w:val="2FBC8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B04F5B"/>
    <w:multiLevelType w:val="hybridMultilevel"/>
    <w:tmpl w:val="186C40C2"/>
    <w:lvl w:ilvl="0" w:tplc="D20E0FC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FB56D5E"/>
    <w:multiLevelType w:val="hybridMultilevel"/>
    <w:tmpl w:val="D9203E2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62B45BBE"/>
    <w:multiLevelType w:val="hybridMultilevel"/>
    <w:tmpl w:val="972C1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58E4726"/>
    <w:multiLevelType w:val="hybridMultilevel"/>
    <w:tmpl w:val="9892C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67E4609"/>
    <w:multiLevelType w:val="hybridMultilevel"/>
    <w:tmpl w:val="E1588BB6"/>
    <w:lvl w:ilvl="0" w:tplc="ED5C718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96B0B3B"/>
    <w:multiLevelType w:val="hybridMultilevel"/>
    <w:tmpl w:val="D3482462"/>
    <w:lvl w:ilvl="0" w:tplc="D20E0FC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23E12EB"/>
    <w:multiLevelType w:val="hybridMultilevel"/>
    <w:tmpl w:val="00786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6B95F1F"/>
    <w:multiLevelType w:val="hybridMultilevel"/>
    <w:tmpl w:val="D2385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812361"/>
    <w:multiLevelType w:val="hybridMultilevel"/>
    <w:tmpl w:val="D376D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D045E02"/>
    <w:multiLevelType w:val="hybridMultilevel"/>
    <w:tmpl w:val="6096B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D357B3"/>
    <w:multiLevelType w:val="hybridMultilevel"/>
    <w:tmpl w:val="810E98B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4"/>
  </w:num>
  <w:num w:numId="2">
    <w:abstractNumId w:val="19"/>
  </w:num>
  <w:num w:numId="3">
    <w:abstractNumId w:val="2"/>
  </w:num>
  <w:num w:numId="4">
    <w:abstractNumId w:val="11"/>
  </w:num>
  <w:num w:numId="5">
    <w:abstractNumId w:val="18"/>
  </w:num>
  <w:num w:numId="6">
    <w:abstractNumId w:val="9"/>
  </w:num>
  <w:num w:numId="7">
    <w:abstractNumId w:val="8"/>
  </w:num>
  <w:num w:numId="8">
    <w:abstractNumId w:val="3"/>
  </w:num>
  <w:num w:numId="9">
    <w:abstractNumId w:val="21"/>
  </w:num>
  <w:num w:numId="10">
    <w:abstractNumId w:val="13"/>
  </w:num>
  <w:num w:numId="11">
    <w:abstractNumId w:val="4"/>
  </w:num>
  <w:num w:numId="12">
    <w:abstractNumId w:val="1"/>
  </w:num>
  <w:num w:numId="13">
    <w:abstractNumId w:val="5"/>
  </w:num>
  <w:num w:numId="14">
    <w:abstractNumId w:val="24"/>
  </w:num>
  <w:num w:numId="15">
    <w:abstractNumId w:val="22"/>
  </w:num>
  <w:num w:numId="16">
    <w:abstractNumId w:val="6"/>
  </w:num>
  <w:num w:numId="17">
    <w:abstractNumId w:val="10"/>
  </w:num>
  <w:num w:numId="18">
    <w:abstractNumId w:val="17"/>
  </w:num>
  <w:num w:numId="19">
    <w:abstractNumId w:val="26"/>
  </w:num>
  <w:num w:numId="20">
    <w:abstractNumId w:val="12"/>
  </w:num>
  <w:num w:numId="21">
    <w:abstractNumId w:val="23"/>
  </w:num>
  <w:num w:numId="22">
    <w:abstractNumId w:val="16"/>
  </w:num>
  <w:num w:numId="23">
    <w:abstractNumId w:val="25"/>
  </w:num>
  <w:num w:numId="24">
    <w:abstractNumId w:val="20"/>
  </w:num>
  <w:num w:numId="25">
    <w:abstractNumId w:val="0"/>
  </w:num>
  <w:num w:numId="26">
    <w:abstractNumId w:val="7"/>
  </w:num>
  <w:num w:numId="27">
    <w:abstractNumId w:val="27"/>
  </w:num>
  <w:num w:numId="28">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20A8"/>
    <w:rsid w:val="00002E6C"/>
    <w:rsid w:val="00012792"/>
    <w:rsid w:val="00012C43"/>
    <w:rsid w:val="00014A11"/>
    <w:rsid w:val="00015B7C"/>
    <w:rsid w:val="000167FC"/>
    <w:rsid w:val="00021598"/>
    <w:rsid w:val="000224A3"/>
    <w:rsid w:val="00025BF7"/>
    <w:rsid w:val="00025DCC"/>
    <w:rsid w:val="00026F9E"/>
    <w:rsid w:val="000270E7"/>
    <w:rsid w:val="0003016D"/>
    <w:rsid w:val="00030932"/>
    <w:rsid w:val="000310A4"/>
    <w:rsid w:val="00031F6C"/>
    <w:rsid w:val="0003215F"/>
    <w:rsid w:val="00035492"/>
    <w:rsid w:val="00035A51"/>
    <w:rsid w:val="00035E50"/>
    <w:rsid w:val="00042A3B"/>
    <w:rsid w:val="00042CAA"/>
    <w:rsid w:val="00044A56"/>
    <w:rsid w:val="00045CCD"/>
    <w:rsid w:val="0005178A"/>
    <w:rsid w:val="00051EDA"/>
    <w:rsid w:val="00052A09"/>
    <w:rsid w:val="00053328"/>
    <w:rsid w:val="00053DAB"/>
    <w:rsid w:val="00054186"/>
    <w:rsid w:val="000553A4"/>
    <w:rsid w:val="00055D2F"/>
    <w:rsid w:val="000579D9"/>
    <w:rsid w:val="00061E9E"/>
    <w:rsid w:val="000620A3"/>
    <w:rsid w:val="00062C98"/>
    <w:rsid w:val="00062ECC"/>
    <w:rsid w:val="00065C37"/>
    <w:rsid w:val="000669E1"/>
    <w:rsid w:val="000710F8"/>
    <w:rsid w:val="000711CB"/>
    <w:rsid w:val="0007159A"/>
    <w:rsid w:val="00074012"/>
    <w:rsid w:val="000740CC"/>
    <w:rsid w:val="00075CA8"/>
    <w:rsid w:val="000760DF"/>
    <w:rsid w:val="000764FF"/>
    <w:rsid w:val="000807BE"/>
    <w:rsid w:val="00080DFA"/>
    <w:rsid w:val="00083E3D"/>
    <w:rsid w:val="000874FD"/>
    <w:rsid w:val="00092372"/>
    <w:rsid w:val="00093A90"/>
    <w:rsid w:val="00093F69"/>
    <w:rsid w:val="00094261"/>
    <w:rsid w:val="000A10CF"/>
    <w:rsid w:val="000A1F46"/>
    <w:rsid w:val="000A4919"/>
    <w:rsid w:val="000A6D62"/>
    <w:rsid w:val="000A6EFF"/>
    <w:rsid w:val="000A7AC2"/>
    <w:rsid w:val="000A7C0F"/>
    <w:rsid w:val="000B22C7"/>
    <w:rsid w:val="000B252A"/>
    <w:rsid w:val="000B5330"/>
    <w:rsid w:val="000B59F4"/>
    <w:rsid w:val="000B6580"/>
    <w:rsid w:val="000B7850"/>
    <w:rsid w:val="000C0D3D"/>
    <w:rsid w:val="000C377D"/>
    <w:rsid w:val="000C764C"/>
    <w:rsid w:val="000D0132"/>
    <w:rsid w:val="000D1015"/>
    <w:rsid w:val="000D1349"/>
    <w:rsid w:val="000D23C3"/>
    <w:rsid w:val="000D2B62"/>
    <w:rsid w:val="000D33CA"/>
    <w:rsid w:val="000D5C83"/>
    <w:rsid w:val="000D66EA"/>
    <w:rsid w:val="000D6D93"/>
    <w:rsid w:val="000E15F4"/>
    <w:rsid w:val="000E470E"/>
    <w:rsid w:val="000E5727"/>
    <w:rsid w:val="000E59D7"/>
    <w:rsid w:val="000F04CC"/>
    <w:rsid w:val="000F1189"/>
    <w:rsid w:val="000F521F"/>
    <w:rsid w:val="000F6A44"/>
    <w:rsid w:val="00100D63"/>
    <w:rsid w:val="00103C6A"/>
    <w:rsid w:val="00104EF8"/>
    <w:rsid w:val="001055FA"/>
    <w:rsid w:val="00107E2A"/>
    <w:rsid w:val="00111586"/>
    <w:rsid w:val="00113F8B"/>
    <w:rsid w:val="00114361"/>
    <w:rsid w:val="001143DD"/>
    <w:rsid w:val="001151FD"/>
    <w:rsid w:val="00115583"/>
    <w:rsid w:val="00117411"/>
    <w:rsid w:val="001176D2"/>
    <w:rsid w:val="0012171E"/>
    <w:rsid w:val="00121D93"/>
    <w:rsid w:val="0012330B"/>
    <w:rsid w:val="0012358B"/>
    <w:rsid w:val="00124601"/>
    <w:rsid w:val="00125320"/>
    <w:rsid w:val="00125440"/>
    <w:rsid w:val="00125723"/>
    <w:rsid w:val="00125E00"/>
    <w:rsid w:val="00126652"/>
    <w:rsid w:val="00126A01"/>
    <w:rsid w:val="00130283"/>
    <w:rsid w:val="001302A7"/>
    <w:rsid w:val="00132A6F"/>
    <w:rsid w:val="001366F3"/>
    <w:rsid w:val="00137C86"/>
    <w:rsid w:val="00137E1E"/>
    <w:rsid w:val="001424FA"/>
    <w:rsid w:val="00142945"/>
    <w:rsid w:val="001430CE"/>
    <w:rsid w:val="00143429"/>
    <w:rsid w:val="00144C98"/>
    <w:rsid w:val="00146811"/>
    <w:rsid w:val="00151E84"/>
    <w:rsid w:val="00152031"/>
    <w:rsid w:val="00155049"/>
    <w:rsid w:val="00156131"/>
    <w:rsid w:val="00156ED9"/>
    <w:rsid w:val="00161061"/>
    <w:rsid w:val="001623E2"/>
    <w:rsid w:val="001645F1"/>
    <w:rsid w:val="0016576F"/>
    <w:rsid w:val="00165977"/>
    <w:rsid w:val="00165AC8"/>
    <w:rsid w:val="00166577"/>
    <w:rsid w:val="00167390"/>
    <w:rsid w:val="0016779A"/>
    <w:rsid w:val="00167844"/>
    <w:rsid w:val="00174DF7"/>
    <w:rsid w:val="00182934"/>
    <w:rsid w:val="00183218"/>
    <w:rsid w:val="001853A5"/>
    <w:rsid w:val="001855C5"/>
    <w:rsid w:val="001868AA"/>
    <w:rsid w:val="0018718B"/>
    <w:rsid w:val="00192E4A"/>
    <w:rsid w:val="00193607"/>
    <w:rsid w:val="001954ED"/>
    <w:rsid w:val="001969E8"/>
    <w:rsid w:val="00197244"/>
    <w:rsid w:val="001A04B2"/>
    <w:rsid w:val="001A23D6"/>
    <w:rsid w:val="001A3953"/>
    <w:rsid w:val="001A48C7"/>
    <w:rsid w:val="001A4F0F"/>
    <w:rsid w:val="001A50D4"/>
    <w:rsid w:val="001A645E"/>
    <w:rsid w:val="001A7B2B"/>
    <w:rsid w:val="001B0F52"/>
    <w:rsid w:val="001B2676"/>
    <w:rsid w:val="001B2ECF"/>
    <w:rsid w:val="001B3E3F"/>
    <w:rsid w:val="001B577B"/>
    <w:rsid w:val="001B728F"/>
    <w:rsid w:val="001C1DCE"/>
    <w:rsid w:val="001C3817"/>
    <w:rsid w:val="001C3970"/>
    <w:rsid w:val="001C3BB4"/>
    <w:rsid w:val="001C431D"/>
    <w:rsid w:val="001C5785"/>
    <w:rsid w:val="001D03A8"/>
    <w:rsid w:val="001D2026"/>
    <w:rsid w:val="001D202D"/>
    <w:rsid w:val="001D3ED2"/>
    <w:rsid w:val="001D6BB4"/>
    <w:rsid w:val="001E1952"/>
    <w:rsid w:val="001E1C07"/>
    <w:rsid w:val="001E2335"/>
    <w:rsid w:val="001E2478"/>
    <w:rsid w:val="001E35BE"/>
    <w:rsid w:val="001E68A5"/>
    <w:rsid w:val="001E6B78"/>
    <w:rsid w:val="001E7415"/>
    <w:rsid w:val="001F0735"/>
    <w:rsid w:val="001F166C"/>
    <w:rsid w:val="001F3534"/>
    <w:rsid w:val="001F3AF4"/>
    <w:rsid w:val="001F54D2"/>
    <w:rsid w:val="001F5857"/>
    <w:rsid w:val="0020099A"/>
    <w:rsid w:val="00200EF6"/>
    <w:rsid w:val="0020160F"/>
    <w:rsid w:val="0020167B"/>
    <w:rsid w:val="00203C9A"/>
    <w:rsid w:val="0020429F"/>
    <w:rsid w:val="00204C32"/>
    <w:rsid w:val="00205338"/>
    <w:rsid w:val="00205626"/>
    <w:rsid w:val="002062EB"/>
    <w:rsid w:val="00206D5C"/>
    <w:rsid w:val="00210721"/>
    <w:rsid w:val="002116E8"/>
    <w:rsid w:val="00211E15"/>
    <w:rsid w:val="00212677"/>
    <w:rsid w:val="00215F83"/>
    <w:rsid w:val="00216AA6"/>
    <w:rsid w:val="0022000A"/>
    <w:rsid w:val="002250E8"/>
    <w:rsid w:val="002273AB"/>
    <w:rsid w:val="002308C2"/>
    <w:rsid w:val="002320A5"/>
    <w:rsid w:val="00232610"/>
    <w:rsid w:val="00232D90"/>
    <w:rsid w:val="00233651"/>
    <w:rsid w:val="0023416A"/>
    <w:rsid w:val="002345F8"/>
    <w:rsid w:val="0023603E"/>
    <w:rsid w:val="0023744B"/>
    <w:rsid w:val="00237E46"/>
    <w:rsid w:val="00240A14"/>
    <w:rsid w:val="00241064"/>
    <w:rsid w:val="00241276"/>
    <w:rsid w:val="00241D14"/>
    <w:rsid w:val="00245381"/>
    <w:rsid w:val="00245E38"/>
    <w:rsid w:val="0025036C"/>
    <w:rsid w:val="0025122F"/>
    <w:rsid w:val="0025148E"/>
    <w:rsid w:val="00252194"/>
    <w:rsid w:val="00252396"/>
    <w:rsid w:val="0025443A"/>
    <w:rsid w:val="00254ED4"/>
    <w:rsid w:val="00255B1D"/>
    <w:rsid w:val="00256F14"/>
    <w:rsid w:val="002573D0"/>
    <w:rsid w:val="00260426"/>
    <w:rsid w:val="002604DB"/>
    <w:rsid w:val="00263501"/>
    <w:rsid w:val="0026474F"/>
    <w:rsid w:val="00267843"/>
    <w:rsid w:val="0026793B"/>
    <w:rsid w:val="00270102"/>
    <w:rsid w:val="00270E93"/>
    <w:rsid w:val="0027219A"/>
    <w:rsid w:val="0027336D"/>
    <w:rsid w:val="002752B2"/>
    <w:rsid w:val="00277354"/>
    <w:rsid w:val="002776D0"/>
    <w:rsid w:val="002803D9"/>
    <w:rsid w:val="002811C1"/>
    <w:rsid w:val="00285541"/>
    <w:rsid w:val="00285AEE"/>
    <w:rsid w:val="00286771"/>
    <w:rsid w:val="002976E9"/>
    <w:rsid w:val="002A284E"/>
    <w:rsid w:val="002A3312"/>
    <w:rsid w:val="002A3E82"/>
    <w:rsid w:val="002A7EDB"/>
    <w:rsid w:val="002B12E0"/>
    <w:rsid w:val="002B4130"/>
    <w:rsid w:val="002B6957"/>
    <w:rsid w:val="002B708D"/>
    <w:rsid w:val="002B7865"/>
    <w:rsid w:val="002B793E"/>
    <w:rsid w:val="002C003E"/>
    <w:rsid w:val="002C3A6E"/>
    <w:rsid w:val="002C75B8"/>
    <w:rsid w:val="002C7C0A"/>
    <w:rsid w:val="002D0518"/>
    <w:rsid w:val="002D0B11"/>
    <w:rsid w:val="002D4053"/>
    <w:rsid w:val="002D4973"/>
    <w:rsid w:val="002D5C09"/>
    <w:rsid w:val="002D7A68"/>
    <w:rsid w:val="002E3E47"/>
    <w:rsid w:val="002E5653"/>
    <w:rsid w:val="002E5DCA"/>
    <w:rsid w:val="002F0574"/>
    <w:rsid w:val="002F0765"/>
    <w:rsid w:val="002F0F2B"/>
    <w:rsid w:val="002F1A67"/>
    <w:rsid w:val="002F2224"/>
    <w:rsid w:val="002F2ACB"/>
    <w:rsid w:val="002F39CE"/>
    <w:rsid w:val="002F6336"/>
    <w:rsid w:val="002F64F3"/>
    <w:rsid w:val="002F6FA6"/>
    <w:rsid w:val="00300BCE"/>
    <w:rsid w:val="00300E35"/>
    <w:rsid w:val="00301199"/>
    <w:rsid w:val="0030363D"/>
    <w:rsid w:val="003051F8"/>
    <w:rsid w:val="003054FB"/>
    <w:rsid w:val="00305C75"/>
    <w:rsid w:val="00306809"/>
    <w:rsid w:val="00311251"/>
    <w:rsid w:val="00314844"/>
    <w:rsid w:val="003154D6"/>
    <w:rsid w:val="0032131E"/>
    <w:rsid w:val="00322412"/>
    <w:rsid w:val="0032344D"/>
    <w:rsid w:val="00330FF9"/>
    <w:rsid w:val="00332912"/>
    <w:rsid w:val="00333F8C"/>
    <w:rsid w:val="00336530"/>
    <w:rsid w:val="00340AD8"/>
    <w:rsid w:val="00341485"/>
    <w:rsid w:val="003417A1"/>
    <w:rsid w:val="00342BA5"/>
    <w:rsid w:val="003442C9"/>
    <w:rsid w:val="0034584F"/>
    <w:rsid w:val="0034639C"/>
    <w:rsid w:val="00347E62"/>
    <w:rsid w:val="00350563"/>
    <w:rsid w:val="003540DA"/>
    <w:rsid w:val="0035640B"/>
    <w:rsid w:val="0035712B"/>
    <w:rsid w:val="003616C4"/>
    <w:rsid w:val="00363497"/>
    <w:rsid w:val="00365CD8"/>
    <w:rsid w:val="00365D9E"/>
    <w:rsid w:val="00365DEB"/>
    <w:rsid w:val="00366464"/>
    <w:rsid w:val="003737C6"/>
    <w:rsid w:val="00373B2F"/>
    <w:rsid w:val="00375170"/>
    <w:rsid w:val="003774AA"/>
    <w:rsid w:val="00377C13"/>
    <w:rsid w:val="003850E0"/>
    <w:rsid w:val="00386976"/>
    <w:rsid w:val="00387E54"/>
    <w:rsid w:val="00387E57"/>
    <w:rsid w:val="00391137"/>
    <w:rsid w:val="00391FDB"/>
    <w:rsid w:val="00393411"/>
    <w:rsid w:val="003948D9"/>
    <w:rsid w:val="0039544F"/>
    <w:rsid w:val="003A0573"/>
    <w:rsid w:val="003A0EA0"/>
    <w:rsid w:val="003A2B67"/>
    <w:rsid w:val="003A4E46"/>
    <w:rsid w:val="003A601F"/>
    <w:rsid w:val="003B2AB2"/>
    <w:rsid w:val="003B2B65"/>
    <w:rsid w:val="003B2C88"/>
    <w:rsid w:val="003B3917"/>
    <w:rsid w:val="003B69C1"/>
    <w:rsid w:val="003B75AA"/>
    <w:rsid w:val="003C29B3"/>
    <w:rsid w:val="003C4709"/>
    <w:rsid w:val="003C716E"/>
    <w:rsid w:val="003D0897"/>
    <w:rsid w:val="003D77D3"/>
    <w:rsid w:val="003E07FF"/>
    <w:rsid w:val="003E2B38"/>
    <w:rsid w:val="003E3017"/>
    <w:rsid w:val="003E3A7F"/>
    <w:rsid w:val="003F1A08"/>
    <w:rsid w:val="003F1FBB"/>
    <w:rsid w:val="003F2271"/>
    <w:rsid w:val="003F262D"/>
    <w:rsid w:val="003F4019"/>
    <w:rsid w:val="003F40BE"/>
    <w:rsid w:val="003F51CF"/>
    <w:rsid w:val="003F6CD6"/>
    <w:rsid w:val="003F6E04"/>
    <w:rsid w:val="003F77D7"/>
    <w:rsid w:val="004014C6"/>
    <w:rsid w:val="004022B3"/>
    <w:rsid w:val="00402D30"/>
    <w:rsid w:val="0040568B"/>
    <w:rsid w:val="0040610B"/>
    <w:rsid w:val="004068EA"/>
    <w:rsid w:val="0041091A"/>
    <w:rsid w:val="004130AA"/>
    <w:rsid w:val="0041375F"/>
    <w:rsid w:val="00415934"/>
    <w:rsid w:val="00415B45"/>
    <w:rsid w:val="0041643C"/>
    <w:rsid w:val="00421560"/>
    <w:rsid w:val="00423588"/>
    <w:rsid w:val="00424FFC"/>
    <w:rsid w:val="004259C4"/>
    <w:rsid w:val="00425E57"/>
    <w:rsid w:val="00426532"/>
    <w:rsid w:val="0042777A"/>
    <w:rsid w:val="004306F5"/>
    <w:rsid w:val="0043078B"/>
    <w:rsid w:val="0043201F"/>
    <w:rsid w:val="004334CA"/>
    <w:rsid w:val="00434A9C"/>
    <w:rsid w:val="00434FB9"/>
    <w:rsid w:val="0044006A"/>
    <w:rsid w:val="00442E59"/>
    <w:rsid w:val="00443018"/>
    <w:rsid w:val="0044321F"/>
    <w:rsid w:val="00443D7E"/>
    <w:rsid w:val="004445EC"/>
    <w:rsid w:val="00446CCC"/>
    <w:rsid w:val="004549FD"/>
    <w:rsid w:val="00454EA8"/>
    <w:rsid w:val="00456DD1"/>
    <w:rsid w:val="00461001"/>
    <w:rsid w:val="004619A3"/>
    <w:rsid w:val="00462BEA"/>
    <w:rsid w:val="00464399"/>
    <w:rsid w:val="00465038"/>
    <w:rsid w:val="004675CE"/>
    <w:rsid w:val="0046797E"/>
    <w:rsid w:val="004679CF"/>
    <w:rsid w:val="004706ED"/>
    <w:rsid w:val="00471404"/>
    <w:rsid w:val="00473DE7"/>
    <w:rsid w:val="00474A33"/>
    <w:rsid w:val="00476A42"/>
    <w:rsid w:val="00476E75"/>
    <w:rsid w:val="0047718D"/>
    <w:rsid w:val="00480634"/>
    <w:rsid w:val="00480DA5"/>
    <w:rsid w:val="00481DC7"/>
    <w:rsid w:val="00492A51"/>
    <w:rsid w:val="004931D6"/>
    <w:rsid w:val="00493759"/>
    <w:rsid w:val="00495762"/>
    <w:rsid w:val="0049636C"/>
    <w:rsid w:val="00496836"/>
    <w:rsid w:val="0049782C"/>
    <w:rsid w:val="004A02F2"/>
    <w:rsid w:val="004A0BD0"/>
    <w:rsid w:val="004A27A0"/>
    <w:rsid w:val="004A2C8C"/>
    <w:rsid w:val="004A6941"/>
    <w:rsid w:val="004A6D40"/>
    <w:rsid w:val="004A767E"/>
    <w:rsid w:val="004B0696"/>
    <w:rsid w:val="004B13B3"/>
    <w:rsid w:val="004B13DE"/>
    <w:rsid w:val="004B4883"/>
    <w:rsid w:val="004B4BAA"/>
    <w:rsid w:val="004B656E"/>
    <w:rsid w:val="004B6D6D"/>
    <w:rsid w:val="004B77EC"/>
    <w:rsid w:val="004C29FA"/>
    <w:rsid w:val="004C351A"/>
    <w:rsid w:val="004C37B7"/>
    <w:rsid w:val="004C3982"/>
    <w:rsid w:val="004C4515"/>
    <w:rsid w:val="004C4ED3"/>
    <w:rsid w:val="004C554B"/>
    <w:rsid w:val="004C57C2"/>
    <w:rsid w:val="004C746B"/>
    <w:rsid w:val="004D14F4"/>
    <w:rsid w:val="004D28E9"/>
    <w:rsid w:val="004D54A6"/>
    <w:rsid w:val="004E0949"/>
    <w:rsid w:val="004E2938"/>
    <w:rsid w:val="004E2E35"/>
    <w:rsid w:val="004E4B61"/>
    <w:rsid w:val="004E6308"/>
    <w:rsid w:val="004E630D"/>
    <w:rsid w:val="004E7486"/>
    <w:rsid w:val="004F0A76"/>
    <w:rsid w:val="004F107C"/>
    <w:rsid w:val="004F18B8"/>
    <w:rsid w:val="004F1D32"/>
    <w:rsid w:val="004F2A73"/>
    <w:rsid w:val="004F435F"/>
    <w:rsid w:val="004F5251"/>
    <w:rsid w:val="004F5463"/>
    <w:rsid w:val="004F5D6C"/>
    <w:rsid w:val="00500B5F"/>
    <w:rsid w:val="00501811"/>
    <w:rsid w:val="00502D9E"/>
    <w:rsid w:val="0050452A"/>
    <w:rsid w:val="005061C5"/>
    <w:rsid w:val="005062FC"/>
    <w:rsid w:val="00506DEC"/>
    <w:rsid w:val="00507441"/>
    <w:rsid w:val="005104D2"/>
    <w:rsid w:val="00511815"/>
    <w:rsid w:val="005165B5"/>
    <w:rsid w:val="005176BF"/>
    <w:rsid w:val="005238BA"/>
    <w:rsid w:val="0052455E"/>
    <w:rsid w:val="00524BA8"/>
    <w:rsid w:val="00525A78"/>
    <w:rsid w:val="00525F5F"/>
    <w:rsid w:val="005260BD"/>
    <w:rsid w:val="005273F5"/>
    <w:rsid w:val="00530C84"/>
    <w:rsid w:val="0053204D"/>
    <w:rsid w:val="0053352F"/>
    <w:rsid w:val="00533D84"/>
    <w:rsid w:val="00534976"/>
    <w:rsid w:val="00536EA6"/>
    <w:rsid w:val="005374AB"/>
    <w:rsid w:val="00540595"/>
    <w:rsid w:val="00540FBE"/>
    <w:rsid w:val="00541025"/>
    <w:rsid w:val="0054315C"/>
    <w:rsid w:val="00543699"/>
    <w:rsid w:val="005444CD"/>
    <w:rsid w:val="00547AFE"/>
    <w:rsid w:val="005504BA"/>
    <w:rsid w:val="00555283"/>
    <w:rsid w:val="0055577B"/>
    <w:rsid w:val="0056004D"/>
    <w:rsid w:val="005604A4"/>
    <w:rsid w:val="00565DE9"/>
    <w:rsid w:val="0056677B"/>
    <w:rsid w:val="00567C54"/>
    <w:rsid w:val="00570352"/>
    <w:rsid w:val="00570F36"/>
    <w:rsid w:val="00570F7C"/>
    <w:rsid w:val="00571EEF"/>
    <w:rsid w:val="00572F8D"/>
    <w:rsid w:val="0057561C"/>
    <w:rsid w:val="005764C2"/>
    <w:rsid w:val="00577CA5"/>
    <w:rsid w:val="005815B6"/>
    <w:rsid w:val="005868A3"/>
    <w:rsid w:val="00587221"/>
    <w:rsid w:val="00590067"/>
    <w:rsid w:val="00594E06"/>
    <w:rsid w:val="00595BD4"/>
    <w:rsid w:val="00595FF1"/>
    <w:rsid w:val="005A3375"/>
    <w:rsid w:val="005A4052"/>
    <w:rsid w:val="005A4B73"/>
    <w:rsid w:val="005A58CB"/>
    <w:rsid w:val="005A70D6"/>
    <w:rsid w:val="005B0D75"/>
    <w:rsid w:val="005B5295"/>
    <w:rsid w:val="005B5C7E"/>
    <w:rsid w:val="005B6316"/>
    <w:rsid w:val="005C0907"/>
    <w:rsid w:val="005C0EC7"/>
    <w:rsid w:val="005C1F22"/>
    <w:rsid w:val="005C2B34"/>
    <w:rsid w:val="005C2C8C"/>
    <w:rsid w:val="005C30B3"/>
    <w:rsid w:val="005D1550"/>
    <w:rsid w:val="005D23DD"/>
    <w:rsid w:val="005D4309"/>
    <w:rsid w:val="005D4739"/>
    <w:rsid w:val="005D5786"/>
    <w:rsid w:val="005E1127"/>
    <w:rsid w:val="005E2C4C"/>
    <w:rsid w:val="005F0705"/>
    <w:rsid w:val="005F3791"/>
    <w:rsid w:val="005F38E5"/>
    <w:rsid w:val="005F3C15"/>
    <w:rsid w:val="005F4C6D"/>
    <w:rsid w:val="005F50B7"/>
    <w:rsid w:val="005F72EE"/>
    <w:rsid w:val="005F7DB0"/>
    <w:rsid w:val="00601B61"/>
    <w:rsid w:val="006030D4"/>
    <w:rsid w:val="0060331E"/>
    <w:rsid w:val="00603640"/>
    <w:rsid w:val="00607C79"/>
    <w:rsid w:val="00610450"/>
    <w:rsid w:val="00612B33"/>
    <w:rsid w:val="00615664"/>
    <w:rsid w:val="00615F35"/>
    <w:rsid w:val="00620693"/>
    <w:rsid w:val="00620991"/>
    <w:rsid w:val="00625A16"/>
    <w:rsid w:val="00626895"/>
    <w:rsid w:val="00626FF5"/>
    <w:rsid w:val="0062716E"/>
    <w:rsid w:val="00627E99"/>
    <w:rsid w:val="00630028"/>
    <w:rsid w:val="006304A3"/>
    <w:rsid w:val="00631414"/>
    <w:rsid w:val="00631FF7"/>
    <w:rsid w:val="00632FCC"/>
    <w:rsid w:val="006357D3"/>
    <w:rsid w:val="00637B13"/>
    <w:rsid w:val="006403E1"/>
    <w:rsid w:val="00640732"/>
    <w:rsid w:val="00640C5F"/>
    <w:rsid w:val="006438A9"/>
    <w:rsid w:val="0064448E"/>
    <w:rsid w:val="006452DF"/>
    <w:rsid w:val="006516F1"/>
    <w:rsid w:val="006518F9"/>
    <w:rsid w:val="00653B23"/>
    <w:rsid w:val="006545FA"/>
    <w:rsid w:val="00655AFB"/>
    <w:rsid w:val="00655C00"/>
    <w:rsid w:val="00655C36"/>
    <w:rsid w:val="00656467"/>
    <w:rsid w:val="006577EA"/>
    <w:rsid w:val="00657F42"/>
    <w:rsid w:val="00661FCA"/>
    <w:rsid w:val="006631C0"/>
    <w:rsid w:val="00665194"/>
    <w:rsid w:val="0066689D"/>
    <w:rsid w:val="0066692E"/>
    <w:rsid w:val="0067030F"/>
    <w:rsid w:val="00671E0F"/>
    <w:rsid w:val="00677F24"/>
    <w:rsid w:val="00680C3D"/>
    <w:rsid w:val="00681546"/>
    <w:rsid w:val="006822CE"/>
    <w:rsid w:val="00685843"/>
    <w:rsid w:val="00686877"/>
    <w:rsid w:val="006873E7"/>
    <w:rsid w:val="00687C4F"/>
    <w:rsid w:val="00690F0D"/>
    <w:rsid w:val="00691024"/>
    <w:rsid w:val="00693FED"/>
    <w:rsid w:val="00697CAD"/>
    <w:rsid w:val="006A0640"/>
    <w:rsid w:val="006A30B5"/>
    <w:rsid w:val="006A3271"/>
    <w:rsid w:val="006A4985"/>
    <w:rsid w:val="006A4CFC"/>
    <w:rsid w:val="006A508C"/>
    <w:rsid w:val="006A6B76"/>
    <w:rsid w:val="006A7538"/>
    <w:rsid w:val="006A79D7"/>
    <w:rsid w:val="006B0890"/>
    <w:rsid w:val="006B0C6A"/>
    <w:rsid w:val="006B199E"/>
    <w:rsid w:val="006B298B"/>
    <w:rsid w:val="006B2C17"/>
    <w:rsid w:val="006C12F0"/>
    <w:rsid w:val="006C1F85"/>
    <w:rsid w:val="006C352B"/>
    <w:rsid w:val="006C471E"/>
    <w:rsid w:val="006C5D26"/>
    <w:rsid w:val="006C6C3B"/>
    <w:rsid w:val="006C6E68"/>
    <w:rsid w:val="006C7526"/>
    <w:rsid w:val="006C7645"/>
    <w:rsid w:val="006D04C8"/>
    <w:rsid w:val="006D3676"/>
    <w:rsid w:val="006D3BA8"/>
    <w:rsid w:val="006D460A"/>
    <w:rsid w:val="006E078D"/>
    <w:rsid w:val="006E2547"/>
    <w:rsid w:val="006E4A05"/>
    <w:rsid w:val="006E559D"/>
    <w:rsid w:val="006E5A4C"/>
    <w:rsid w:val="006F10ED"/>
    <w:rsid w:val="006F1389"/>
    <w:rsid w:val="006F1DB2"/>
    <w:rsid w:val="006F7702"/>
    <w:rsid w:val="00701056"/>
    <w:rsid w:val="007014EE"/>
    <w:rsid w:val="00701D02"/>
    <w:rsid w:val="0070282D"/>
    <w:rsid w:val="0070331B"/>
    <w:rsid w:val="00703650"/>
    <w:rsid w:val="0070667A"/>
    <w:rsid w:val="00711C2E"/>
    <w:rsid w:val="0071441F"/>
    <w:rsid w:val="0071486F"/>
    <w:rsid w:val="00715CE6"/>
    <w:rsid w:val="0071749C"/>
    <w:rsid w:val="00717E65"/>
    <w:rsid w:val="007213E4"/>
    <w:rsid w:val="007214FC"/>
    <w:rsid w:val="0072183E"/>
    <w:rsid w:val="0072294D"/>
    <w:rsid w:val="00723112"/>
    <w:rsid w:val="00725AF0"/>
    <w:rsid w:val="00725E64"/>
    <w:rsid w:val="00736B87"/>
    <w:rsid w:val="00737066"/>
    <w:rsid w:val="0074034F"/>
    <w:rsid w:val="00740DE3"/>
    <w:rsid w:val="00741920"/>
    <w:rsid w:val="007423DA"/>
    <w:rsid w:val="00742D28"/>
    <w:rsid w:val="0074376A"/>
    <w:rsid w:val="00744098"/>
    <w:rsid w:val="00744AEB"/>
    <w:rsid w:val="00747F5C"/>
    <w:rsid w:val="00750666"/>
    <w:rsid w:val="00751460"/>
    <w:rsid w:val="007534CC"/>
    <w:rsid w:val="007539BA"/>
    <w:rsid w:val="00755639"/>
    <w:rsid w:val="007557AF"/>
    <w:rsid w:val="00755D5A"/>
    <w:rsid w:val="00756C8C"/>
    <w:rsid w:val="0075791A"/>
    <w:rsid w:val="00760225"/>
    <w:rsid w:val="00763976"/>
    <w:rsid w:val="007639DE"/>
    <w:rsid w:val="0076586F"/>
    <w:rsid w:val="007666B9"/>
    <w:rsid w:val="00766913"/>
    <w:rsid w:val="00772E62"/>
    <w:rsid w:val="00774776"/>
    <w:rsid w:val="007748C9"/>
    <w:rsid w:val="00775428"/>
    <w:rsid w:val="00775607"/>
    <w:rsid w:val="007824D3"/>
    <w:rsid w:val="007829AD"/>
    <w:rsid w:val="0078308D"/>
    <w:rsid w:val="00787586"/>
    <w:rsid w:val="007879A4"/>
    <w:rsid w:val="007907EC"/>
    <w:rsid w:val="00791940"/>
    <w:rsid w:val="007941C1"/>
    <w:rsid w:val="007970AD"/>
    <w:rsid w:val="007A1330"/>
    <w:rsid w:val="007A2476"/>
    <w:rsid w:val="007A27D4"/>
    <w:rsid w:val="007A7954"/>
    <w:rsid w:val="007B04F4"/>
    <w:rsid w:val="007B05B1"/>
    <w:rsid w:val="007B0819"/>
    <w:rsid w:val="007B2032"/>
    <w:rsid w:val="007B2412"/>
    <w:rsid w:val="007B2577"/>
    <w:rsid w:val="007B308F"/>
    <w:rsid w:val="007B51ED"/>
    <w:rsid w:val="007B588F"/>
    <w:rsid w:val="007B78F7"/>
    <w:rsid w:val="007C13A2"/>
    <w:rsid w:val="007C20AF"/>
    <w:rsid w:val="007C3D6E"/>
    <w:rsid w:val="007C554B"/>
    <w:rsid w:val="007C76B7"/>
    <w:rsid w:val="007D44FF"/>
    <w:rsid w:val="007D69FE"/>
    <w:rsid w:val="007D75E1"/>
    <w:rsid w:val="007E1F9D"/>
    <w:rsid w:val="007E4252"/>
    <w:rsid w:val="007E5B63"/>
    <w:rsid w:val="007E5F54"/>
    <w:rsid w:val="007E64DF"/>
    <w:rsid w:val="007E784E"/>
    <w:rsid w:val="007F0D43"/>
    <w:rsid w:val="007F4643"/>
    <w:rsid w:val="007F52C4"/>
    <w:rsid w:val="00801A95"/>
    <w:rsid w:val="00802E22"/>
    <w:rsid w:val="00803054"/>
    <w:rsid w:val="0080613C"/>
    <w:rsid w:val="0080742F"/>
    <w:rsid w:val="0081014C"/>
    <w:rsid w:val="00812F84"/>
    <w:rsid w:val="0081302B"/>
    <w:rsid w:val="00813432"/>
    <w:rsid w:val="008153FF"/>
    <w:rsid w:val="0081667B"/>
    <w:rsid w:val="00820C1D"/>
    <w:rsid w:val="00823B45"/>
    <w:rsid w:val="008241FC"/>
    <w:rsid w:val="008266C2"/>
    <w:rsid w:val="008279B4"/>
    <w:rsid w:val="00831359"/>
    <w:rsid w:val="0083242C"/>
    <w:rsid w:val="00832942"/>
    <w:rsid w:val="00833FEB"/>
    <w:rsid w:val="0083408B"/>
    <w:rsid w:val="008346E9"/>
    <w:rsid w:val="00834F6E"/>
    <w:rsid w:val="00835AB3"/>
    <w:rsid w:val="0083630B"/>
    <w:rsid w:val="00836486"/>
    <w:rsid w:val="008439F6"/>
    <w:rsid w:val="0084702D"/>
    <w:rsid w:val="00847FF6"/>
    <w:rsid w:val="00850F19"/>
    <w:rsid w:val="0085416C"/>
    <w:rsid w:val="008556F4"/>
    <w:rsid w:val="00855F98"/>
    <w:rsid w:val="00856455"/>
    <w:rsid w:val="0085686B"/>
    <w:rsid w:val="008572CF"/>
    <w:rsid w:val="00861944"/>
    <w:rsid w:val="008622AE"/>
    <w:rsid w:val="008652E5"/>
    <w:rsid w:val="00867895"/>
    <w:rsid w:val="00870CC9"/>
    <w:rsid w:val="00870DCB"/>
    <w:rsid w:val="00870FF9"/>
    <w:rsid w:val="008745BD"/>
    <w:rsid w:val="00875374"/>
    <w:rsid w:val="00877524"/>
    <w:rsid w:val="00877C19"/>
    <w:rsid w:val="008830A8"/>
    <w:rsid w:val="0088357D"/>
    <w:rsid w:val="008848FA"/>
    <w:rsid w:val="00884C58"/>
    <w:rsid w:val="00884DB9"/>
    <w:rsid w:val="00885A49"/>
    <w:rsid w:val="00886C57"/>
    <w:rsid w:val="008874A4"/>
    <w:rsid w:val="0089195B"/>
    <w:rsid w:val="008926E5"/>
    <w:rsid w:val="00892C12"/>
    <w:rsid w:val="00894643"/>
    <w:rsid w:val="00895926"/>
    <w:rsid w:val="00895CB4"/>
    <w:rsid w:val="008A3A06"/>
    <w:rsid w:val="008A562A"/>
    <w:rsid w:val="008B2EFF"/>
    <w:rsid w:val="008B2F99"/>
    <w:rsid w:val="008B31C1"/>
    <w:rsid w:val="008B529D"/>
    <w:rsid w:val="008B65FD"/>
    <w:rsid w:val="008C173A"/>
    <w:rsid w:val="008C1A63"/>
    <w:rsid w:val="008C1ED4"/>
    <w:rsid w:val="008C2295"/>
    <w:rsid w:val="008C3448"/>
    <w:rsid w:val="008C406D"/>
    <w:rsid w:val="008C4E87"/>
    <w:rsid w:val="008C5852"/>
    <w:rsid w:val="008C611F"/>
    <w:rsid w:val="008C688A"/>
    <w:rsid w:val="008C6AC0"/>
    <w:rsid w:val="008C7BCA"/>
    <w:rsid w:val="008C7E01"/>
    <w:rsid w:val="008D21DB"/>
    <w:rsid w:val="008D27B8"/>
    <w:rsid w:val="008D3B52"/>
    <w:rsid w:val="008D4784"/>
    <w:rsid w:val="008D51A1"/>
    <w:rsid w:val="008E29B3"/>
    <w:rsid w:val="008E5C1B"/>
    <w:rsid w:val="008E63C0"/>
    <w:rsid w:val="008E742B"/>
    <w:rsid w:val="008F14DD"/>
    <w:rsid w:val="008F17A4"/>
    <w:rsid w:val="008F2771"/>
    <w:rsid w:val="008F58ED"/>
    <w:rsid w:val="008F7ACD"/>
    <w:rsid w:val="008F7AEB"/>
    <w:rsid w:val="00900798"/>
    <w:rsid w:val="009028A8"/>
    <w:rsid w:val="009130E8"/>
    <w:rsid w:val="0091407F"/>
    <w:rsid w:val="009151B6"/>
    <w:rsid w:val="009158AB"/>
    <w:rsid w:val="009222C8"/>
    <w:rsid w:val="00923D5D"/>
    <w:rsid w:val="009244DA"/>
    <w:rsid w:val="00931645"/>
    <w:rsid w:val="00933E6C"/>
    <w:rsid w:val="0093447C"/>
    <w:rsid w:val="00937E4A"/>
    <w:rsid w:val="00940C8E"/>
    <w:rsid w:val="00942022"/>
    <w:rsid w:val="00942555"/>
    <w:rsid w:val="00944DCA"/>
    <w:rsid w:val="009453DB"/>
    <w:rsid w:val="00946B25"/>
    <w:rsid w:val="00946FEB"/>
    <w:rsid w:val="00947BB3"/>
    <w:rsid w:val="00951C56"/>
    <w:rsid w:val="009529EE"/>
    <w:rsid w:val="00952A6D"/>
    <w:rsid w:val="00953825"/>
    <w:rsid w:val="00953EBF"/>
    <w:rsid w:val="00954793"/>
    <w:rsid w:val="00954C61"/>
    <w:rsid w:val="00954DFA"/>
    <w:rsid w:val="009559C7"/>
    <w:rsid w:val="00962247"/>
    <w:rsid w:val="00962578"/>
    <w:rsid w:val="00962F82"/>
    <w:rsid w:val="009634A1"/>
    <w:rsid w:val="00964DFC"/>
    <w:rsid w:val="00966C67"/>
    <w:rsid w:val="0096763D"/>
    <w:rsid w:val="00967B97"/>
    <w:rsid w:val="00967E30"/>
    <w:rsid w:val="00971465"/>
    <w:rsid w:val="00971D0E"/>
    <w:rsid w:val="009724C0"/>
    <w:rsid w:val="00972AA0"/>
    <w:rsid w:val="009736C1"/>
    <w:rsid w:val="00973FBF"/>
    <w:rsid w:val="0097508F"/>
    <w:rsid w:val="00975F84"/>
    <w:rsid w:val="00976CE4"/>
    <w:rsid w:val="009816BF"/>
    <w:rsid w:val="0098322C"/>
    <w:rsid w:val="00984035"/>
    <w:rsid w:val="00984A62"/>
    <w:rsid w:val="00984FF5"/>
    <w:rsid w:val="00985E80"/>
    <w:rsid w:val="0098766D"/>
    <w:rsid w:val="00993C3B"/>
    <w:rsid w:val="00996FDA"/>
    <w:rsid w:val="009A14B5"/>
    <w:rsid w:val="009A1800"/>
    <w:rsid w:val="009A3E6B"/>
    <w:rsid w:val="009A4BFD"/>
    <w:rsid w:val="009B0EEF"/>
    <w:rsid w:val="009B11B3"/>
    <w:rsid w:val="009B14FB"/>
    <w:rsid w:val="009B174C"/>
    <w:rsid w:val="009B1884"/>
    <w:rsid w:val="009B2BF2"/>
    <w:rsid w:val="009B35C3"/>
    <w:rsid w:val="009B4BB2"/>
    <w:rsid w:val="009B4D87"/>
    <w:rsid w:val="009C278B"/>
    <w:rsid w:val="009C6951"/>
    <w:rsid w:val="009D17BC"/>
    <w:rsid w:val="009D17CE"/>
    <w:rsid w:val="009D1834"/>
    <w:rsid w:val="009D45CF"/>
    <w:rsid w:val="009D4AF8"/>
    <w:rsid w:val="009D4B60"/>
    <w:rsid w:val="009D4E13"/>
    <w:rsid w:val="009D68FF"/>
    <w:rsid w:val="009E0BA4"/>
    <w:rsid w:val="009E1140"/>
    <w:rsid w:val="009E1F7F"/>
    <w:rsid w:val="009E3851"/>
    <w:rsid w:val="009E470D"/>
    <w:rsid w:val="009E4CAA"/>
    <w:rsid w:val="009E51AB"/>
    <w:rsid w:val="009E54DB"/>
    <w:rsid w:val="009E7D6E"/>
    <w:rsid w:val="009F60FC"/>
    <w:rsid w:val="00A003F2"/>
    <w:rsid w:val="00A00AB2"/>
    <w:rsid w:val="00A00E00"/>
    <w:rsid w:val="00A0181B"/>
    <w:rsid w:val="00A033B1"/>
    <w:rsid w:val="00A043FC"/>
    <w:rsid w:val="00A04B66"/>
    <w:rsid w:val="00A05BD3"/>
    <w:rsid w:val="00A05F1F"/>
    <w:rsid w:val="00A07FD9"/>
    <w:rsid w:val="00A1259C"/>
    <w:rsid w:val="00A12F4D"/>
    <w:rsid w:val="00A13CEC"/>
    <w:rsid w:val="00A13E13"/>
    <w:rsid w:val="00A2058E"/>
    <w:rsid w:val="00A22150"/>
    <w:rsid w:val="00A2299D"/>
    <w:rsid w:val="00A23514"/>
    <w:rsid w:val="00A23CB1"/>
    <w:rsid w:val="00A24004"/>
    <w:rsid w:val="00A24513"/>
    <w:rsid w:val="00A25DB2"/>
    <w:rsid w:val="00A26D8C"/>
    <w:rsid w:val="00A3102B"/>
    <w:rsid w:val="00A3134B"/>
    <w:rsid w:val="00A31D5B"/>
    <w:rsid w:val="00A33823"/>
    <w:rsid w:val="00A342D1"/>
    <w:rsid w:val="00A34510"/>
    <w:rsid w:val="00A35D5C"/>
    <w:rsid w:val="00A37817"/>
    <w:rsid w:val="00A4146F"/>
    <w:rsid w:val="00A417A5"/>
    <w:rsid w:val="00A45628"/>
    <w:rsid w:val="00A50328"/>
    <w:rsid w:val="00A51610"/>
    <w:rsid w:val="00A51EC8"/>
    <w:rsid w:val="00A5300B"/>
    <w:rsid w:val="00A6251F"/>
    <w:rsid w:val="00A6287F"/>
    <w:rsid w:val="00A633F9"/>
    <w:rsid w:val="00A66320"/>
    <w:rsid w:val="00A70AFD"/>
    <w:rsid w:val="00A70EB4"/>
    <w:rsid w:val="00A7336B"/>
    <w:rsid w:val="00A76528"/>
    <w:rsid w:val="00A76644"/>
    <w:rsid w:val="00A803DC"/>
    <w:rsid w:val="00A81060"/>
    <w:rsid w:val="00A82196"/>
    <w:rsid w:val="00A829C3"/>
    <w:rsid w:val="00A85258"/>
    <w:rsid w:val="00A90E0F"/>
    <w:rsid w:val="00A92C4F"/>
    <w:rsid w:val="00A93A81"/>
    <w:rsid w:val="00A94885"/>
    <w:rsid w:val="00A94B9D"/>
    <w:rsid w:val="00A9588E"/>
    <w:rsid w:val="00A96539"/>
    <w:rsid w:val="00A966F8"/>
    <w:rsid w:val="00AA0FFE"/>
    <w:rsid w:val="00AA19B8"/>
    <w:rsid w:val="00AA2927"/>
    <w:rsid w:val="00AA49DC"/>
    <w:rsid w:val="00AA54E1"/>
    <w:rsid w:val="00AA5EE6"/>
    <w:rsid w:val="00AB0635"/>
    <w:rsid w:val="00AB116C"/>
    <w:rsid w:val="00AB1B61"/>
    <w:rsid w:val="00AB2B70"/>
    <w:rsid w:val="00AB35CE"/>
    <w:rsid w:val="00AB3BB2"/>
    <w:rsid w:val="00AB48A8"/>
    <w:rsid w:val="00AC08A6"/>
    <w:rsid w:val="00AC3465"/>
    <w:rsid w:val="00AC499A"/>
    <w:rsid w:val="00AC4DBF"/>
    <w:rsid w:val="00AC730F"/>
    <w:rsid w:val="00AD0321"/>
    <w:rsid w:val="00AD0E36"/>
    <w:rsid w:val="00AD2024"/>
    <w:rsid w:val="00AD2734"/>
    <w:rsid w:val="00AD2C48"/>
    <w:rsid w:val="00AD394D"/>
    <w:rsid w:val="00AD7565"/>
    <w:rsid w:val="00AE0F5E"/>
    <w:rsid w:val="00AE100C"/>
    <w:rsid w:val="00AE30B5"/>
    <w:rsid w:val="00AE33E5"/>
    <w:rsid w:val="00AE4B72"/>
    <w:rsid w:val="00AE6434"/>
    <w:rsid w:val="00AF19A0"/>
    <w:rsid w:val="00AF405C"/>
    <w:rsid w:val="00AF62FC"/>
    <w:rsid w:val="00AF6A6B"/>
    <w:rsid w:val="00AF7645"/>
    <w:rsid w:val="00AF79C9"/>
    <w:rsid w:val="00B00EB4"/>
    <w:rsid w:val="00B03C75"/>
    <w:rsid w:val="00B04D90"/>
    <w:rsid w:val="00B04DD9"/>
    <w:rsid w:val="00B073AC"/>
    <w:rsid w:val="00B12BB7"/>
    <w:rsid w:val="00B14C5D"/>
    <w:rsid w:val="00B15EA5"/>
    <w:rsid w:val="00B22DDC"/>
    <w:rsid w:val="00B241B3"/>
    <w:rsid w:val="00B256F6"/>
    <w:rsid w:val="00B259DD"/>
    <w:rsid w:val="00B26C68"/>
    <w:rsid w:val="00B273D0"/>
    <w:rsid w:val="00B3053A"/>
    <w:rsid w:val="00B30763"/>
    <w:rsid w:val="00B30A5E"/>
    <w:rsid w:val="00B335EB"/>
    <w:rsid w:val="00B35378"/>
    <w:rsid w:val="00B365F9"/>
    <w:rsid w:val="00B3788B"/>
    <w:rsid w:val="00B40D8D"/>
    <w:rsid w:val="00B42BD4"/>
    <w:rsid w:val="00B431B1"/>
    <w:rsid w:val="00B4350C"/>
    <w:rsid w:val="00B5279D"/>
    <w:rsid w:val="00B53648"/>
    <w:rsid w:val="00B54909"/>
    <w:rsid w:val="00B57918"/>
    <w:rsid w:val="00B6044B"/>
    <w:rsid w:val="00B614E1"/>
    <w:rsid w:val="00B61ECA"/>
    <w:rsid w:val="00B62CED"/>
    <w:rsid w:val="00B63DD6"/>
    <w:rsid w:val="00B63F8A"/>
    <w:rsid w:val="00B643F8"/>
    <w:rsid w:val="00B65CC9"/>
    <w:rsid w:val="00B65E6B"/>
    <w:rsid w:val="00B67B8E"/>
    <w:rsid w:val="00B70721"/>
    <w:rsid w:val="00B70790"/>
    <w:rsid w:val="00B70C60"/>
    <w:rsid w:val="00B70C62"/>
    <w:rsid w:val="00B73475"/>
    <w:rsid w:val="00B73736"/>
    <w:rsid w:val="00B737F1"/>
    <w:rsid w:val="00B74C02"/>
    <w:rsid w:val="00B757EA"/>
    <w:rsid w:val="00B80A10"/>
    <w:rsid w:val="00B831EB"/>
    <w:rsid w:val="00B8774F"/>
    <w:rsid w:val="00B87FF1"/>
    <w:rsid w:val="00B9199F"/>
    <w:rsid w:val="00B94DAF"/>
    <w:rsid w:val="00B94EBF"/>
    <w:rsid w:val="00B96754"/>
    <w:rsid w:val="00BA03A9"/>
    <w:rsid w:val="00BA27B2"/>
    <w:rsid w:val="00BA379D"/>
    <w:rsid w:val="00BA38B5"/>
    <w:rsid w:val="00BA7D22"/>
    <w:rsid w:val="00BB1CBF"/>
    <w:rsid w:val="00BB1FDE"/>
    <w:rsid w:val="00BB2313"/>
    <w:rsid w:val="00BB2C65"/>
    <w:rsid w:val="00BB5EC2"/>
    <w:rsid w:val="00BB6D51"/>
    <w:rsid w:val="00BB7CCA"/>
    <w:rsid w:val="00BC0C0D"/>
    <w:rsid w:val="00BC1328"/>
    <w:rsid w:val="00BC20FE"/>
    <w:rsid w:val="00BC448B"/>
    <w:rsid w:val="00BC4F54"/>
    <w:rsid w:val="00BC6115"/>
    <w:rsid w:val="00BC66C4"/>
    <w:rsid w:val="00BC733F"/>
    <w:rsid w:val="00BC7AE6"/>
    <w:rsid w:val="00BC7EB6"/>
    <w:rsid w:val="00BD0642"/>
    <w:rsid w:val="00BD130C"/>
    <w:rsid w:val="00BD2CDC"/>
    <w:rsid w:val="00BD4376"/>
    <w:rsid w:val="00BD499F"/>
    <w:rsid w:val="00BD4C83"/>
    <w:rsid w:val="00BD5480"/>
    <w:rsid w:val="00BD5696"/>
    <w:rsid w:val="00BD5E16"/>
    <w:rsid w:val="00BD79EC"/>
    <w:rsid w:val="00BE2C93"/>
    <w:rsid w:val="00BE37F2"/>
    <w:rsid w:val="00BE5E13"/>
    <w:rsid w:val="00BE5F5D"/>
    <w:rsid w:val="00BF2416"/>
    <w:rsid w:val="00BF3B84"/>
    <w:rsid w:val="00BF3EF9"/>
    <w:rsid w:val="00BF5744"/>
    <w:rsid w:val="00BF5C2F"/>
    <w:rsid w:val="00BF79FD"/>
    <w:rsid w:val="00C02821"/>
    <w:rsid w:val="00C02E15"/>
    <w:rsid w:val="00C03C4B"/>
    <w:rsid w:val="00C12043"/>
    <w:rsid w:val="00C13779"/>
    <w:rsid w:val="00C13BC5"/>
    <w:rsid w:val="00C143F3"/>
    <w:rsid w:val="00C1440B"/>
    <w:rsid w:val="00C1711C"/>
    <w:rsid w:val="00C176E8"/>
    <w:rsid w:val="00C23051"/>
    <w:rsid w:val="00C23721"/>
    <w:rsid w:val="00C259B2"/>
    <w:rsid w:val="00C26554"/>
    <w:rsid w:val="00C26FFB"/>
    <w:rsid w:val="00C30E6A"/>
    <w:rsid w:val="00C326CC"/>
    <w:rsid w:val="00C32DA1"/>
    <w:rsid w:val="00C33076"/>
    <w:rsid w:val="00C34467"/>
    <w:rsid w:val="00C370EF"/>
    <w:rsid w:val="00C37A9A"/>
    <w:rsid w:val="00C40E20"/>
    <w:rsid w:val="00C4211A"/>
    <w:rsid w:val="00C424F9"/>
    <w:rsid w:val="00C46FCC"/>
    <w:rsid w:val="00C510B6"/>
    <w:rsid w:val="00C51297"/>
    <w:rsid w:val="00C5172C"/>
    <w:rsid w:val="00C517D0"/>
    <w:rsid w:val="00C5333A"/>
    <w:rsid w:val="00C54CBB"/>
    <w:rsid w:val="00C56B9F"/>
    <w:rsid w:val="00C57162"/>
    <w:rsid w:val="00C60CB0"/>
    <w:rsid w:val="00C60F5A"/>
    <w:rsid w:val="00C63587"/>
    <w:rsid w:val="00C640A1"/>
    <w:rsid w:val="00C669D6"/>
    <w:rsid w:val="00C70BF1"/>
    <w:rsid w:val="00C713C8"/>
    <w:rsid w:val="00C716F0"/>
    <w:rsid w:val="00C721C9"/>
    <w:rsid w:val="00C74B84"/>
    <w:rsid w:val="00C81791"/>
    <w:rsid w:val="00C81AFD"/>
    <w:rsid w:val="00C82882"/>
    <w:rsid w:val="00C830BF"/>
    <w:rsid w:val="00C8681E"/>
    <w:rsid w:val="00C8784F"/>
    <w:rsid w:val="00C90250"/>
    <w:rsid w:val="00C90594"/>
    <w:rsid w:val="00C90F01"/>
    <w:rsid w:val="00C945CF"/>
    <w:rsid w:val="00C95AB0"/>
    <w:rsid w:val="00C97EF9"/>
    <w:rsid w:val="00CA0ECD"/>
    <w:rsid w:val="00CA0ED1"/>
    <w:rsid w:val="00CA1E3D"/>
    <w:rsid w:val="00CA3CE4"/>
    <w:rsid w:val="00CA449D"/>
    <w:rsid w:val="00CA48A5"/>
    <w:rsid w:val="00CA685B"/>
    <w:rsid w:val="00CA6917"/>
    <w:rsid w:val="00CA7B54"/>
    <w:rsid w:val="00CB025C"/>
    <w:rsid w:val="00CB176A"/>
    <w:rsid w:val="00CB2BB1"/>
    <w:rsid w:val="00CB2D67"/>
    <w:rsid w:val="00CB33DE"/>
    <w:rsid w:val="00CB343F"/>
    <w:rsid w:val="00CB6C8F"/>
    <w:rsid w:val="00CC14AA"/>
    <w:rsid w:val="00CC18C8"/>
    <w:rsid w:val="00CC2D97"/>
    <w:rsid w:val="00CC38F5"/>
    <w:rsid w:val="00CC3F4F"/>
    <w:rsid w:val="00CC4329"/>
    <w:rsid w:val="00CC4333"/>
    <w:rsid w:val="00CC5A00"/>
    <w:rsid w:val="00CC5D3F"/>
    <w:rsid w:val="00CD03DC"/>
    <w:rsid w:val="00CD0537"/>
    <w:rsid w:val="00CD06F9"/>
    <w:rsid w:val="00CD1092"/>
    <w:rsid w:val="00CD4CE4"/>
    <w:rsid w:val="00CD4EEF"/>
    <w:rsid w:val="00CD56BF"/>
    <w:rsid w:val="00CD61FB"/>
    <w:rsid w:val="00CD733B"/>
    <w:rsid w:val="00CD7704"/>
    <w:rsid w:val="00CD7899"/>
    <w:rsid w:val="00CE4206"/>
    <w:rsid w:val="00CE432F"/>
    <w:rsid w:val="00CE50AF"/>
    <w:rsid w:val="00CE66D0"/>
    <w:rsid w:val="00CE7683"/>
    <w:rsid w:val="00CF496E"/>
    <w:rsid w:val="00D00950"/>
    <w:rsid w:val="00D01C00"/>
    <w:rsid w:val="00D0298C"/>
    <w:rsid w:val="00D043E6"/>
    <w:rsid w:val="00D05112"/>
    <w:rsid w:val="00D05B8E"/>
    <w:rsid w:val="00D079C0"/>
    <w:rsid w:val="00D10E83"/>
    <w:rsid w:val="00D11690"/>
    <w:rsid w:val="00D135E4"/>
    <w:rsid w:val="00D13DD2"/>
    <w:rsid w:val="00D14AF2"/>
    <w:rsid w:val="00D1627A"/>
    <w:rsid w:val="00D16418"/>
    <w:rsid w:val="00D16C0A"/>
    <w:rsid w:val="00D16C6E"/>
    <w:rsid w:val="00D17972"/>
    <w:rsid w:val="00D21E79"/>
    <w:rsid w:val="00D22CCD"/>
    <w:rsid w:val="00D2428C"/>
    <w:rsid w:val="00D244E3"/>
    <w:rsid w:val="00D247F7"/>
    <w:rsid w:val="00D2603D"/>
    <w:rsid w:val="00D306E4"/>
    <w:rsid w:val="00D31CDE"/>
    <w:rsid w:val="00D31EF7"/>
    <w:rsid w:val="00D33FCD"/>
    <w:rsid w:val="00D34F26"/>
    <w:rsid w:val="00D35295"/>
    <w:rsid w:val="00D35E54"/>
    <w:rsid w:val="00D373C6"/>
    <w:rsid w:val="00D41931"/>
    <w:rsid w:val="00D4471C"/>
    <w:rsid w:val="00D4521A"/>
    <w:rsid w:val="00D4527E"/>
    <w:rsid w:val="00D45AC7"/>
    <w:rsid w:val="00D4689E"/>
    <w:rsid w:val="00D5313D"/>
    <w:rsid w:val="00D543F0"/>
    <w:rsid w:val="00D55688"/>
    <w:rsid w:val="00D60715"/>
    <w:rsid w:val="00D6138D"/>
    <w:rsid w:val="00D61965"/>
    <w:rsid w:val="00D6415F"/>
    <w:rsid w:val="00D65B71"/>
    <w:rsid w:val="00D660AB"/>
    <w:rsid w:val="00D6740A"/>
    <w:rsid w:val="00D67429"/>
    <w:rsid w:val="00D72D20"/>
    <w:rsid w:val="00D76C75"/>
    <w:rsid w:val="00D80AC1"/>
    <w:rsid w:val="00D8292C"/>
    <w:rsid w:val="00D82B99"/>
    <w:rsid w:val="00D841FC"/>
    <w:rsid w:val="00D842B7"/>
    <w:rsid w:val="00D84765"/>
    <w:rsid w:val="00D854A3"/>
    <w:rsid w:val="00D8592C"/>
    <w:rsid w:val="00D87361"/>
    <w:rsid w:val="00D90444"/>
    <w:rsid w:val="00D91448"/>
    <w:rsid w:val="00D92108"/>
    <w:rsid w:val="00D934EA"/>
    <w:rsid w:val="00D948FF"/>
    <w:rsid w:val="00D95BFC"/>
    <w:rsid w:val="00D973C5"/>
    <w:rsid w:val="00DA0AB8"/>
    <w:rsid w:val="00DA15BC"/>
    <w:rsid w:val="00DA19F5"/>
    <w:rsid w:val="00DA1EAD"/>
    <w:rsid w:val="00DA3361"/>
    <w:rsid w:val="00DA4C03"/>
    <w:rsid w:val="00DA5225"/>
    <w:rsid w:val="00DA6467"/>
    <w:rsid w:val="00DA75BB"/>
    <w:rsid w:val="00DA76AE"/>
    <w:rsid w:val="00DB10F1"/>
    <w:rsid w:val="00DB1225"/>
    <w:rsid w:val="00DB16DE"/>
    <w:rsid w:val="00DB2EDB"/>
    <w:rsid w:val="00DB7F39"/>
    <w:rsid w:val="00DB7F9F"/>
    <w:rsid w:val="00DC1C51"/>
    <w:rsid w:val="00DC1E3D"/>
    <w:rsid w:val="00DC24F5"/>
    <w:rsid w:val="00DC2E3A"/>
    <w:rsid w:val="00DC3E66"/>
    <w:rsid w:val="00DC5517"/>
    <w:rsid w:val="00DC57DE"/>
    <w:rsid w:val="00DC5BE3"/>
    <w:rsid w:val="00DD1060"/>
    <w:rsid w:val="00DD150C"/>
    <w:rsid w:val="00DD641A"/>
    <w:rsid w:val="00DD6AB2"/>
    <w:rsid w:val="00DE4C68"/>
    <w:rsid w:val="00DE4F07"/>
    <w:rsid w:val="00DE5E6A"/>
    <w:rsid w:val="00DE6CF9"/>
    <w:rsid w:val="00DF03BA"/>
    <w:rsid w:val="00DF0678"/>
    <w:rsid w:val="00DF0D89"/>
    <w:rsid w:val="00DF0E68"/>
    <w:rsid w:val="00DF1E95"/>
    <w:rsid w:val="00DF3AF6"/>
    <w:rsid w:val="00DF48B8"/>
    <w:rsid w:val="00DF4B62"/>
    <w:rsid w:val="00DF6CAD"/>
    <w:rsid w:val="00DF6CB8"/>
    <w:rsid w:val="00DF75B1"/>
    <w:rsid w:val="00E0051D"/>
    <w:rsid w:val="00E02692"/>
    <w:rsid w:val="00E10C9E"/>
    <w:rsid w:val="00E10DE4"/>
    <w:rsid w:val="00E11507"/>
    <w:rsid w:val="00E12B13"/>
    <w:rsid w:val="00E12DAC"/>
    <w:rsid w:val="00E14B24"/>
    <w:rsid w:val="00E165AC"/>
    <w:rsid w:val="00E20635"/>
    <w:rsid w:val="00E20B18"/>
    <w:rsid w:val="00E21C49"/>
    <w:rsid w:val="00E2203B"/>
    <w:rsid w:val="00E227BE"/>
    <w:rsid w:val="00E22BD6"/>
    <w:rsid w:val="00E2315C"/>
    <w:rsid w:val="00E24582"/>
    <w:rsid w:val="00E262C0"/>
    <w:rsid w:val="00E2631B"/>
    <w:rsid w:val="00E33159"/>
    <w:rsid w:val="00E33B9C"/>
    <w:rsid w:val="00E342C5"/>
    <w:rsid w:val="00E36AA0"/>
    <w:rsid w:val="00E36AEE"/>
    <w:rsid w:val="00E37D52"/>
    <w:rsid w:val="00E405A7"/>
    <w:rsid w:val="00E41F2E"/>
    <w:rsid w:val="00E42500"/>
    <w:rsid w:val="00E43CBC"/>
    <w:rsid w:val="00E44950"/>
    <w:rsid w:val="00E500F8"/>
    <w:rsid w:val="00E53D27"/>
    <w:rsid w:val="00E55698"/>
    <w:rsid w:val="00E5627D"/>
    <w:rsid w:val="00E57F89"/>
    <w:rsid w:val="00E62C9C"/>
    <w:rsid w:val="00E62F33"/>
    <w:rsid w:val="00E638AE"/>
    <w:rsid w:val="00E65062"/>
    <w:rsid w:val="00E661F0"/>
    <w:rsid w:val="00E67A64"/>
    <w:rsid w:val="00E70055"/>
    <w:rsid w:val="00E73FD1"/>
    <w:rsid w:val="00E75A1A"/>
    <w:rsid w:val="00E75D5C"/>
    <w:rsid w:val="00E75F40"/>
    <w:rsid w:val="00E774D6"/>
    <w:rsid w:val="00E806BF"/>
    <w:rsid w:val="00E80736"/>
    <w:rsid w:val="00E82A47"/>
    <w:rsid w:val="00E87FD0"/>
    <w:rsid w:val="00E925A3"/>
    <w:rsid w:val="00E96D78"/>
    <w:rsid w:val="00E97450"/>
    <w:rsid w:val="00E9779E"/>
    <w:rsid w:val="00EA4BA7"/>
    <w:rsid w:val="00EA4E90"/>
    <w:rsid w:val="00EA4FCF"/>
    <w:rsid w:val="00EA549C"/>
    <w:rsid w:val="00EA60D7"/>
    <w:rsid w:val="00EA64E5"/>
    <w:rsid w:val="00EA7318"/>
    <w:rsid w:val="00EB29E2"/>
    <w:rsid w:val="00EB31A3"/>
    <w:rsid w:val="00EB77C9"/>
    <w:rsid w:val="00EC09F1"/>
    <w:rsid w:val="00EC3CF5"/>
    <w:rsid w:val="00EC4911"/>
    <w:rsid w:val="00EC670A"/>
    <w:rsid w:val="00ED017F"/>
    <w:rsid w:val="00ED4DE5"/>
    <w:rsid w:val="00ED6C95"/>
    <w:rsid w:val="00ED7F38"/>
    <w:rsid w:val="00EE02D5"/>
    <w:rsid w:val="00EE1FCA"/>
    <w:rsid w:val="00EE2AA3"/>
    <w:rsid w:val="00EF0654"/>
    <w:rsid w:val="00EF16FA"/>
    <w:rsid w:val="00EF184E"/>
    <w:rsid w:val="00EF24CB"/>
    <w:rsid w:val="00EF359E"/>
    <w:rsid w:val="00EF362C"/>
    <w:rsid w:val="00EF5675"/>
    <w:rsid w:val="00EF5DF0"/>
    <w:rsid w:val="00F016CA"/>
    <w:rsid w:val="00F02E4F"/>
    <w:rsid w:val="00F067AF"/>
    <w:rsid w:val="00F07B1B"/>
    <w:rsid w:val="00F07CE4"/>
    <w:rsid w:val="00F10FD5"/>
    <w:rsid w:val="00F11376"/>
    <w:rsid w:val="00F14696"/>
    <w:rsid w:val="00F14A81"/>
    <w:rsid w:val="00F16020"/>
    <w:rsid w:val="00F1629D"/>
    <w:rsid w:val="00F21879"/>
    <w:rsid w:val="00F220CA"/>
    <w:rsid w:val="00F24CD9"/>
    <w:rsid w:val="00F2562E"/>
    <w:rsid w:val="00F30F82"/>
    <w:rsid w:val="00F32D5F"/>
    <w:rsid w:val="00F3309B"/>
    <w:rsid w:val="00F33355"/>
    <w:rsid w:val="00F33FA5"/>
    <w:rsid w:val="00F343CE"/>
    <w:rsid w:val="00F362E0"/>
    <w:rsid w:val="00F370DC"/>
    <w:rsid w:val="00F41B3A"/>
    <w:rsid w:val="00F42338"/>
    <w:rsid w:val="00F43FB6"/>
    <w:rsid w:val="00F45ABE"/>
    <w:rsid w:val="00F50139"/>
    <w:rsid w:val="00F51C2D"/>
    <w:rsid w:val="00F51C7B"/>
    <w:rsid w:val="00F55834"/>
    <w:rsid w:val="00F56BAE"/>
    <w:rsid w:val="00F57438"/>
    <w:rsid w:val="00F5778B"/>
    <w:rsid w:val="00F60276"/>
    <w:rsid w:val="00F61DF1"/>
    <w:rsid w:val="00F63774"/>
    <w:rsid w:val="00F63F2A"/>
    <w:rsid w:val="00F6540B"/>
    <w:rsid w:val="00F664CB"/>
    <w:rsid w:val="00F66620"/>
    <w:rsid w:val="00F66D57"/>
    <w:rsid w:val="00F66EB6"/>
    <w:rsid w:val="00F678A3"/>
    <w:rsid w:val="00F6793D"/>
    <w:rsid w:val="00F70217"/>
    <w:rsid w:val="00F70631"/>
    <w:rsid w:val="00F707DB"/>
    <w:rsid w:val="00F715E4"/>
    <w:rsid w:val="00F72505"/>
    <w:rsid w:val="00F734E9"/>
    <w:rsid w:val="00F77A66"/>
    <w:rsid w:val="00F825C1"/>
    <w:rsid w:val="00F82837"/>
    <w:rsid w:val="00F8327D"/>
    <w:rsid w:val="00F84689"/>
    <w:rsid w:val="00F87E50"/>
    <w:rsid w:val="00F87F35"/>
    <w:rsid w:val="00F9158A"/>
    <w:rsid w:val="00F92026"/>
    <w:rsid w:val="00F9288B"/>
    <w:rsid w:val="00F95641"/>
    <w:rsid w:val="00F97582"/>
    <w:rsid w:val="00F97A98"/>
    <w:rsid w:val="00FA29A3"/>
    <w:rsid w:val="00FA2DB5"/>
    <w:rsid w:val="00FA4922"/>
    <w:rsid w:val="00FA496A"/>
    <w:rsid w:val="00FA548D"/>
    <w:rsid w:val="00FA7A82"/>
    <w:rsid w:val="00FB21E3"/>
    <w:rsid w:val="00FB280B"/>
    <w:rsid w:val="00FB37E4"/>
    <w:rsid w:val="00FB3B60"/>
    <w:rsid w:val="00FB62C6"/>
    <w:rsid w:val="00FC15FE"/>
    <w:rsid w:val="00FC360E"/>
    <w:rsid w:val="00FC439F"/>
    <w:rsid w:val="00FC53DA"/>
    <w:rsid w:val="00FC7ECF"/>
    <w:rsid w:val="00FD4EDC"/>
    <w:rsid w:val="00FD4FD8"/>
    <w:rsid w:val="00FD5C08"/>
    <w:rsid w:val="00FD67D5"/>
    <w:rsid w:val="00FD78A8"/>
    <w:rsid w:val="00FE02E1"/>
    <w:rsid w:val="00FE1EDC"/>
    <w:rsid w:val="00FE36E8"/>
    <w:rsid w:val="00FE548F"/>
    <w:rsid w:val="00FE67B4"/>
    <w:rsid w:val="00FE79E4"/>
    <w:rsid w:val="00FE7CBE"/>
    <w:rsid w:val="00FE7DDA"/>
    <w:rsid w:val="00FF0ABF"/>
    <w:rsid w:val="00FF1F30"/>
    <w:rsid w:val="00FF2C68"/>
    <w:rsid w:val="00FF505A"/>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262418772">
      <w:bodyDiv w:val="1"/>
      <w:marLeft w:val="0"/>
      <w:marRight w:val="0"/>
      <w:marTop w:val="0"/>
      <w:marBottom w:val="0"/>
      <w:divBdr>
        <w:top w:val="none" w:sz="0" w:space="0" w:color="auto"/>
        <w:left w:val="none" w:sz="0" w:space="0" w:color="auto"/>
        <w:bottom w:val="none" w:sz="0" w:space="0" w:color="auto"/>
        <w:right w:val="none" w:sz="0" w:space="0" w:color="auto"/>
      </w:divBdr>
    </w:div>
    <w:div w:id="310672186">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411808500">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3424F-3F04-4446-9102-C4B15520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4574</TotalTime>
  <Pages>10</Pages>
  <Words>3511</Words>
  <Characters>20015</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zjf.mhc@gmail.com</cp:lastModifiedBy>
  <cp:revision>1322</cp:revision>
  <dcterms:created xsi:type="dcterms:W3CDTF">2018-07-05T06:44:00Z</dcterms:created>
  <dcterms:modified xsi:type="dcterms:W3CDTF">2019-09-30T14:58:00Z</dcterms:modified>
</cp:coreProperties>
</file>