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5079B" w14:textId="77777777" w:rsidR="00246C95" w:rsidRDefault="00246C95" w:rsidP="00923BB5">
      <w:pPr>
        <w:pStyle w:val="BodyText"/>
        <w:jc w:val="center"/>
        <w:rPr>
          <w:rFonts w:ascii="Century Gothic" w:hAnsi="Century Gothic" w:cs="Arial"/>
          <w:color w:val="333333"/>
          <w:sz w:val="28"/>
        </w:rPr>
      </w:pPr>
    </w:p>
    <w:p w14:paraId="33218692" w14:textId="77777777" w:rsidR="00923BB5" w:rsidRDefault="00923BB5" w:rsidP="00923BB5">
      <w:pPr>
        <w:rPr>
          <w:lang w:val="en-US"/>
        </w:rPr>
      </w:pPr>
    </w:p>
    <w:p w14:paraId="283470E6" w14:textId="77777777" w:rsidR="00923BB5" w:rsidRPr="00923BB5" w:rsidRDefault="00923BB5" w:rsidP="00923BB5">
      <w:pPr>
        <w:rPr>
          <w:lang w:val="en-US"/>
        </w:rPr>
      </w:pPr>
    </w:p>
    <w:p w14:paraId="7EDBEF12" w14:textId="77777777" w:rsidR="004F1BAB" w:rsidRPr="00046CEC" w:rsidRDefault="004F1BAB" w:rsidP="00046CEC">
      <w:pPr>
        <w:jc w:val="center"/>
        <w:rPr>
          <w:rFonts w:ascii="Century Gothic" w:hAnsi="Century Gothic" w:cs="Arial"/>
          <w:b/>
          <w:bCs/>
          <w:iCs/>
          <w:color w:val="0079A7"/>
          <w:sz w:val="40"/>
          <w:szCs w:val="40"/>
        </w:rPr>
      </w:pPr>
      <w:r w:rsidRPr="00046CEC">
        <w:rPr>
          <w:rFonts w:ascii="Century Gothic" w:hAnsi="Century Gothic" w:cs="Arial"/>
          <w:b/>
          <w:bCs/>
          <w:iCs/>
          <w:color w:val="0079A7"/>
          <w:sz w:val="40"/>
          <w:szCs w:val="40"/>
        </w:rPr>
        <w:t>ASSIGNMENT COVER SHEET</w:t>
      </w:r>
    </w:p>
    <w:p w14:paraId="566F80FB" w14:textId="77777777" w:rsidR="004F1BAB" w:rsidRPr="00170D29" w:rsidRDefault="004F1BAB" w:rsidP="004F1BAB">
      <w:pPr>
        <w:pStyle w:val="Heading1"/>
        <w:rPr>
          <w:rFonts w:ascii="Century Gothic" w:hAnsi="Century Gothic" w:cs="Arial"/>
          <w:b w:val="0"/>
          <w:bCs/>
          <w:color w:val="333333"/>
          <w:sz w:val="18"/>
          <w:szCs w:val="18"/>
        </w:rPr>
      </w:pPr>
      <w:r w:rsidRPr="00170D29">
        <w:rPr>
          <w:rFonts w:ascii="Century Gothic" w:hAnsi="Century Gothic" w:cs="Arial"/>
          <w:b w:val="0"/>
          <w:bCs/>
          <w:color w:val="333333"/>
          <w:sz w:val="24"/>
          <w:szCs w:val="18"/>
        </w:rPr>
        <w:t>THIS FORM MUST BE AT THE FRONT OF EACH ASSIGNMENT</w:t>
      </w:r>
    </w:p>
    <w:p w14:paraId="0EB413F3" w14:textId="77777777" w:rsidR="004F1BAB" w:rsidRPr="004F1BAB" w:rsidRDefault="004F1BAB" w:rsidP="004F1BAB">
      <w:pPr>
        <w:pStyle w:val="BodyText"/>
        <w:jc w:val="center"/>
        <w:rPr>
          <w:rFonts w:ascii="Century Gothic" w:hAnsi="Century Gothic" w:cs="Arial"/>
          <w:color w:val="333333"/>
        </w:rPr>
      </w:pPr>
    </w:p>
    <w:p w14:paraId="2D6E00EF" w14:textId="77777777" w:rsidR="00046CEC" w:rsidRDefault="00046CEC" w:rsidP="00046CEC">
      <w:pPr>
        <w:pStyle w:val="BodyText"/>
        <w:jc w:val="center"/>
        <w:rPr>
          <w:rFonts w:ascii="Century Gothic" w:hAnsi="Century Gothic" w:cs="Arial"/>
          <w:color w:val="333333"/>
        </w:rPr>
      </w:pPr>
    </w:p>
    <w:p w14:paraId="70269861" w14:textId="77777777" w:rsidR="004F1BAB" w:rsidRPr="00046CEC" w:rsidRDefault="004F1BAB" w:rsidP="004F1BAB">
      <w:pPr>
        <w:pStyle w:val="BodyText"/>
        <w:jc w:val="center"/>
        <w:rPr>
          <w:rFonts w:ascii="Century Gothic" w:hAnsi="Century Gothic" w:cs="Arial"/>
          <w:b/>
          <w:bCs/>
          <w:color w:val="333333"/>
          <w:sz w:val="22"/>
          <w:szCs w:val="28"/>
        </w:rPr>
      </w:pPr>
      <w:r w:rsidRPr="00046CEC">
        <w:rPr>
          <w:rFonts w:ascii="Century Gothic" w:hAnsi="Century Gothic" w:cs="Arial"/>
          <w:b/>
          <w:bCs/>
          <w:color w:val="333333"/>
          <w:sz w:val="24"/>
          <w:szCs w:val="32"/>
        </w:rPr>
        <w:t>CANDIDATES MUST KEEP A COPY OF THEIR ASSIGNMENT</w:t>
      </w:r>
    </w:p>
    <w:p w14:paraId="13B0ACFD" w14:textId="77777777" w:rsidR="004F1BAB" w:rsidRDefault="004F1BAB" w:rsidP="004F1BAB">
      <w:pPr>
        <w:rPr>
          <w:rFonts w:ascii="Century Gothic" w:hAnsi="Century Gothic"/>
          <w:color w:val="333333"/>
        </w:rPr>
      </w:pPr>
    </w:p>
    <w:p w14:paraId="7BE9212D" w14:textId="77777777" w:rsidR="00923BB5" w:rsidRPr="004F1BAB" w:rsidRDefault="00923BB5" w:rsidP="004F1BAB">
      <w:pPr>
        <w:rPr>
          <w:rFonts w:ascii="Century Gothic" w:hAnsi="Century Gothic"/>
          <w:color w:val="333333"/>
        </w:rPr>
      </w:pPr>
    </w:p>
    <w:p w14:paraId="39AAAF30" w14:textId="77777777" w:rsidR="004F1BAB" w:rsidRPr="00DC62E7" w:rsidRDefault="004F1BAB" w:rsidP="004F1BAB">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sidR="00DC62E7">
        <w:rPr>
          <w:rFonts w:ascii="Century Gothic" w:hAnsi="Century Gothic" w:cs="Arial"/>
          <w:b/>
          <w:bCs/>
          <w:iCs/>
          <w:color w:val="0079A7"/>
        </w:rPr>
        <w:t xml:space="preserve"> (and update details in header</w:t>
      </w:r>
      <w:r w:rsidR="00170D29">
        <w:rPr>
          <w:rFonts w:ascii="Century Gothic" w:hAnsi="Century Gothic" w:cs="Arial"/>
          <w:b/>
          <w:bCs/>
          <w:iCs/>
          <w:color w:val="0079A7"/>
        </w:rPr>
        <w:t>)</w:t>
      </w:r>
      <w:r w:rsidRPr="00DC62E7">
        <w:rPr>
          <w:rFonts w:ascii="Century Gothic" w:hAnsi="Century Gothic" w:cs="Arial"/>
          <w:b/>
          <w:bCs/>
          <w:iCs/>
          <w:color w:val="0079A7"/>
        </w:rPr>
        <w:t>:</w:t>
      </w:r>
    </w:p>
    <w:p w14:paraId="640F9762" w14:textId="77777777" w:rsidR="004F1BAB" w:rsidRDefault="004F1BAB" w:rsidP="004F1BAB">
      <w:pPr>
        <w:tabs>
          <w:tab w:val="left" w:pos="6675"/>
        </w:tabs>
        <w:rPr>
          <w:rFonts w:ascii="Century Gothic" w:hAnsi="Century Gothic" w:cs="Arial"/>
          <w:b/>
          <w:bCs/>
          <w:color w:val="333333"/>
        </w:rPr>
      </w:pPr>
    </w:p>
    <w:p w14:paraId="452F675D" w14:textId="77777777" w:rsidR="00170D29" w:rsidRPr="004F1BAB" w:rsidRDefault="00170D29" w:rsidP="004F1BAB">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046CEC" w:rsidRPr="00953343" w14:paraId="0E8F9559" w14:textId="77777777" w:rsidTr="00953343">
        <w:trPr>
          <w:trHeight w:val="608"/>
        </w:trPr>
        <w:tc>
          <w:tcPr>
            <w:tcW w:w="4621" w:type="dxa"/>
            <w:shd w:val="clear" w:color="auto" w:fill="auto"/>
          </w:tcPr>
          <w:p w14:paraId="469D2FAE"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00280FE3" w:rsidRPr="00280FE3">
              <w:rPr>
                <w:rFonts w:ascii="Century Gothic" w:hAnsi="Century Gothic"/>
                <w:noProof/>
                <w:sz w:val="22"/>
                <w:szCs w:val="22"/>
                <w:lang w:eastAsia="en-AU"/>
              </w:rPr>
              <w:t>192457</w:t>
            </w:r>
          </w:p>
        </w:tc>
        <w:tc>
          <w:tcPr>
            <w:tcW w:w="4622" w:type="dxa"/>
            <w:shd w:val="clear" w:color="auto" w:fill="auto"/>
          </w:tcPr>
          <w:p w14:paraId="173AF856" w14:textId="77777777" w:rsidR="00046CEC" w:rsidRPr="00953343" w:rsidRDefault="00046CEC" w:rsidP="00046CEC">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sidR="00280FE3" w:rsidRPr="00923BB5">
              <w:rPr>
                <w:rFonts w:ascii="Century Gothic" w:hAnsi="Century Gothic"/>
                <w:noProof/>
                <w:sz w:val="22"/>
                <w:szCs w:val="22"/>
                <w:lang w:eastAsia="en-AU"/>
              </w:rPr>
              <w:t>C</w:t>
            </w:r>
            <w:r w:rsidR="00280FE3">
              <w:rPr>
                <w:rFonts w:ascii="Century Gothic" w:hAnsi="Century Gothic"/>
                <w:noProof/>
                <w:sz w:val="22"/>
                <w:szCs w:val="22"/>
                <w:lang w:eastAsia="en-AU"/>
              </w:rPr>
              <w:t>2B</w:t>
            </w:r>
            <w:r w:rsidR="00280FE3"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4C55B1B7" w14:textId="77777777" w:rsidR="00046CEC" w:rsidRPr="00953343" w:rsidRDefault="00046CEC" w:rsidP="004F1BAB">
            <w:pPr>
              <w:rPr>
                <w:rFonts w:ascii="Century Gothic" w:hAnsi="Century Gothic" w:cs="Arial"/>
                <w:b/>
                <w:bCs/>
                <w:color w:val="333333"/>
              </w:rPr>
            </w:pPr>
          </w:p>
        </w:tc>
      </w:tr>
      <w:tr w:rsidR="00046CEC" w:rsidRPr="00953343" w14:paraId="3E08499B" w14:textId="77777777" w:rsidTr="00953343">
        <w:tc>
          <w:tcPr>
            <w:tcW w:w="9243" w:type="dxa"/>
            <w:gridSpan w:val="2"/>
            <w:shd w:val="clear" w:color="auto" w:fill="auto"/>
          </w:tcPr>
          <w:p w14:paraId="35611EF8" w14:textId="77777777" w:rsidR="00046CEC" w:rsidRPr="00953343" w:rsidRDefault="00046CEC" w:rsidP="004F1BAB">
            <w:pPr>
              <w:rPr>
                <w:rFonts w:ascii="Century Gothic" w:hAnsi="Century Gothic" w:cs="Arial"/>
                <w:b/>
                <w:bCs/>
                <w:color w:val="333333"/>
                <w:sz w:val="22"/>
                <w:szCs w:val="22"/>
              </w:rPr>
            </w:pPr>
          </w:p>
          <w:p w14:paraId="69EDED4D"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Monday 19 August 2019 at 9.00am (AEST)</w:t>
            </w:r>
          </w:p>
          <w:p w14:paraId="67B5A1AD" w14:textId="77777777" w:rsidR="00046CEC" w:rsidRPr="00953343" w:rsidRDefault="00046CEC" w:rsidP="004F1BAB">
            <w:pPr>
              <w:rPr>
                <w:rFonts w:ascii="Century Gothic" w:hAnsi="Century Gothic" w:cs="Arial"/>
                <w:b/>
                <w:bCs/>
                <w:color w:val="333333"/>
                <w:sz w:val="22"/>
                <w:szCs w:val="22"/>
              </w:rPr>
            </w:pPr>
          </w:p>
        </w:tc>
      </w:tr>
    </w:tbl>
    <w:p w14:paraId="5EFC9E64" w14:textId="77777777" w:rsidR="00046CEC" w:rsidRDefault="00046CEC" w:rsidP="004F1BAB">
      <w:pPr>
        <w:rPr>
          <w:rFonts w:ascii="Century Gothic" w:hAnsi="Century Gothic" w:cs="Arial"/>
          <w:b/>
          <w:bCs/>
          <w:color w:val="333333"/>
        </w:rPr>
      </w:pPr>
    </w:p>
    <w:p w14:paraId="1C554F6D" w14:textId="77777777" w:rsidR="00170D29" w:rsidRPr="00170D29" w:rsidRDefault="00170D29" w:rsidP="00170D29">
      <w:pPr>
        <w:numPr>
          <w:ilvl w:val="0"/>
          <w:numId w:val="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14:paraId="0FD4CE0F" w14:textId="77777777" w:rsidR="00170D29" w:rsidRPr="00170D29" w:rsidRDefault="00170D29" w:rsidP="00170D29">
      <w:pPr>
        <w:rPr>
          <w:rFonts w:ascii="Century Gothic" w:hAnsi="Century Gothic" w:cs="Arial"/>
          <w:b/>
          <w:bCs/>
          <w:color w:val="333333"/>
        </w:rPr>
      </w:pPr>
    </w:p>
    <w:p w14:paraId="71F1D789" w14:textId="77777777" w:rsidR="00170D29" w:rsidRPr="00170D29" w:rsidRDefault="00170D29" w:rsidP="00170D29">
      <w:pPr>
        <w:pStyle w:val="BodyText"/>
        <w:numPr>
          <w:ilvl w:val="0"/>
          <w:numId w:val="4"/>
        </w:numPr>
        <w:ind w:left="360"/>
        <w:jc w:val="left"/>
        <w:rPr>
          <w:rFonts w:ascii="Century Gothic" w:hAnsi="Century Gothic" w:cs="Arial"/>
          <w:b/>
          <w:bCs/>
          <w:color w:val="333333"/>
        </w:rPr>
      </w:pPr>
      <w:r w:rsidRPr="00170D29">
        <w:rPr>
          <w:rFonts w:ascii="Century Gothic" w:hAnsi="Century Gothic" w:cs="Arial"/>
          <w:b/>
          <w:bCs/>
          <w:color w:val="333333"/>
        </w:rPr>
        <w:t>By completing and submitting this cover sheet you are confirming that this assignment is your own work, and all material that is used is correctly referenced and cited.</w:t>
      </w:r>
    </w:p>
    <w:p w14:paraId="65E6848D" w14:textId="77777777" w:rsidR="00046CEC" w:rsidRDefault="00046CEC" w:rsidP="004F1BAB">
      <w:pPr>
        <w:rPr>
          <w:rFonts w:ascii="Century Gothic" w:hAnsi="Century Gothic" w:cs="Arial"/>
          <w:b/>
          <w:bCs/>
          <w:color w:val="333333"/>
        </w:rPr>
      </w:pPr>
    </w:p>
    <w:p w14:paraId="5777F0B6" w14:textId="77777777" w:rsidR="00046CEC" w:rsidRDefault="00046CEC" w:rsidP="004F1BAB">
      <w:pPr>
        <w:rPr>
          <w:rFonts w:ascii="Century Gothic" w:hAnsi="Century Gothic" w:cs="Arial"/>
          <w:b/>
          <w:bCs/>
          <w:color w:val="333333"/>
        </w:rPr>
      </w:pPr>
    </w:p>
    <w:p w14:paraId="2F5A47A4" w14:textId="77777777" w:rsidR="00046CEC" w:rsidRDefault="00046CEC" w:rsidP="004F1BAB">
      <w:pPr>
        <w:rPr>
          <w:rFonts w:ascii="Century Gothic" w:hAnsi="Century Gothic" w:cs="Arial"/>
          <w:b/>
          <w:bCs/>
          <w:color w:val="333333"/>
        </w:rPr>
      </w:pPr>
    </w:p>
    <w:p w14:paraId="357B2A08" w14:textId="77777777" w:rsidR="00046CEC" w:rsidRDefault="00046CEC" w:rsidP="004F1BAB">
      <w:pPr>
        <w:rPr>
          <w:rFonts w:ascii="Century Gothic" w:hAnsi="Century Gothic" w:cs="Arial"/>
          <w:b/>
          <w:bCs/>
          <w:color w:val="333333"/>
        </w:rPr>
      </w:pPr>
    </w:p>
    <w:p w14:paraId="51084B5F" w14:textId="77777777" w:rsidR="00046CEC" w:rsidRDefault="00046CEC" w:rsidP="004F1BAB">
      <w:pPr>
        <w:rPr>
          <w:rFonts w:ascii="Century Gothic" w:hAnsi="Century Gothic" w:cs="Arial"/>
          <w:b/>
          <w:bCs/>
          <w:color w:val="333333"/>
        </w:rPr>
      </w:pPr>
    </w:p>
    <w:p w14:paraId="46406CE1" w14:textId="77777777" w:rsidR="00046CEC" w:rsidRDefault="00046CEC" w:rsidP="00280FE3">
      <w:pPr>
        <w:jc w:val="center"/>
        <w:rPr>
          <w:rFonts w:ascii="Century Gothic" w:hAnsi="Century Gothic" w:cs="Arial"/>
          <w:b/>
          <w:bCs/>
          <w:color w:val="333333"/>
        </w:rPr>
      </w:pPr>
    </w:p>
    <w:p w14:paraId="309DC6C3" w14:textId="77777777" w:rsidR="00046CEC" w:rsidRDefault="00046CEC" w:rsidP="004F1BAB">
      <w:pPr>
        <w:rPr>
          <w:rFonts w:ascii="Century Gothic" w:hAnsi="Century Gothic" w:cs="Arial"/>
          <w:b/>
          <w:bCs/>
          <w:color w:val="333333"/>
        </w:rPr>
      </w:pPr>
    </w:p>
    <w:p w14:paraId="2FDEE435" w14:textId="77777777" w:rsidR="00923BB5" w:rsidRDefault="00923BB5" w:rsidP="004F1BAB">
      <w:pPr>
        <w:rPr>
          <w:rFonts w:ascii="Century Gothic" w:hAnsi="Century Gothic" w:cs="Arial"/>
          <w:b/>
          <w:bCs/>
          <w:color w:val="333333"/>
        </w:rPr>
      </w:pPr>
    </w:p>
    <w:p w14:paraId="14E59608" w14:textId="77777777" w:rsidR="00923BB5" w:rsidRDefault="00923BB5" w:rsidP="004F1BAB">
      <w:pPr>
        <w:rPr>
          <w:rFonts w:ascii="Century Gothic" w:hAnsi="Century Gothic" w:cs="Arial"/>
          <w:b/>
          <w:bCs/>
          <w:color w:val="333333"/>
        </w:rPr>
      </w:pPr>
    </w:p>
    <w:p w14:paraId="46B95D0A" w14:textId="77777777" w:rsidR="00923BB5" w:rsidRDefault="00923BB5" w:rsidP="004F1BAB">
      <w:pPr>
        <w:rPr>
          <w:rFonts w:ascii="Century Gothic" w:hAnsi="Century Gothic" w:cs="Arial"/>
          <w:b/>
          <w:bCs/>
          <w:color w:val="333333"/>
        </w:rPr>
      </w:pPr>
    </w:p>
    <w:p w14:paraId="503321F2" w14:textId="77777777" w:rsidR="00923BB5" w:rsidRDefault="00923BB5" w:rsidP="004F1BAB">
      <w:pPr>
        <w:rPr>
          <w:rFonts w:ascii="Century Gothic" w:hAnsi="Century Gothic" w:cs="Arial"/>
          <w:b/>
          <w:bCs/>
          <w:color w:val="333333"/>
        </w:rPr>
      </w:pPr>
    </w:p>
    <w:p w14:paraId="54AA2E89" w14:textId="77777777" w:rsidR="00923BB5" w:rsidRDefault="00923BB5" w:rsidP="004F1BAB">
      <w:pPr>
        <w:rPr>
          <w:rFonts w:ascii="Century Gothic" w:hAnsi="Century Gothic" w:cs="Arial"/>
          <w:b/>
          <w:bCs/>
          <w:color w:val="333333"/>
        </w:rPr>
      </w:pPr>
    </w:p>
    <w:p w14:paraId="1FC80DA5" w14:textId="77777777" w:rsidR="00046CEC" w:rsidRPr="00923BB5" w:rsidRDefault="00046CEC" w:rsidP="004F1BAB">
      <w:pPr>
        <w:rPr>
          <w:rFonts w:ascii="Century Gothic" w:hAnsi="Century Gothic" w:cs="Arial"/>
          <w:b/>
          <w:bCs/>
          <w:color w:val="333333"/>
          <w:sz w:val="24"/>
          <w:szCs w:val="24"/>
        </w:rPr>
      </w:pPr>
      <w:r w:rsidRPr="00923BB5">
        <w:rPr>
          <w:rFonts w:ascii="Century Gothic" w:hAnsi="Century Gothic" w:cs="Arial"/>
          <w:b/>
          <w:bCs/>
          <w:color w:val="333333"/>
          <w:sz w:val="24"/>
          <w:szCs w:val="24"/>
        </w:rPr>
        <w:t xml:space="preserve">INTERNAL USE ONLY: </w:t>
      </w:r>
    </w:p>
    <w:p w14:paraId="58C03E8B" w14:textId="77777777" w:rsidR="00046CEC" w:rsidRDefault="00046CEC" w:rsidP="004F1BAB">
      <w:pPr>
        <w:rPr>
          <w:rFonts w:ascii="Century Gothic" w:hAnsi="Century Gothic" w:cs="Arial"/>
          <w:b/>
          <w:bCs/>
          <w:color w:val="0079A7"/>
        </w:rPr>
      </w:pPr>
    </w:p>
    <w:p w14:paraId="622C3EE6" w14:textId="77777777" w:rsidR="004F1BAB" w:rsidRPr="00DC62E7" w:rsidRDefault="00DC62E7" w:rsidP="004F1BAB">
      <w:pPr>
        <w:rPr>
          <w:rFonts w:ascii="Century Gothic" w:hAnsi="Century Gothic" w:cs="Arial"/>
          <w:b/>
          <w:bCs/>
          <w:color w:val="0079A7"/>
        </w:rPr>
      </w:pPr>
      <w:r>
        <w:rPr>
          <w:rFonts w:ascii="Century Gothic" w:hAnsi="Century Gothic" w:cs="Arial"/>
          <w:b/>
          <w:bCs/>
          <w:color w:val="0079A7"/>
        </w:rPr>
        <w:t xml:space="preserve">Assignment </w:t>
      </w:r>
      <w:r w:rsidR="004F1BAB" w:rsidRPr="00DC62E7">
        <w:rPr>
          <w:rFonts w:ascii="Century Gothic" w:hAnsi="Century Gothic" w:cs="Arial"/>
          <w:b/>
          <w:bCs/>
          <w:color w:val="0079A7"/>
        </w:rPr>
        <w:t>M</w:t>
      </w:r>
      <w:r>
        <w:rPr>
          <w:rFonts w:ascii="Century Gothic" w:hAnsi="Century Gothic" w:cs="Arial"/>
          <w:b/>
          <w:bCs/>
          <w:color w:val="0079A7"/>
        </w:rPr>
        <w:t>arker</w:t>
      </w:r>
      <w:r w:rsidR="004F1BAB" w:rsidRPr="00DC62E7">
        <w:rPr>
          <w:rFonts w:ascii="Century Gothic" w:hAnsi="Century Gothic" w:cs="Arial"/>
          <w:b/>
          <w:bCs/>
          <w:color w:val="0079A7"/>
        </w:rPr>
        <w:t xml:space="preserve"> to complete</w:t>
      </w:r>
      <w:r w:rsidR="00D553EC">
        <w:rPr>
          <w:rFonts w:ascii="Century Gothic" w:hAnsi="Century Gothic" w:cs="Arial"/>
          <w:b/>
          <w:bCs/>
          <w:color w:val="0079A7"/>
        </w:rPr>
        <w:t xml:space="preserve"> and update</w:t>
      </w:r>
      <w:r w:rsidR="004F1BAB" w:rsidRPr="00DC62E7">
        <w:rPr>
          <w:rFonts w:ascii="Century Gothic" w:hAnsi="Century Gothic" w:cs="Arial"/>
          <w:b/>
          <w:bCs/>
          <w:color w:val="0079A7"/>
        </w:rPr>
        <w:t xml:space="preserve"> the following section:</w:t>
      </w:r>
    </w:p>
    <w:p w14:paraId="5675E6AE" w14:textId="77777777" w:rsidR="004F1BAB" w:rsidRPr="004F1BAB" w:rsidRDefault="004F1BAB" w:rsidP="004F1BAB">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046CEC" w:rsidRPr="004F1BAB" w14:paraId="45D79DDF" w14:textId="77777777" w:rsidTr="00046CEC">
        <w:trPr>
          <w:trHeight w:val="25"/>
        </w:trPr>
        <w:tc>
          <w:tcPr>
            <w:tcW w:w="9284" w:type="dxa"/>
            <w:vAlign w:val="center"/>
          </w:tcPr>
          <w:p w14:paraId="041F74FC" w14:textId="77777777" w:rsidR="00046CEC" w:rsidRPr="004F1BAB" w:rsidRDefault="00046CEC" w:rsidP="00223E70">
            <w:pPr>
              <w:spacing w:before="40" w:after="40"/>
              <w:rPr>
                <w:rFonts w:ascii="Century Gothic" w:hAnsi="Century Gothic" w:cs="Arial"/>
                <w:b/>
                <w:color w:val="333333"/>
              </w:rPr>
            </w:pPr>
            <w:r w:rsidRPr="004F1BAB">
              <w:rPr>
                <w:rFonts w:ascii="Century Gothic" w:hAnsi="Century Gothic" w:cs="Arial"/>
                <w:b/>
                <w:color w:val="333333"/>
              </w:rPr>
              <w:t>Comments</w:t>
            </w:r>
            <w:r w:rsidR="00923BB5">
              <w:rPr>
                <w:rFonts w:ascii="Century Gothic" w:hAnsi="Century Gothic" w:cs="Arial"/>
                <w:b/>
                <w:color w:val="333333"/>
              </w:rPr>
              <w:t xml:space="preserve"> on Questions</w:t>
            </w:r>
          </w:p>
        </w:tc>
      </w:tr>
      <w:tr w:rsidR="00046CEC" w:rsidRPr="004F1BAB" w14:paraId="7F7E6A6D" w14:textId="77777777" w:rsidTr="00046CEC">
        <w:trPr>
          <w:trHeight w:val="751"/>
        </w:trPr>
        <w:tc>
          <w:tcPr>
            <w:tcW w:w="9284" w:type="dxa"/>
            <w:vAlign w:val="center"/>
          </w:tcPr>
          <w:p w14:paraId="7BD041EF" w14:textId="77777777" w:rsidR="00046CEC" w:rsidRPr="004F1BAB" w:rsidRDefault="00046CEC" w:rsidP="00223E70">
            <w:pPr>
              <w:spacing w:before="40" w:after="40"/>
              <w:rPr>
                <w:rFonts w:ascii="Century Gothic" w:hAnsi="Century Gothic" w:cs="Arial"/>
                <w:color w:val="333333"/>
              </w:rPr>
            </w:pPr>
          </w:p>
        </w:tc>
      </w:tr>
    </w:tbl>
    <w:p w14:paraId="2FC5DA80" w14:textId="77777777" w:rsidR="004F1BAB" w:rsidRDefault="004F1BAB" w:rsidP="00923BB5">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923BB5" w:rsidRPr="004F1BAB" w14:paraId="6D5A19C3" w14:textId="77777777" w:rsidTr="00953343">
        <w:trPr>
          <w:trHeight w:val="25"/>
        </w:trPr>
        <w:tc>
          <w:tcPr>
            <w:tcW w:w="9284" w:type="dxa"/>
            <w:vAlign w:val="center"/>
          </w:tcPr>
          <w:p w14:paraId="545C2090" w14:textId="77777777" w:rsidR="00923BB5" w:rsidRPr="004F1BAB" w:rsidRDefault="00923BB5" w:rsidP="00953343">
            <w:pPr>
              <w:spacing w:before="40" w:after="40"/>
              <w:rPr>
                <w:rFonts w:ascii="Century Gothic" w:hAnsi="Century Gothic" w:cs="Arial"/>
                <w:b/>
                <w:color w:val="333333"/>
              </w:rPr>
            </w:pPr>
            <w:r>
              <w:rPr>
                <w:rFonts w:ascii="Century Gothic" w:hAnsi="Century Gothic" w:cs="Arial"/>
                <w:b/>
                <w:color w:val="333333"/>
              </w:rPr>
              <w:t>Overall Comments</w:t>
            </w:r>
          </w:p>
        </w:tc>
      </w:tr>
      <w:tr w:rsidR="00923BB5" w:rsidRPr="004F1BAB" w14:paraId="44B7919F" w14:textId="77777777" w:rsidTr="00953343">
        <w:trPr>
          <w:trHeight w:val="751"/>
        </w:trPr>
        <w:tc>
          <w:tcPr>
            <w:tcW w:w="9284" w:type="dxa"/>
            <w:vAlign w:val="center"/>
          </w:tcPr>
          <w:p w14:paraId="349B4BCC" w14:textId="77777777" w:rsidR="00923BB5" w:rsidRPr="004F1BAB" w:rsidRDefault="00923BB5" w:rsidP="00953343">
            <w:pPr>
              <w:spacing w:before="40" w:after="40"/>
              <w:rPr>
                <w:rFonts w:ascii="Century Gothic" w:hAnsi="Century Gothic" w:cs="Arial"/>
                <w:color w:val="333333"/>
              </w:rPr>
            </w:pPr>
          </w:p>
        </w:tc>
      </w:tr>
    </w:tbl>
    <w:p w14:paraId="515A69A9" w14:textId="77777777" w:rsidR="000F5C35" w:rsidRDefault="000F5C35" w:rsidP="00923BB5">
      <w:pPr>
        <w:spacing w:before="120" w:after="120"/>
        <w:rPr>
          <w:rFonts w:ascii="Century Gothic" w:hAnsi="Century Gothic" w:cs="Arial"/>
          <w:b/>
          <w:bCs/>
          <w:color w:val="333333"/>
        </w:rPr>
      </w:pPr>
    </w:p>
    <w:p w14:paraId="14945DA0" w14:textId="77777777" w:rsidR="000F5C35" w:rsidRPr="0087767B" w:rsidRDefault="000F5C35" w:rsidP="0087767B">
      <w:pPr>
        <w:spacing w:before="120" w:after="120"/>
        <w:rPr>
          <w:rFonts w:ascii="Century Gothic" w:hAnsi="Century Gothic" w:cs="Arial"/>
          <w:b/>
          <w:bCs/>
          <w:color w:val="333333"/>
          <w:sz w:val="24"/>
        </w:rPr>
      </w:pPr>
      <w:r>
        <w:rPr>
          <w:rFonts w:ascii="Century Gothic" w:hAnsi="Century Gothic" w:cs="Arial"/>
          <w:b/>
          <w:bCs/>
          <w:color w:val="333333"/>
        </w:rPr>
        <w:br w:type="page"/>
      </w:r>
      <w:r w:rsidR="0087767B" w:rsidRPr="0087767B">
        <w:rPr>
          <w:rFonts w:ascii="Century Gothic" w:hAnsi="Century Gothic" w:cs="Arial"/>
          <w:b/>
          <w:bCs/>
          <w:color w:val="333333"/>
          <w:sz w:val="24"/>
        </w:rPr>
        <w:lastRenderedPageBreak/>
        <w:t>Assignment</w:t>
      </w:r>
    </w:p>
    <w:p w14:paraId="1AD885D0" w14:textId="77777777" w:rsidR="003A1DDB" w:rsidRDefault="0087767B" w:rsidP="0087767B">
      <w:pPr>
        <w:spacing w:before="120" w:after="120"/>
        <w:rPr>
          <w:rFonts w:ascii="Century Gothic" w:hAnsi="Century Gothic" w:cs="Arial"/>
          <w:bCs/>
          <w:color w:val="333333"/>
          <w:sz w:val="24"/>
        </w:rPr>
      </w:pPr>
      <w:r w:rsidRPr="0087767B">
        <w:rPr>
          <w:rFonts w:ascii="Century Gothic" w:hAnsi="Century Gothic" w:cs="Arial"/>
          <w:bCs/>
          <w:color w:val="333333"/>
          <w:sz w:val="24"/>
        </w:rPr>
        <w:t>(a)</w:t>
      </w:r>
      <w:r>
        <w:rPr>
          <w:rFonts w:ascii="Century Gothic" w:hAnsi="Century Gothic" w:cs="Arial"/>
          <w:bCs/>
          <w:color w:val="333333"/>
          <w:sz w:val="24"/>
        </w:rPr>
        <w:t xml:space="preserve"> </w:t>
      </w:r>
      <w:r w:rsidR="00E41E78">
        <w:rPr>
          <w:rFonts w:ascii="Century Gothic" w:hAnsi="Century Gothic" w:cs="Arial"/>
          <w:bCs/>
          <w:color w:val="333333"/>
          <w:sz w:val="24"/>
        </w:rPr>
        <w:t>See spreadsheet.</w:t>
      </w:r>
    </w:p>
    <w:p w14:paraId="7F92495C" w14:textId="77777777" w:rsidR="00E41E78" w:rsidRDefault="00E41E78" w:rsidP="0087767B">
      <w:pPr>
        <w:spacing w:before="120" w:after="120"/>
        <w:rPr>
          <w:rFonts w:ascii="Century Gothic" w:hAnsi="Century Gothic" w:cs="Arial"/>
          <w:bCs/>
          <w:color w:val="333333"/>
          <w:sz w:val="24"/>
        </w:rPr>
      </w:pPr>
    </w:p>
    <w:p w14:paraId="7C59340D" w14:textId="0B970805" w:rsidR="009959E9" w:rsidRDefault="00E41E78" w:rsidP="0087767B">
      <w:pPr>
        <w:spacing w:before="120" w:after="120"/>
        <w:rPr>
          <w:rFonts w:ascii="Century Gothic" w:hAnsi="Century Gothic" w:cs="Arial"/>
          <w:bCs/>
          <w:color w:val="333333"/>
          <w:sz w:val="24"/>
        </w:rPr>
      </w:pPr>
      <w:r>
        <w:rPr>
          <w:rFonts w:ascii="Century Gothic" w:hAnsi="Century Gothic" w:cs="Arial"/>
          <w:bCs/>
          <w:color w:val="333333"/>
          <w:sz w:val="24"/>
        </w:rPr>
        <w:t xml:space="preserve">(b) </w:t>
      </w:r>
      <w:r w:rsidR="003157CA">
        <w:rPr>
          <w:rFonts w:ascii="Century Gothic" w:hAnsi="Century Gothic" w:cs="Arial"/>
          <w:bCs/>
          <w:color w:val="333333"/>
          <w:sz w:val="24"/>
        </w:rPr>
        <w:t>First of all, Green Life needs to ensure its f</w:t>
      </w:r>
      <w:r w:rsidR="009959E9">
        <w:rPr>
          <w:rFonts w:ascii="Century Gothic" w:hAnsi="Century Gothic" w:cs="Arial"/>
          <w:bCs/>
          <w:color w:val="333333"/>
          <w:sz w:val="24"/>
        </w:rPr>
        <w:t>inancial strength</w:t>
      </w:r>
      <w:r w:rsidR="003157CA">
        <w:rPr>
          <w:rFonts w:ascii="Century Gothic" w:hAnsi="Century Gothic" w:cs="Arial"/>
          <w:bCs/>
          <w:color w:val="333333"/>
          <w:sz w:val="24"/>
        </w:rPr>
        <w:t xml:space="preserve"> when deciding crediting rate, especially when </w:t>
      </w:r>
      <w:r w:rsidR="00534181">
        <w:rPr>
          <w:rFonts w:ascii="Century Gothic" w:hAnsi="Century Gothic" w:cs="Arial"/>
          <w:bCs/>
          <w:color w:val="333333"/>
          <w:sz w:val="24"/>
        </w:rPr>
        <w:t>it</w:t>
      </w:r>
      <w:r w:rsidR="003157CA">
        <w:rPr>
          <w:rFonts w:ascii="Century Gothic" w:hAnsi="Century Gothic" w:cs="Arial"/>
          <w:bCs/>
          <w:color w:val="333333"/>
          <w:sz w:val="24"/>
        </w:rPr>
        <w:t xml:space="preserve"> wish</w:t>
      </w:r>
      <w:r w:rsidR="00534181">
        <w:rPr>
          <w:rFonts w:ascii="Century Gothic" w:hAnsi="Century Gothic" w:cs="Arial"/>
          <w:bCs/>
          <w:color w:val="333333"/>
          <w:sz w:val="24"/>
        </w:rPr>
        <w:t>es</w:t>
      </w:r>
      <w:r w:rsidR="003157CA">
        <w:rPr>
          <w:rFonts w:ascii="Century Gothic" w:hAnsi="Century Gothic" w:cs="Arial"/>
          <w:bCs/>
          <w:color w:val="333333"/>
          <w:sz w:val="24"/>
        </w:rPr>
        <w:t xml:space="preserve"> to credit more than what </w:t>
      </w:r>
      <w:r w:rsidR="00534181">
        <w:rPr>
          <w:rFonts w:ascii="Century Gothic" w:hAnsi="Century Gothic" w:cs="Arial"/>
          <w:bCs/>
          <w:color w:val="333333"/>
          <w:sz w:val="24"/>
        </w:rPr>
        <w:t>it</w:t>
      </w:r>
      <w:r w:rsidR="003157CA">
        <w:rPr>
          <w:rFonts w:ascii="Century Gothic" w:hAnsi="Century Gothic" w:cs="Arial"/>
          <w:bCs/>
          <w:color w:val="333333"/>
          <w:sz w:val="24"/>
        </w:rPr>
        <w:t xml:space="preserve"> actually earn</w:t>
      </w:r>
      <w:r w:rsidR="00534181">
        <w:rPr>
          <w:rFonts w:ascii="Century Gothic" w:hAnsi="Century Gothic" w:cs="Arial"/>
          <w:bCs/>
          <w:color w:val="333333"/>
          <w:sz w:val="24"/>
        </w:rPr>
        <w:t>s</w:t>
      </w:r>
      <w:r w:rsidR="003157CA">
        <w:rPr>
          <w:rFonts w:ascii="Century Gothic" w:hAnsi="Century Gothic" w:cs="Arial"/>
          <w:bCs/>
          <w:color w:val="333333"/>
          <w:sz w:val="24"/>
        </w:rPr>
        <w:t xml:space="preserve"> on its investment.</w:t>
      </w:r>
    </w:p>
    <w:p w14:paraId="6FECBFF2" w14:textId="77777777" w:rsidR="009959E9" w:rsidRDefault="009959E9" w:rsidP="0087767B">
      <w:pPr>
        <w:spacing w:before="120" w:after="120"/>
        <w:rPr>
          <w:rFonts w:ascii="Century Gothic" w:hAnsi="Century Gothic" w:cs="Arial"/>
          <w:bCs/>
          <w:color w:val="333333"/>
          <w:sz w:val="24"/>
        </w:rPr>
      </w:pPr>
    </w:p>
    <w:p w14:paraId="2A155598" w14:textId="5D4A90BF" w:rsidR="00E41E78" w:rsidRDefault="00B605A9" w:rsidP="0087767B">
      <w:pPr>
        <w:spacing w:before="120" w:after="120"/>
        <w:rPr>
          <w:rFonts w:ascii="Century Gothic" w:hAnsi="Century Gothic" w:cs="Arial"/>
          <w:bCs/>
          <w:color w:val="333333"/>
          <w:sz w:val="24"/>
        </w:rPr>
      </w:pPr>
      <w:r>
        <w:rPr>
          <w:rFonts w:ascii="Century Gothic" w:hAnsi="Century Gothic" w:cs="Arial"/>
          <w:bCs/>
          <w:color w:val="333333"/>
          <w:sz w:val="24"/>
        </w:rPr>
        <w:t xml:space="preserve">Consideration </w:t>
      </w:r>
      <w:r w:rsidR="00422912">
        <w:rPr>
          <w:rFonts w:ascii="Century Gothic" w:hAnsi="Century Gothic" w:cs="Arial"/>
          <w:bCs/>
          <w:color w:val="333333"/>
          <w:sz w:val="24"/>
        </w:rPr>
        <w:t xml:space="preserve">also </w:t>
      </w:r>
      <w:r>
        <w:rPr>
          <w:rFonts w:ascii="Century Gothic" w:hAnsi="Century Gothic" w:cs="Arial"/>
          <w:bCs/>
          <w:color w:val="333333"/>
          <w:sz w:val="24"/>
        </w:rPr>
        <w:t>needs to be given to p</w:t>
      </w:r>
      <w:r w:rsidR="007A110D">
        <w:rPr>
          <w:rFonts w:ascii="Century Gothic" w:hAnsi="Century Gothic" w:cs="Arial"/>
          <w:bCs/>
          <w:color w:val="333333"/>
          <w:sz w:val="24"/>
        </w:rPr>
        <w:t>olicy</w:t>
      </w:r>
      <w:r w:rsidR="00121309">
        <w:rPr>
          <w:rFonts w:ascii="Century Gothic" w:hAnsi="Century Gothic" w:cs="Arial"/>
          <w:bCs/>
          <w:color w:val="333333"/>
          <w:sz w:val="24"/>
        </w:rPr>
        <w:t xml:space="preserve"> </w:t>
      </w:r>
      <w:r w:rsidR="00121309" w:rsidRPr="00DD1451">
        <w:rPr>
          <w:rFonts w:ascii="Century Gothic" w:hAnsi="Century Gothic" w:cs="Arial"/>
          <w:bCs/>
          <w:color w:val="333333"/>
          <w:sz w:val="24"/>
        </w:rPr>
        <w:t>owners</w:t>
      </w:r>
      <w:r w:rsidR="00121309">
        <w:rPr>
          <w:rFonts w:ascii="Century Gothic" w:hAnsi="Century Gothic" w:cs="Arial"/>
          <w:bCs/>
          <w:color w:val="333333"/>
          <w:sz w:val="24"/>
        </w:rPr>
        <w:t>’</w:t>
      </w:r>
      <w:r w:rsidR="007A110D">
        <w:rPr>
          <w:rFonts w:ascii="Century Gothic" w:hAnsi="Century Gothic" w:cs="Arial"/>
          <w:bCs/>
          <w:color w:val="333333"/>
          <w:sz w:val="24"/>
        </w:rPr>
        <w:t xml:space="preserve"> </w:t>
      </w:r>
      <w:r w:rsidR="00DD1451">
        <w:rPr>
          <w:rFonts w:ascii="Century Gothic" w:hAnsi="Century Gothic" w:cs="Arial"/>
          <w:bCs/>
          <w:color w:val="333333"/>
          <w:sz w:val="24"/>
        </w:rPr>
        <w:t xml:space="preserve">reasonable </w:t>
      </w:r>
      <w:r w:rsidR="007A110D">
        <w:rPr>
          <w:rFonts w:ascii="Century Gothic" w:hAnsi="Century Gothic" w:cs="Arial"/>
          <w:bCs/>
          <w:color w:val="333333"/>
          <w:sz w:val="24"/>
        </w:rPr>
        <w:t>expectation</w:t>
      </w:r>
      <w:r w:rsidR="00DD1451">
        <w:rPr>
          <w:rFonts w:ascii="Century Gothic" w:hAnsi="Century Gothic" w:cs="Arial"/>
          <w:bCs/>
          <w:color w:val="333333"/>
          <w:sz w:val="24"/>
        </w:rPr>
        <w:t xml:space="preserve"> </w:t>
      </w:r>
      <w:r>
        <w:rPr>
          <w:rFonts w:ascii="Century Gothic" w:hAnsi="Century Gothic" w:cs="Arial"/>
          <w:bCs/>
          <w:color w:val="333333"/>
          <w:sz w:val="24"/>
        </w:rPr>
        <w:t xml:space="preserve">which is </w:t>
      </w:r>
      <w:r w:rsidR="00121309">
        <w:rPr>
          <w:rFonts w:ascii="Century Gothic" w:hAnsi="Century Gothic" w:cs="Arial"/>
          <w:bCs/>
          <w:color w:val="333333"/>
          <w:sz w:val="24"/>
        </w:rPr>
        <w:t xml:space="preserve">usually </w:t>
      </w:r>
      <w:r w:rsidR="00DD1451" w:rsidRPr="00DD1451">
        <w:rPr>
          <w:rFonts w:ascii="Century Gothic" w:hAnsi="Century Gothic" w:cs="Arial"/>
          <w:bCs/>
          <w:color w:val="333333"/>
          <w:sz w:val="24"/>
        </w:rPr>
        <w:t xml:space="preserve">based on </w:t>
      </w:r>
      <w:r>
        <w:rPr>
          <w:rFonts w:ascii="Century Gothic" w:hAnsi="Century Gothic" w:cs="Arial"/>
          <w:bCs/>
          <w:color w:val="333333"/>
          <w:sz w:val="24"/>
        </w:rPr>
        <w:t xml:space="preserve">the </w:t>
      </w:r>
      <w:r w:rsidR="00DD1451" w:rsidRPr="00DD1451">
        <w:rPr>
          <w:rFonts w:ascii="Century Gothic" w:hAnsi="Century Gothic" w:cs="Arial"/>
          <w:bCs/>
          <w:color w:val="333333"/>
          <w:sz w:val="24"/>
        </w:rPr>
        <w:t>product disclosure documents</w:t>
      </w:r>
      <w:r w:rsidR="00DD1451">
        <w:rPr>
          <w:rFonts w:ascii="Century Gothic" w:hAnsi="Century Gothic" w:cs="Arial"/>
          <w:bCs/>
          <w:color w:val="333333"/>
          <w:sz w:val="24"/>
        </w:rPr>
        <w:t xml:space="preserve"> </w:t>
      </w:r>
      <w:r>
        <w:rPr>
          <w:rFonts w:ascii="Century Gothic" w:hAnsi="Century Gothic" w:cs="Arial"/>
          <w:bCs/>
          <w:color w:val="333333"/>
          <w:sz w:val="24"/>
        </w:rPr>
        <w:t xml:space="preserve">as well as </w:t>
      </w:r>
      <w:r w:rsidR="00DD1451" w:rsidRPr="00DD1451">
        <w:rPr>
          <w:rFonts w:ascii="Century Gothic" w:hAnsi="Century Gothic" w:cs="Arial"/>
          <w:bCs/>
          <w:color w:val="333333"/>
          <w:sz w:val="24"/>
        </w:rPr>
        <w:t>the past practice of the company</w:t>
      </w:r>
      <w:r w:rsidR="00DD1451">
        <w:rPr>
          <w:rFonts w:ascii="Century Gothic" w:hAnsi="Century Gothic" w:cs="Arial"/>
          <w:bCs/>
          <w:color w:val="333333"/>
          <w:sz w:val="24"/>
        </w:rPr>
        <w:t xml:space="preserve">. </w:t>
      </w:r>
    </w:p>
    <w:p w14:paraId="49D967C9" w14:textId="77777777" w:rsidR="009634C1" w:rsidRDefault="009634C1" w:rsidP="0087767B">
      <w:pPr>
        <w:spacing w:before="120" w:after="120"/>
        <w:rPr>
          <w:rFonts w:ascii="Century Gothic" w:hAnsi="Century Gothic" w:cs="Arial"/>
          <w:bCs/>
          <w:color w:val="333333"/>
          <w:sz w:val="24"/>
        </w:rPr>
      </w:pPr>
    </w:p>
    <w:p w14:paraId="375792EB" w14:textId="18889BA2" w:rsidR="00B555B3" w:rsidRDefault="003510FF" w:rsidP="00B555B3">
      <w:pPr>
        <w:spacing w:before="120" w:after="120"/>
        <w:rPr>
          <w:rFonts w:ascii="Century Gothic" w:hAnsi="Century Gothic" w:cs="Arial"/>
          <w:bCs/>
          <w:color w:val="333333"/>
          <w:sz w:val="24"/>
        </w:rPr>
      </w:pPr>
      <w:r>
        <w:rPr>
          <w:rFonts w:ascii="Century Gothic" w:hAnsi="Century Gothic" w:cs="Arial"/>
          <w:bCs/>
          <w:color w:val="333333"/>
          <w:sz w:val="24"/>
        </w:rPr>
        <w:t>Green Life</w:t>
      </w:r>
      <w:r w:rsidR="003157CA">
        <w:rPr>
          <w:rFonts w:ascii="Century Gothic" w:hAnsi="Century Gothic" w:cs="Arial"/>
          <w:bCs/>
          <w:color w:val="333333"/>
          <w:sz w:val="24"/>
          <w:lang w:val="en-GB"/>
        </w:rPr>
        <w:t xml:space="preserve"> </w:t>
      </w:r>
      <w:r w:rsidR="00B555B3">
        <w:rPr>
          <w:rFonts w:ascii="Century Gothic" w:hAnsi="Century Gothic" w:cs="Arial"/>
          <w:bCs/>
          <w:color w:val="333333"/>
          <w:sz w:val="24"/>
          <w:lang w:val="en-GB"/>
        </w:rPr>
        <w:t xml:space="preserve">needs </w:t>
      </w:r>
      <w:r w:rsidR="003157CA">
        <w:rPr>
          <w:rFonts w:ascii="Century Gothic" w:hAnsi="Century Gothic" w:cs="Arial"/>
          <w:bCs/>
          <w:color w:val="333333"/>
          <w:sz w:val="24"/>
          <w:lang w:val="en-GB"/>
        </w:rPr>
        <w:t xml:space="preserve">to decide the strategy </w:t>
      </w:r>
      <w:r w:rsidR="00090FA0">
        <w:rPr>
          <w:rFonts w:ascii="Century Gothic" w:hAnsi="Century Gothic" w:cs="Arial"/>
          <w:bCs/>
          <w:color w:val="333333"/>
          <w:sz w:val="24"/>
          <w:lang w:val="en-GB"/>
        </w:rPr>
        <w:t>about</w:t>
      </w:r>
      <w:r w:rsidR="003157CA">
        <w:rPr>
          <w:rFonts w:ascii="Century Gothic" w:hAnsi="Century Gothic" w:cs="Arial"/>
          <w:bCs/>
          <w:color w:val="333333"/>
          <w:sz w:val="24"/>
          <w:lang w:val="en-GB"/>
        </w:rPr>
        <w:t xml:space="preserve"> </w:t>
      </w:r>
      <w:r w:rsidR="00DF48ED">
        <w:rPr>
          <w:rFonts w:ascii="Century Gothic" w:hAnsi="Century Gothic" w:cs="Arial"/>
          <w:bCs/>
          <w:color w:val="333333"/>
          <w:sz w:val="24"/>
          <w:lang w:val="en-GB"/>
        </w:rPr>
        <w:t>the way and timing</w:t>
      </w:r>
      <w:r w:rsidR="003157CA">
        <w:rPr>
          <w:rFonts w:ascii="Century Gothic" w:hAnsi="Century Gothic" w:cs="Arial"/>
          <w:bCs/>
          <w:color w:val="333333"/>
          <w:sz w:val="24"/>
          <w:lang w:val="en-GB"/>
        </w:rPr>
        <w:t xml:space="preserve"> to recoup</w:t>
      </w:r>
      <w:r w:rsidR="003157CA" w:rsidRPr="003157CA">
        <w:rPr>
          <w:rFonts w:ascii="Century Gothic" w:hAnsi="Century Gothic" w:cs="Arial"/>
          <w:bCs/>
          <w:color w:val="333333"/>
          <w:sz w:val="24"/>
        </w:rPr>
        <w:t xml:space="preserve"> </w:t>
      </w:r>
      <w:r w:rsidR="003157CA" w:rsidRPr="007A110D">
        <w:rPr>
          <w:rFonts w:ascii="Century Gothic" w:hAnsi="Century Gothic" w:cs="Arial"/>
          <w:bCs/>
          <w:color w:val="333333"/>
          <w:sz w:val="24"/>
        </w:rPr>
        <w:t>the excess of past interest credits over past investment returns</w:t>
      </w:r>
      <w:r w:rsidR="00DF48ED">
        <w:rPr>
          <w:rFonts w:ascii="Century Gothic" w:hAnsi="Century Gothic" w:cs="Arial"/>
          <w:bCs/>
          <w:color w:val="333333"/>
          <w:sz w:val="24"/>
        </w:rPr>
        <w:t>. Although the common practice is</w:t>
      </w:r>
      <w:r w:rsidR="00B555B3">
        <w:rPr>
          <w:rFonts w:ascii="Century Gothic" w:hAnsi="Century Gothic" w:cs="Arial"/>
          <w:bCs/>
          <w:color w:val="333333"/>
          <w:sz w:val="24"/>
        </w:rPr>
        <w:t xml:space="preserve"> crediting less than </w:t>
      </w:r>
      <w:r w:rsidR="00B555B3" w:rsidRPr="007A110D">
        <w:rPr>
          <w:rFonts w:ascii="Century Gothic" w:hAnsi="Century Gothic" w:cs="Arial"/>
          <w:bCs/>
          <w:color w:val="333333"/>
          <w:sz w:val="24"/>
        </w:rPr>
        <w:t>it earns on its investments</w:t>
      </w:r>
      <w:r w:rsidR="00DF48ED">
        <w:rPr>
          <w:rFonts w:ascii="Century Gothic" w:hAnsi="Century Gothic" w:cs="Arial"/>
          <w:bCs/>
          <w:color w:val="333333"/>
          <w:sz w:val="24"/>
          <w:lang w:val="en-GB"/>
        </w:rPr>
        <w:t xml:space="preserve">, </w:t>
      </w:r>
      <w:r w:rsidR="00B555B3">
        <w:rPr>
          <w:rFonts w:ascii="Century Gothic" w:hAnsi="Century Gothic" w:cs="Arial"/>
          <w:bCs/>
          <w:color w:val="333333"/>
          <w:sz w:val="24"/>
          <w:lang w:val="en-GB"/>
        </w:rPr>
        <w:t>its r</w:t>
      </w:r>
      <w:r w:rsidR="003157CA">
        <w:rPr>
          <w:rFonts w:ascii="Century Gothic" w:hAnsi="Century Gothic" w:cs="Arial"/>
          <w:bCs/>
          <w:color w:val="333333"/>
          <w:sz w:val="24"/>
          <w:lang w:val="en-GB"/>
        </w:rPr>
        <w:t xml:space="preserve">eputation could be at stake </w:t>
      </w:r>
      <w:r w:rsidR="00B555B3">
        <w:rPr>
          <w:rFonts w:ascii="Century Gothic" w:hAnsi="Century Gothic" w:cs="Arial"/>
          <w:bCs/>
          <w:color w:val="333333"/>
          <w:sz w:val="24"/>
          <w:lang w:val="en-GB"/>
        </w:rPr>
        <w:t xml:space="preserve">and </w:t>
      </w:r>
      <w:r w:rsidR="00B555B3">
        <w:rPr>
          <w:rFonts w:ascii="Century Gothic" w:hAnsi="Century Gothic" w:cs="Arial"/>
          <w:bCs/>
          <w:color w:val="333333"/>
          <w:sz w:val="24"/>
        </w:rPr>
        <w:t xml:space="preserve">its </w:t>
      </w:r>
      <w:r w:rsidR="00B555B3" w:rsidRPr="007A110D">
        <w:rPr>
          <w:rFonts w:ascii="Century Gothic" w:hAnsi="Century Gothic" w:cs="Arial"/>
          <w:bCs/>
          <w:color w:val="333333"/>
          <w:sz w:val="24"/>
        </w:rPr>
        <w:t xml:space="preserve">future crediting rates </w:t>
      </w:r>
      <w:r w:rsidR="00B555B3">
        <w:rPr>
          <w:rFonts w:ascii="Century Gothic" w:hAnsi="Century Gothic" w:cs="Arial"/>
          <w:bCs/>
          <w:color w:val="333333"/>
          <w:sz w:val="24"/>
        </w:rPr>
        <w:t xml:space="preserve">may become </w:t>
      </w:r>
      <w:r w:rsidR="00B555B3" w:rsidRPr="007A110D">
        <w:rPr>
          <w:rFonts w:ascii="Century Gothic" w:hAnsi="Century Gothic" w:cs="Arial"/>
          <w:bCs/>
          <w:color w:val="333333"/>
          <w:sz w:val="24"/>
        </w:rPr>
        <w:t>uncompetitive.</w:t>
      </w:r>
    </w:p>
    <w:p w14:paraId="109FE481" w14:textId="2F1E455B" w:rsidR="003157CA" w:rsidRPr="00B555B3" w:rsidRDefault="003157CA" w:rsidP="0087767B">
      <w:pPr>
        <w:spacing w:before="120" w:after="120"/>
        <w:rPr>
          <w:rFonts w:ascii="Century Gothic" w:hAnsi="Century Gothic" w:cs="Arial"/>
          <w:bCs/>
          <w:color w:val="333333"/>
          <w:sz w:val="24"/>
        </w:rPr>
      </w:pPr>
    </w:p>
    <w:p w14:paraId="0F8175C6" w14:textId="25CCD1AB" w:rsidR="007A110D" w:rsidRDefault="00B555B3" w:rsidP="0087767B">
      <w:pPr>
        <w:spacing w:before="120" w:after="120"/>
        <w:rPr>
          <w:rFonts w:ascii="Century Gothic" w:hAnsi="Century Gothic" w:cs="Arial"/>
          <w:bCs/>
          <w:color w:val="333333"/>
          <w:sz w:val="24"/>
          <w:lang w:val="en-GB"/>
        </w:rPr>
      </w:pPr>
      <w:r>
        <w:rPr>
          <w:rFonts w:ascii="Century Gothic" w:hAnsi="Century Gothic" w:cs="Arial"/>
          <w:bCs/>
          <w:color w:val="333333"/>
          <w:sz w:val="24"/>
          <w:lang w:val="en-GB"/>
        </w:rPr>
        <w:t xml:space="preserve">The </w:t>
      </w:r>
      <w:r w:rsidRPr="00B555B3">
        <w:rPr>
          <w:rFonts w:ascii="Century Gothic" w:hAnsi="Century Gothic" w:cs="Arial"/>
          <w:bCs/>
          <w:color w:val="333333"/>
          <w:sz w:val="24"/>
          <w:lang w:val="en-GB"/>
        </w:rPr>
        <w:t>crediting philosophy</w:t>
      </w:r>
      <w:r>
        <w:rPr>
          <w:rFonts w:ascii="Century Gothic" w:hAnsi="Century Gothic" w:cs="Arial"/>
          <w:bCs/>
          <w:color w:val="333333"/>
          <w:sz w:val="24"/>
          <w:lang w:val="en-GB"/>
        </w:rPr>
        <w:t xml:space="preserve"> should also be based on the </w:t>
      </w:r>
      <w:r w:rsidR="009634C1" w:rsidRPr="009634C1">
        <w:rPr>
          <w:rFonts w:ascii="Century Gothic" w:hAnsi="Century Gothic" w:cs="Arial"/>
          <w:bCs/>
          <w:color w:val="333333"/>
          <w:sz w:val="24"/>
          <w:lang w:val="en-GB"/>
        </w:rPr>
        <w:t xml:space="preserve">assets backing </w:t>
      </w:r>
      <w:r>
        <w:rPr>
          <w:rFonts w:ascii="Century Gothic" w:hAnsi="Century Gothic" w:cs="Arial"/>
          <w:bCs/>
          <w:color w:val="333333"/>
          <w:sz w:val="24"/>
          <w:lang w:val="en-GB"/>
        </w:rPr>
        <w:t>its</w:t>
      </w:r>
      <w:r w:rsidR="00352982">
        <w:rPr>
          <w:rFonts w:ascii="Century Gothic" w:hAnsi="Century Gothic" w:cs="Arial"/>
          <w:bCs/>
          <w:color w:val="333333"/>
          <w:sz w:val="24"/>
          <w:lang w:val="en-GB"/>
        </w:rPr>
        <w:t xml:space="preserve"> Investment Account </w:t>
      </w:r>
      <w:r>
        <w:rPr>
          <w:rFonts w:ascii="Century Gothic" w:hAnsi="Century Gothic" w:cs="Arial"/>
          <w:bCs/>
          <w:color w:val="333333"/>
          <w:sz w:val="24"/>
          <w:lang w:val="en-GB"/>
        </w:rPr>
        <w:t>business, which shall</w:t>
      </w:r>
      <w:r w:rsidR="009634C1" w:rsidRPr="009634C1">
        <w:rPr>
          <w:rFonts w:ascii="Century Gothic" w:hAnsi="Century Gothic" w:cs="Arial"/>
          <w:bCs/>
          <w:color w:val="333333"/>
          <w:sz w:val="24"/>
          <w:lang w:val="en-GB"/>
        </w:rPr>
        <w:t xml:space="preserve"> be chosen with regard to policy owner reasonable expectations.</w:t>
      </w:r>
    </w:p>
    <w:p w14:paraId="346F53E6" w14:textId="77777777" w:rsidR="009634C1" w:rsidRDefault="009634C1" w:rsidP="0087767B">
      <w:pPr>
        <w:spacing w:before="120" w:after="120"/>
        <w:rPr>
          <w:rFonts w:ascii="Century Gothic" w:hAnsi="Century Gothic" w:cs="Arial"/>
          <w:bCs/>
          <w:color w:val="333333"/>
          <w:sz w:val="24"/>
          <w:lang w:val="en-GB"/>
        </w:rPr>
      </w:pPr>
    </w:p>
    <w:p w14:paraId="378E2FB1" w14:textId="4181F05B" w:rsidR="000204ED" w:rsidRDefault="00B555B3" w:rsidP="0087767B">
      <w:pPr>
        <w:spacing w:before="120" w:after="120"/>
        <w:rPr>
          <w:rFonts w:ascii="Century Gothic" w:hAnsi="Century Gothic" w:cs="Arial"/>
          <w:bCs/>
          <w:color w:val="333333"/>
          <w:sz w:val="24"/>
          <w:lang w:val="en-GB"/>
        </w:rPr>
      </w:pPr>
      <w:r>
        <w:rPr>
          <w:rFonts w:ascii="Century Gothic" w:hAnsi="Century Gothic" w:cs="Arial"/>
          <w:bCs/>
          <w:color w:val="333333"/>
          <w:sz w:val="24"/>
          <w:lang w:val="en-GB"/>
        </w:rPr>
        <w:t xml:space="preserve">It should aim at </w:t>
      </w:r>
      <w:r w:rsidR="000204ED" w:rsidRPr="000204ED">
        <w:rPr>
          <w:rFonts w:ascii="Century Gothic" w:hAnsi="Century Gothic" w:cs="Arial"/>
          <w:bCs/>
          <w:color w:val="333333"/>
          <w:sz w:val="24"/>
          <w:lang w:val="en-GB"/>
        </w:rPr>
        <w:t xml:space="preserve">maintaining </w:t>
      </w:r>
      <w:r>
        <w:rPr>
          <w:rFonts w:ascii="Century Gothic" w:hAnsi="Century Gothic" w:cs="Arial"/>
          <w:bCs/>
          <w:color w:val="333333"/>
          <w:sz w:val="24"/>
          <w:lang w:val="en-GB"/>
        </w:rPr>
        <w:t xml:space="preserve">a </w:t>
      </w:r>
      <w:r w:rsidR="000204ED" w:rsidRPr="000204ED">
        <w:rPr>
          <w:rFonts w:ascii="Century Gothic" w:hAnsi="Century Gothic" w:cs="Arial"/>
          <w:bCs/>
          <w:color w:val="333333"/>
          <w:sz w:val="24"/>
          <w:lang w:val="en-GB"/>
        </w:rPr>
        <w:t xml:space="preserve">consistent, competitive </w:t>
      </w:r>
      <w:r>
        <w:rPr>
          <w:rFonts w:ascii="Century Gothic" w:hAnsi="Century Gothic" w:cs="Arial"/>
          <w:bCs/>
          <w:color w:val="333333"/>
          <w:sz w:val="24"/>
          <w:lang w:val="en-GB"/>
        </w:rPr>
        <w:t xml:space="preserve">crediting when being compared to the interest rate </w:t>
      </w:r>
      <w:r w:rsidRPr="007A110D">
        <w:rPr>
          <w:rFonts w:ascii="Century Gothic" w:hAnsi="Century Gothic" w:cs="Arial"/>
          <w:bCs/>
          <w:color w:val="333333"/>
          <w:sz w:val="24"/>
        </w:rPr>
        <w:t>offered by banks</w:t>
      </w:r>
      <w:r>
        <w:rPr>
          <w:rFonts w:ascii="Century Gothic" w:hAnsi="Century Gothic" w:cs="Arial"/>
          <w:bCs/>
          <w:color w:val="333333"/>
          <w:sz w:val="24"/>
        </w:rPr>
        <w:t xml:space="preserve">, </w:t>
      </w:r>
      <w:r w:rsidRPr="007A110D">
        <w:rPr>
          <w:rFonts w:ascii="Century Gothic" w:hAnsi="Century Gothic" w:cs="Arial"/>
          <w:bCs/>
          <w:color w:val="333333"/>
          <w:sz w:val="24"/>
        </w:rPr>
        <w:t>other financial institutions</w:t>
      </w:r>
      <w:r>
        <w:rPr>
          <w:rFonts w:ascii="Century Gothic" w:hAnsi="Century Gothic" w:cs="Arial"/>
          <w:bCs/>
          <w:color w:val="333333"/>
          <w:sz w:val="24"/>
        </w:rPr>
        <w:t xml:space="preserve"> </w:t>
      </w:r>
      <w:r>
        <w:rPr>
          <w:rFonts w:ascii="Century Gothic" w:hAnsi="Century Gothic" w:cs="Arial"/>
          <w:bCs/>
          <w:color w:val="333333"/>
          <w:sz w:val="24"/>
          <w:lang w:val="en-GB"/>
        </w:rPr>
        <w:t>and other competitors.</w:t>
      </w:r>
    </w:p>
    <w:p w14:paraId="1ACA1CB8" w14:textId="77777777" w:rsidR="007A110D" w:rsidRDefault="007A110D" w:rsidP="0087767B">
      <w:pPr>
        <w:spacing w:before="120" w:after="120"/>
        <w:rPr>
          <w:rFonts w:ascii="Century Gothic" w:hAnsi="Century Gothic" w:cs="Arial"/>
          <w:bCs/>
          <w:color w:val="333333"/>
          <w:sz w:val="24"/>
        </w:rPr>
      </w:pPr>
    </w:p>
    <w:p w14:paraId="30EEAAA7" w14:textId="43FFA196" w:rsidR="00B555B3" w:rsidRPr="00B555B3" w:rsidRDefault="00B555B3" w:rsidP="0087767B">
      <w:pPr>
        <w:spacing w:before="120" w:after="120"/>
        <w:rPr>
          <w:rFonts w:ascii="Century Gothic" w:hAnsi="Century Gothic" w:cs="Arial"/>
          <w:b/>
          <w:bCs/>
          <w:color w:val="FF0000"/>
          <w:sz w:val="24"/>
          <w:lang w:val="en-US"/>
        </w:rPr>
      </w:pPr>
      <w:r w:rsidRPr="00B555B3">
        <w:rPr>
          <w:rFonts w:ascii="Century Gothic" w:hAnsi="Century Gothic" w:cs="Arial"/>
          <w:bCs/>
          <w:color w:val="333333"/>
          <w:sz w:val="24"/>
        </w:rPr>
        <w:t xml:space="preserve">Green Life needs to consider how to treat </w:t>
      </w:r>
      <w:r w:rsidRPr="007A110D">
        <w:rPr>
          <w:rFonts w:ascii="Century Gothic" w:hAnsi="Century Gothic" w:cs="Arial"/>
          <w:bCs/>
          <w:color w:val="333333"/>
          <w:sz w:val="24"/>
        </w:rPr>
        <w:t>policy owners</w:t>
      </w:r>
      <w:r>
        <w:rPr>
          <w:rFonts w:ascii="Century Gothic" w:hAnsi="Century Gothic" w:cs="Arial"/>
          <w:bCs/>
          <w:color w:val="333333"/>
          <w:sz w:val="24"/>
        </w:rPr>
        <w:t xml:space="preserve"> fairly</w:t>
      </w:r>
      <w:r w:rsidR="00534181">
        <w:rPr>
          <w:rFonts w:ascii="Century Gothic" w:hAnsi="Century Gothic" w:cs="Arial"/>
          <w:bCs/>
          <w:color w:val="333333"/>
          <w:sz w:val="24"/>
        </w:rPr>
        <w:t xml:space="preserve"> as</w:t>
      </w:r>
      <w:r>
        <w:rPr>
          <w:rFonts w:ascii="Century Gothic" w:hAnsi="Century Gothic" w:cs="Arial"/>
          <w:bCs/>
          <w:color w:val="333333"/>
          <w:sz w:val="24"/>
        </w:rPr>
        <w:t xml:space="preserve"> policies commence at different points in time. </w:t>
      </w:r>
      <w:r w:rsidRPr="00B555B3">
        <w:rPr>
          <w:rFonts w:ascii="Century Gothic" w:hAnsi="Century Gothic" w:cs="Arial"/>
          <w:bCs/>
          <w:color w:val="333333"/>
          <w:sz w:val="24"/>
        </w:rPr>
        <w:t>There will be differences in historical experience for different cohorts of policies and there may also be differences in pricing assumptions.</w:t>
      </w:r>
    </w:p>
    <w:p w14:paraId="4F15891B" w14:textId="77777777" w:rsidR="00B555B3" w:rsidRDefault="00B555B3" w:rsidP="0087767B">
      <w:pPr>
        <w:spacing w:before="120" w:after="120"/>
        <w:rPr>
          <w:rFonts w:ascii="Century Gothic" w:hAnsi="Century Gothic" w:cs="Arial"/>
          <w:b/>
          <w:bCs/>
          <w:color w:val="FF0000"/>
          <w:sz w:val="24"/>
        </w:rPr>
      </w:pPr>
    </w:p>
    <w:p w14:paraId="2B00AA67" w14:textId="08D3705D" w:rsidR="003510FF" w:rsidRDefault="003510FF" w:rsidP="003510FF">
      <w:pPr>
        <w:rPr>
          <w:rFonts w:ascii="Century Gothic" w:hAnsi="Century Gothic" w:cs="Arial"/>
          <w:bCs/>
          <w:color w:val="333333"/>
          <w:sz w:val="24"/>
        </w:rPr>
      </w:pPr>
      <w:r>
        <w:rPr>
          <w:rFonts w:ascii="Century Gothic" w:hAnsi="Century Gothic" w:cs="Arial"/>
          <w:bCs/>
          <w:color w:val="333333"/>
          <w:sz w:val="24"/>
        </w:rPr>
        <w:t xml:space="preserve">Given the fact that </w:t>
      </w:r>
      <w:r w:rsidR="007A110D" w:rsidRPr="007A110D">
        <w:rPr>
          <w:rFonts w:ascii="Century Gothic" w:hAnsi="Century Gothic" w:cs="Arial"/>
          <w:bCs/>
          <w:color w:val="333333"/>
          <w:sz w:val="24"/>
        </w:rPr>
        <w:t xml:space="preserve">investment account policies are meant to smooth crediting rates </w:t>
      </w:r>
      <w:r w:rsidR="00534181">
        <w:rPr>
          <w:rFonts w:ascii="Century Gothic" w:hAnsi="Century Gothic" w:cs="Arial"/>
          <w:bCs/>
          <w:color w:val="333333"/>
          <w:sz w:val="24"/>
        </w:rPr>
        <w:t>(</w:t>
      </w:r>
      <w:r w:rsidR="007A110D" w:rsidRPr="007A110D">
        <w:rPr>
          <w:rFonts w:ascii="Century Gothic" w:hAnsi="Century Gothic" w:cs="Arial"/>
          <w:bCs/>
          <w:color w:val="333333"/>
          <w:sz w:val="24"/>
        </w:rPr>
        <w:t>by paying less than the actual investment return in years when investment returns are good and more than the actual investment return in years w</w:t>
      </w:r>
      <w:r>
        <w:rPr>
          <w:rFonts w:ascii="Century Gothic" w:hAnsi="Century Gothic" w:cs="Arial"/>
          <w:bCs/>
          <w:color w:val="333333"/>
          <w:sz w:val="24"/>
        </w:rPr>
        <w:t>hen investment returns are poor</w:t>
      </w:r>
      <w:r w:rsidR="00534181">
        <w:rPr>
          <w:rFonts w:ascii="Century Gothic" w:hAnsi="Century Gothic" w:cs="Arial"/>
          <w:bCs/>
          <w:color w:val="333333"/>
          <w:sz w:val="24"/>
        </w:rPr>
        <w:t>)</w:t>
      </w:r>
      <w:r>
        <w:rPr>
          <w:rFonts w:ascii="Century Gothic" w:hAnsi="Century Gothic" w:cs="Arial"/>
          <w:bCs/>
          <w:color w:val="333333"/>
          <w:sz w:val="24"/>
        </w:rPr>
        <w:t>,</w:t>
      </w:r>
      <w:r w:rsidR="007A110D" w:rsidRPr="007A110D">
        <w:rPr>
          <w:rFonts w:ascii="Century Gothic" w:hAnsi="Century Gothic" w:cs="Arial"/>
          <w:bCs/>
          <w:color w:val="333333"/>
          <w:sz w:val="24"/>
        </w:rPr>
        <w:t xml:space="preserve"> </w:t>
      </w:r>
      <w:r>
        <w:rPr>
          <w:rFonts w:ascii="Century Gothic" w:hAnsi="Century Gothic" w:cs="Arial"/>
          <w:bCs/>
          <w:color w:val="333333"/>
          <w:sz w:val="24"/>
        </w:rPr>
        <w:t xml:space="preserve">Green Life should consider setting provisions to mitigate the anti-selection risk </w:t>
      </w:r>
      <w:r w:rsidR="007A110D" w:rsidRPr="007A110D">
        <w:rPr>
          <w:rFonts w:ascii="Century Gothic" w:hAnsi="Century Gothic" w:cs="Arial"/>
          <w:bCs/>
          <w:color w:val="333333"/>
          <w:sz w:val="24"/>
        </w:rPr>
        <w:t>by policy owners.</w:t>
      </w:r>
      <w:r>
        <w:rPr>
          <w:rFonts w:ascii="Century Gothic" w:hAnsi="Century Gothic" w:cs="Arial"/>
          <w:bCs/>
          <w:color w:val="333333"/>
          <w:sz w:val="24"/>
        </w:rPr>
        <w:t xml:space="preserve"> T</w:t>
      </w:r>
      <w:r w:rsidRPr="00DD1451">
        <w:rPr>
          <w:rFonts w:ascii="Century Gothic" w:hAnsi="Century Gothic" w:cs="Arial"/>
          <w:bCs/>
          <w:color w:val="333333"/>
          <w:sz w:val="24"/>
        </w:rPr>
        <w:t xml:space="preserve">ermination charges </w:t>
      </w:r>
      <w:r>
        <w:rPr>
          <w:rFonts w:ascii="Century Gothic" w:hAnsi="Century Gothic" w:cs="Arial"/>
          <w:bCs/>
          <w:color w:val="333333"/>
          <w:sz w:val="24"/>
        </w:rPr>
        <w:t xml:space="preserve">and/or </w:t>
      </w:r>
      <w:r w:rsidRPr="00DD1451">
        <w:rPr>
          <w:rFonts w:ascii="Century Gothic" w:hAnsi="Century Gothic" w:cs="Arial"/>
          <w:bCs/>
          <w:color w:val="333333"/>
          <w:sz w:val="24"/>
        </w:rPr>
        <w:t xml:space="preserve">surrender penalties </w:t>
      </w:r>
      <w:r>
        <w:rPr>
          <w:rFonts w:ascii="Century Gothic" w:hAnsi="Century Gothic" w:cs="Arial"/>
          <w:bCs/>
          <w:color w:val="333333"/>
          <w:sz w:val="24"/>
        </w:rPr>
        <w:t xml:space="preserve">could be </w:t>
      </w:r>
      <w:r w:rsidR="00534181">
        <w:rPr>
          <w:rFonts w:ascii="Century Gothic" w:hAnsi="Century Gothic" w:cs="Arial"/>
          <w:bCs/>
          <w:color w:val="333333"/>
          <w:sz w:val="24"/>
        </w:rPr>
        <w:t>taken into consideration.</w:t>
      </w:r>
    </w:p>
    <w:p w14:paraId="295443EC" w14:textId="51AE4DFF" w:rsidR="007A110D" w:rsidRDefault="007A110D">
      <w:pPr>
        <w:rPr>
          <w:rFonts w:ascii="Century Gothic" w:hAnsi="Century Gothic" w:cs="Arial"/>
          <w:bCs/>
          <w:color w:val="333333"/>
          <w:sz w:val="24"/>
        </w:rPr>
      </w:pPr>
    </w:p>
    <w:p w14:paraId="20BE8030" w14:textId="41DAE225" w:rsidR="007A110D" w:rsidRDefault="00507A11">
      <w:pPr>
        <w:rPr>
          <w:rFonts w:ascii="Century Gothic" w:hAnsi="Century Gothic" w:cs="Arial"/>
          <w:bCs/>
          <w:color w:val="333333"/>
          <w:sz w:val="24"/>
        </w:rPr>
      </w:pPr>
      <w:r>
        <w:rPr>
          <w:rFonts w:ascii="Century Gothic" w:hAnsi="Century Gothic" w:cs="Arial"/>
          <w:bCs/>
          <w:color w:val="333333"/>
          <w:sz w:val="24"/>
        </w:rPr>
        <w:t>(c) See spreadsheet.</w:t>
      </w:r>
    </w:p>
    <w:p w14:paraId="474887E8" w14:textId="77777777" w:rsidR="007A110D" w:rsidRDefault="007A110D">
      <w:pPr>
        <w:rPr>
          <w:rFonts w:ascii="Century Gothic" w:hAnsi="Century Gothic" w:cs="Arial"/>
          <w:bCs/>
          <w:color w:val="333333"/>
          <w:sz w:val="24"/>
        </w:rPr>
      </w:pPr>
    </w:p>
    <w:p w14:paraId="06FB0941" w14:textId="29403E9F" w:rsidR="0050154D" w:rsidRDefault="0050154D">
      <w:pPr>
        <w:rPr>
          <w:rFonts w:ascii="Century Gothic" w:hAnsi="Century Gothic" w:cs="Arial"/>
          <w:bCs/>
          <w:color w:val="333333"/>
          <w:sz w:val="24"/>
        </w:rPr>
      </w:pPr>
      <w:r>
        <w:rPr>
          <w:rFonts w:ascii="Century Gothic" w:hAnsi="Century Gothic" w:cs="Arial"/>
          <w:bCs/>
          <w:color w:val="333333"/>
          <w:sz w:val="24"/>
        </w:rPr>
        <w:t xml:space="preserve">(d) </w:t>
      </w:r>
      <w:r w:rsidR="002147EF">
        <w:rPr>
          <w:rFonts w:ascii="Century Gothic" w:hAnsi="Century Gothic" w:cs="Arial"/>
          <w:bCs/>
          <w:color w:val="333333"/>
          <w:sz w:val="24"/>
        </w:rPr>
        <w:t>Advantages:</w:t>
      </w:r>
    </w:p>
    <w:p w14:paraId="25A3C855" w14:textId="504DACE6" w:rsidR="00CB4CC0" w:rsidRPr="008F4534" w:rsidRDefault="002147EF" w:rsidP="008F4534">
      <w:pPr>
        <w:pStyle w:val="ListParagraph"/>
        <w:numPr>
          <w:ilvl w:val="0"/>
          <w:numId w:val="6"/>
        </w:numPr>
        <w:rPr>
          <w:rFonts w:ascii="Century Gothic" w:hAnsi="Century Gothic" w:cs="Arial"/>
          <w:bCs/>
          <w:color w:val="333333"/>
          <w:sz w:val="24"/>
        </w:rPr>
      </w:pPr>
      <w:r w:rsidRPr="00CB4CC0">
        <w:rPr>
          <w:rFonts w:ascii="Century Gothic" w:hAnsi="Century Gothic" w:cs="Arial"/>
          <w:bCs/>
          <w:color w:val="333333"/>
          <w:sz w:val="24"/>
        </w:rPr>
        <w:lastRenderedPageBreak/>
        <w:t xml:space="preserve">Having investment fluctuation reserve can smooth the investment return. </w:t>
      </w:r>
      <w:r w:rsidR="00CB4CC0" w:rsidRPr="008F4534">
        <w:rPr>
          <w:rFonts w:ascii="Century Gothic" w:hAnsi="Century Gothic" w:cs="Arial"/>
          <w:bCs/>
          <w:color w:val="333333"/>
          <w:sz w:val="24"/>
        </w:rPr>
        <w:t xml:space="preserve">This can be good for </w:t>
      </w:r>
      <w:r w:rsidR="00475959" w:rsidRPr="008F4534">
        <w:rPr>
          <w:rFonts w:ascii="Century Gothic" w:hAnsi="Century Gothic" w:cs="Arial"/>
          <w:bCs/>
          <w:color w:val="333333"/>
          <w:sz w:val="24"/>
        </w:rPr>
        <w:t xml:space="preserve">both </w:t>
      </w:r>
      <w:r w:rsidR="00CB4CC0" w:rsidRPr="008F4534">
        <w:rPr>
          <w:rFonts w:ascii="Century Gothic" w:hAnsi="Century Gothic" w:cs="Arial"/>
          <w:bCs/>
          <w:color w:val="333333"/>
          <w:sz w:val="24"/>
        </w:rPr>
        <w:t>pol</w:t>
      </w:r>
      <w:r w:rsidR="00475959" w:rsidRPr="008F4534">
        <w:rPr>
          <w:rFonts w:ascii="Century Gothic" w:hAnsi="Century Gothic" w:cs="Arial"/>
          <w:bCs/>
          <w:color w:val="333333"/>
          <w:sz w:val="24"/>
        </w:rPr>
        <w:t>icy owners and the company.</w:t>
      </w:r>
    </w:p>
    <w:p w14:paraId="21992AA1" w14:textId="794F3648" w:rsidR="00E93A5C" w:rsidRDefault="00475959" w:rsidP="00E93A5C">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For the policy owners, </w:t>
      </w:r>
      <w:r w:rsidR="00E93A5C" w:rsidRPr="00E93A5C">
        <w:rPr>
          <w:rFonts w:ascii="Century Gothic" w:hAnsi="Century Gothic" w:cs="Arial"/>
          <w:bCs/>
          <w:color w:val="333333"/>
          <w:sz w:val="24"/>
        </w:rPr>
        <w:t>investment fluctuation reserve</w:t>
      </w:r>
      <w:r w:rsidR="00E93A5C">
        <w:rPr>
          <w:rFonts w:ascii="Century Gothic" w:hAnsi="Century Gothic" w:cs="Arial"/>
          <w:bCs/>
          <w:color w:val="333333"/>
          <w:sz w:val="24"/>
        </w:rPr>
        <w:t xml:space="preserve"> could reduce the uncertainty in the return.</w:t>
      </w:r>
    </w:p>
    <w:p w14:paraId="323E624B" w14:textId="4C1AEAB5" w:rsidR="00475959" w:rsidRDefault="00475959" w:rsidP="00E93A5C">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For Green Life, the </w:t>
      </w:r>
      <w:r w:rsidRPr="00475959">
        <w:rPr>
          <w:rFonts w:ascii="Century Gothic" w:hAnsi="Century Gothic" w:cs="Arial"/>
          <w:bCs/>
          <w:color w:val="333333"/>
          <w:sz w:val="24"/>
        </w:rPr>
        <w:t>investment fluctuation reserve</w:t>
      </w:r>
      <w:r>
        <w:rPr>
          <w:rFonts w:ascii="Century Gothic" w:hAnsi="Century Gothic" w:cs="Arial"/>
          <w:bCs/>
          <w:color w:val="333333"/>
          <w:sz w:val="24"/>
        </w:rPr>
        <w:t xml:space="preserve"> </w:t>
      </w:r>
      <w:r w:rsidR="00833E22">
        <w:rPr>
          <w:rFonts w:ascii="Century Gothic" w:hAnsi="Century Gothic" w:cs="Arial"/>
          <w:bCs/>
          <w:color w:val="333333"/>
          <w:sz w:val="24"/>
        </w:rPr>
        <w:t>could</w:t>
      </w:r>
      <w:r>
        <w:rPr>
          <w:rFonts w:ascii="Century Gothic" w:hAnsi="Century Gothic" w:cs="Arial"/>
          <w:bCs/>
          <w:color w:val="333333"/>
          <w:sz w:val="24"/>
        </w:rPr>
        <w:t xml:space="preserve"> act as a buffer</w:t>
      </w:r>
      <w:r w:rsidR="00E93A5C">
        <w:rPr>
          <w:rFonts w:ascii="Century Gothic" w:hAnsi="Century Gothic" w:cs="Arial"/>
          <w:bCs/>
          <w:color w:val="333333"/>
          <w:sz w:val="24"/>
        </w:rPr>
        <w:t xml:space="preserve"> to write</w:t>
      </w:r>
      <w:r w:rsidR="00E93A5C" w:rsidRPr="00E93A5C">
        <w:rPr>
          <w:rFonts w:ascii="Century Gothic" w:hAnsi="Century Gothic" w:cs="Arial"/>
          <w:bCs/>
          <w:color w:val="333333"/>
          <w:sz w:val="24"/>
        </w:rPr>
        <w:t xml:space="preserve"> off </w:t>
      </w:r>
      <w:r w:rsidR="00E93A5C">
        <w:rPr>
          <w:rFonts w:ascii="Century Gothic" w:hAnsi="Century Gothic" w:cs="Arial"/>
          <w:bCs/>
          <w:color w:val="333333"/>
          <w:sz w:val="24"/>
        </w:rPr>
        <w:t>any decreas</w:t>
      </w:r>
      <w:r w:rsidR="00E93A5C" w:rsidRPr="00E93A5C">
        <w:rPr>
          <w:rFonts w:ascii="Century Gothic" w:hAnsi="Century Gothic" w:cs="Arial"/>
          <w:bCs/>
          <w:color w:val="333333"/>
          <w:sz w:val="24"/>
        </w:rPr>
        <w:t>ed value of investment</w:t>
      </w:r>
      <w:r w:rsidR="00E93A5C">
        <w:rPr>
          <w:rFonts w:ascii="Century Gothic" w:hAnsi="Century Gothic" w:cs="Arial"/>
          <w:bCs/>
          <w:color w:val="333333"/>
          <w:sz w:val="24"/>
        </w:rPr>
        <w:t>.</w:t>
      </w:r>
      <w:r>
        <w:rPr>
          <w:rFonts w:ascii="Century Gothic" w:hAnsi="Century Gothic" w:cs="Arial"/>
          <w:bCs/>
          <w:color w:val="333333"/>
          <w:sz w:val="24"/>
        </w:rPr>
        <w:t xml:space="preserve"> </w:t>
      </w:r>
      <w:r w:rsidR="00E93A5C">
        <w:rPr>
          <w:rFonts w:ascii="Century Gothic" w:hAnsi="Century Gothic" w:cs="Arial"/>
          <w:bCs/>
          <w:color w:val="333333"/>
          <w:sz w:val="24"/>
        </w:rPr>
        <w:t>Therefore,</w:t>
      </w:r>
      <w:r w:rsidR="00833E22">
        <w:rPr>
          <w:rFonts w:ascii="Century Gothic" w:hAnsi="Century Gothic" w:cs="Arial"/>
          <w:bCs/>
          <w:color w:val="333333"/>
          <w:sz w:val="24"/>
        </w:rPr>
        <w:t xml:space="preserve"> the company is more likely to be able to </w:t>
      </w:r>
      <w:r>
        <w:rPr>
          <w:rFonts w:ascii="Century Gothic" w:hAnsi="Century Gothic" w:cs="Arial"/>
          <w:bCs/>
          <w:color w:val="333333"/>
          <w:sz w:val="24"/>
        </w:rPr>
        <w:t xml:space="preserve">meet policy owners’ expectation </w:t>
      </w:r>
      <w:r w:rsidR="00833E22">
        <w:rPr>
          <w:rFonts w:ascii="Century Gothic" w:hAnsi="Century Gothic" w:cs="Arial"/>
          <w:bCs/>
          <w:color w:val="333333"/>
          <w:sz w:val="24"/>
        </w:rPr>
        <w:t xml:space="preserve">especially </w:t>
      </w:r>
      <w:r>
        <w:rPr>
          <w:rFonts w:ascii="Century Gothic" w:hAnsi="Century Gothic" w:cs="Arial"/>
          <w:bCs/>
          <w:color w:val="333333"/>
          <w:sz w:val="24"/>
        </w:rPr>
        <w:t>when th</w:t>
      </w:r>
      <w:r w:rsidR="00C660D3">
        <w:rPr>
          <w:rFonts w:ascii="Century Gothic" w:hAnsi="Century Gothic" w:cs="Arial"/>
          <w:bCs/>
          <w:color w:val="333333"/>
          <w:sz w:val="24"/>
        </w:rPr>
        <w:t>e investment experience is poor.</w:t>
      </w:r>
    </w:p>
    <w:p w14:paraId="1357CC7B" w14:textId="26A3A269" w:rsidR="004D54F1" w:rsidRDefault="004D54F1" w:rsidP="00E93A5C">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It allows the company to have some degree of discretion. Therefore, the company is able to adjust the crediting rate to serve their market </w:t>
      </w:r>
      <w:r w:rsidR="009F5BB8">
        <w:rPr>
          <w:rFonts w:ascii="Century Gothic" w:hAnsi="Century Gothic" w:cs="Arial"/>
          <w:bCs/>
          <w:color w:val="333333"/>
          <w:sz w:val="24"/>
        </w:rPr>
        <w:t>strategy (</w:t>
      </w:r>
      <w:r w:rsidR="005D7D74">
        <w:rPr>
          <w:rFonts w:ascii="Century Gothic" w:hAnsi="Century Gothic" w:cs="Arial"/>
          <w:bCs/>
          <w:color w:val="333333"/>
          <w:sz w:val="24"/>
        </w:rPr>
        <w:t xml:space="preserve">e.g. </w:t>
      </w:r>
      <w:r w:rsidR="009F5BB8">
        <w:rPr>
          <w:rFonts w:ascii="Century Gothic" w:hAnsi="Century Gothic" w:cs="Arial"/>
          <w:bCs/>
          <w:color w:val="333333"/>
          <w:sz w:val="24"/>
        </w:rPr>
        <w:t>credit</w:t>
      </w:r>
      <w:r w:rsidR="005D7D74">
        <w:rPr>
          <w:rFonts w:ascii="Century Gothic" w:hAnsi="Century Gothic" w:cs="Arial"/>
          <w:bCs/>
          <w:color w:val="333333"/>
          <w:sz w:val="24"/>
        </w:rPr>
        <w:t xml:space="preserve"> </w:t>
      </w:r>
      <w:r w:rsidR="009F5BB8">
        <w:rPr>
          <w:rFonts w:ascii="Century Gothic" w:hAnsi="Century Gothic" w:cs="Arial"/>
          <w:bCs/>
          <w:color w:val="333333"/>
          <w:sz w:val="24"/>
        </w:rPr>
        <w:t xml:space="preserve">more </w:t>
      </w:r>
      <w:r w:rsidR="005D7D74">
        <w:rPr>
          <w:rFonts w:ascii="Century Gothic" w:hAnsi="Century Gothic" w:cs="Arial"/>
          <w:bCs/>
          <w:color w:val="333333"/>
          <w:sz w:val="24"/>
        </w:rPr>
        <w:t>than competitors to attract new customers).</w:t>
      </w:r>
    </w:p>
    <w:p w14:paraId="7FA22D16" w14:textId="6A053FB9" w:rsidR="002147EF" w:rsidRDefault="00F1799A" w:rsidP="00F1799A">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The </w:t>
      </w:r>
      <w:r w:rsidR="002169B4">
        <w:rPr>
          <w:rFonts w:ascii="Century Gothic" w:hAnsi="Century Gothic" w:cs="Arial"/>
          <w:bCs/>
          <w:color w:val="333333"/>
          <w:sz w:val="24"/>
        </w:rPr>
        <w:t>later</w:t>
      </w:r>
      <w:r>
        <w:rPr>
          <w:rFonts w:ascii="Century Gothic" w:hAnsi="Century Gothic" w:cs="Arial"/>
          <w:bCs/>
          <w:color w:val="333333"/>
          <w:sz w:val="24"/>
        </w:rPr>
        <w:t xml:space="preserve"> release of the </w:t>
      </w:r>
      <w:r w:rsidRPr="00F1799A">
        <w:rPr>
          <w:rFonts w:ascii="Century Gothic" w:hAnsi="Century Gothic" w:cs="Arial"/>
          <w:bCs/>
          <w:color w:val="333333"/>
          <w:sz w:val="24"/>
        </w:rPr>
        <w:t>investment fluctuation reserve</w:t>
      </w:r>
      <w:r>
        <w:rPr>
          <w:rFonts w:ascii="Century Gothic" w:hAnsi="Century Gothic" w:cs="Arial"/>
          <w:bCs/>
          <w:color w:val="333333"/>
          <w:sz w:val="24"/>
        </w:rPr>
        <w:t xml:space="preserve"> </w:t>
      </w:r>
      <w:r w:rsidR="002169B4">
        <w:rPr>
          <w:rFonts w:ascii="Century Gothic" w:hAnsi="Century Gothic" w:cs="Arial"/>
          <w:bCs/>
          <w:color w:val="333333"/>
          <w:sz w:val="24"/>
        </w:rPr>
        <w:t xml:space="preserve">with </w:t>
      </w:r>
      <w:r w:rsidR="002169B4" w:rsidRPr="00DD1451">
        <w:rPr>
          <w:rFonts w:ascii="Century Gothic" w:hAnsi="Century Gothic" w:cs="Arial"/>
          <w:bCs/>
          <w:color w:val="333333"/>
          <w:sz w:val="24"/>
        </w:rPr>
        <w:t xml:space="preserve">surrender penalties </w:t>
      </w:r>
      <w:r>
        <w:rPr>
          <w:rFonts w:ascii="Century Gothic" w:hAnsi="Century Gothic" w:cs="Arial"/>
          <w:bCs/>
          <w:color w:val="333333"/>
          <w:sz w:val="24"/>
        </w:rPr>
        <w:t xml:space="preserve">could </w:t>
      </w:r>
      <w:r w:rsidR="002169B4">
        <w:rPr>
          <w:rFonts w:ascii="Century Gothic" w:hAnsi="Century Gothic" w:cs="Arial"/>
          <w:bCs/>
          <w:color w:val="333333"/>
          <w:sz w:val="24"/>
        </w:rPr>
        <w:t>help Green Life</w:t>
      </w:r>
      <w:r>
        <w:rPr>
          <w:rFonts w:ascii="Century Gothic" w:hAnsi="Century Gothic" w:cs="Arial"/>
          <w:bCs/>
          <w:color w:val="333333"/>
          <w:sz w:val="24"/>
        </w:rPr>
        <w:t xml:space="preserve"> </w:t>
      </w:r>
      <w:r w:rsidR="00BC5526">
        <w:rPr>
          <w:rFonts w:ascii="Century Gothic" w:hAnsi="Century Gothic" w:cs="Arial"/>
          <w:bCs/>
          <w:color w:val="333333"/>
          <w:sz w:val="24"/>
        </w:rPr>
        <w:t>retain</w:t>
      </w:r>
      <w:r>
        <w:rPr>
          <w:rFonts w:ascii="Century Gothic" w:hAnsi="Century Gothic" w:cs="Arial"/>
          <w:bCs/>
          <w:color w:val="333333"/>
          <w:sz w:val="24"/>
        </w:rPr>
        <w:t xml:space="preserve"> the existing policy owners.</w:t>
      </w:r>
    </w:p>
    <w:p w14:paraId="74F87156" w14:textId="1DD9D3D6" w:rsidR="00CB4CC0" w:rsidRDefault="00E66249" w:rsidP="00CB4CC0">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It increases the liquidity </w:t>
      </w:r>
      <w:r w:rsidR="00AD7BD0">
        <w:rPr>
          <w:rFonts w:ascii="Century Gothic" w:hAnsi="Century Gothic" w:cs="Arial"/>
          <w:bCs/>
          <w:color w:val="333333"/>
          <w:sz w:val="24"/>
        </w:rPr>
        <w:t xml:space="preserve">of the company </w:t>
      </w:r>
      <w:r>
        <w:rPr>
          <w:rFonts w:ascii="Century Gothic" w:hAnsi="Century Gothic" w:cs="Arial"/>
          <w:bCs/>
          <w:color w:val="333333"/>
          <w:sz w:val="24"/>
        </w:rPr>
        <w:t>so that Green Life could pursue higher return by investing more money in less liquid assets.</w:t>
      </w:r>
    </w:p>
    <w:p w14:paraId="4F7090CF" w14:textId="77777777" w:rsidR="00CB4CC0" w:rsidRDefault="00CB4CC0" w:rsidP="00CB4CC0">
      <w:pPr>
        <w:rPr>
          <w:rFonts w:ascii="Century Gothic" w:hAnsi="Century Gothic" w:cs="Arial"/>
          <w:bCs/>
          <w:color w:val="333333"/>
          <w:sz w:val="24"/>
        </w:rPr>
      </w:pPr>
    </w:p>
    <w:p w14:paraId="4735B58A" w14:textId="77777777" w:rsidR="00DD1451" w:rsidRDefault="00DD1451">
      <w:pPr>
        <w:rPr>
          <w:rFonts w:ascii="Century Gothic" w:hAnsi="Century Gothic" w:cs="Arial"/>
          <w:bCs/>
          <w:color w:val="333333"/>
          <w:sz w:val="24"/>
        </w:rPr>
      </w:pPr>
    </w:p>
    <w:p w14:paraId="67313CA4" w14:textId="64DB01F9" w:rsidR="006F4977" w:rsidRDefault="002147EF">
      <w:pPr>
        <w:rPr>
          <w:rFonts w:ascii="Century Gothic" w:hAnsi="Century Gothic" w:cs="Arial"/>
          <w:bCs/>
          <w:color w:val="333333"/>
          <w:sz w:val="24"/>
        </w:rPr>
      </w:pPr>
      <w:r>
        <w:rPr>
          <w:rFonts w:ascii="Century Gothic" w:hAnsi="Century Gothic" w:cs="Arial"/>
          <w:bCs/>
          <w:color w:val="333333"/>
          <w:sz w:val="24"/>
        </w:rPr>
        <w:t>Disadvantages:</w:t>
      </w:r>
    </w:p>
    <w:p w14:paraId="753153AF" w14:textId="1709F5D4" w:rsidR="002147EF" w:rsidRDefault="002147EF" w:rsidP="00CB4CC0">
      <w:pPr>
        <w:pStyle w:val="ListParagraph"/>
        <w:numPr>
          <w:ilvl w:val="0"/>
          <w:numId w:val="6"/>
        </w:numPr>
        <w:rPr>
          <w:rFonts w:ascii="Century Gothic" w:hAnsi="Century Gothic" w:cs="Arial"/>
          <w:bCs/>
          <w:color w:val="333333"/>
          <w:sz w:val="24"/>
        </w:rPr>
      </w:pPr>
      <w:r w:rsidRPr="00CB4CC0">
        <w:rPr>
          <w:rFonts w:ascii="Century Gothic" w:hAnsi="Century Gothic" w:cs="Arial"/>
          <w:bCs/>
          <w:color w:val="333333"/>
          <w:sz w:val="24"/>
        </w:rPr>
        <w:t>It exposes the company to anti-selection risk when the credit rate is higher than market by taking money from investment fluctuation reserve. Policy owners may tend to surrender their policies after a higher-</w:t>
      </w:r>
      <w:r w:rsidR="00DA53EE" w:rsidRPr="00CB4CC0">
        <w:rPr>
          <w:rFonts w:ascii="Century Gothic" w:hAnsi="Century Gothic" w:cs="Arial"/>
          <w:bCs/>
          <w:color w:val="333333"/>
          <w:sz w:val="24"/>
        </w:rPr>
        <w:t>than-</w:t>
      </w:r>
      <w:r w:rsidRPr="00CB4CC0">
        <w:rPr>
          <w:rFonts w:ascii="Century Gothic" w:hAnsi="Century Gothic" w:cs="Arial"/>
          <w:bCs/>
          <w:color w:val="333333"/>
          <w:sz w:val="24"/>
        </w:rPr>
        <w:t>expectation return.</w:t>
      </w:r>
    </w:p>
    <w:p w14:paraId="36A76DEA" w14:textId="3EFD37F0" w:rsidR="004D54F1" w:rsidRPr="004D54F1" w:rsidRDefault="004D54F1" w:rsidP="004D54F1">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I</w:t>
      </w:r>
      <w:r w:rsidRPr="004D54F1">
        <w:rPr>
          <w:rFonts w:ascii="Century Gothic" w:hAnsi="Century Gothic" w:cs="Arial"/>
          <w:bCs/>
          <w:color w:val="333333"/>
          <w:sz w:val="24"/>
        </w:rPr>
        <w:t>nvestment fluctuation reserve</w:t>
      </w:r>
      <w:r>
        <w:rPr>
          <w:rFonts w:ascii="Century Gothic" w:hAnsi="Century Gothic" w:cs="Arial"/>
          <w:bCs/>
          <w:color w:val="333333"/>
          <w:sz w:val="24"/>
        </w:rPr>
        <w:t xml:space="preserve"> increases policy liability. As a result, Green Life may be required to hold more capital in this regard.</w:t>
      </w:r>
    </w:p>
    <w:p w14:paraId="7A20ECC5" w14:textId="54B55945" w:rsidR="00CB4CC0" w:rsidRDefault="00C2060A" w:rsidP="00C2060A">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Extra cost</w:t>
      </w:r>
      <w:r w:rsidRPr="00C2060A">
        <w:rPr>
          <w:rFonts w:ascii="Century Gothic" w:hAnsi="Century Gothic" w:cs="Arial"/>
          <w:bCs/>
          <w:color w:val="333333"/>
          <w:sz w:val="24"/>
        </w:rPr>
        <w:t xml:space="preserve"> </w:t>
      </w:r>
      <w:r>
        <w:rPr>
          <w:rFonts w:ascii="Century Gothic" w:hAnsi="Century Gothic" w:cs="Arial"/>
          <w:bCs/>
          <w:color w:val="333333"/>
          <w:sz w:val="24"/>
        </w:rPr>
        <w:t>(</w:t>
      </w:r>
      <w:r w:rsidR="00DE3FEB">
        <w:rPr>
          <w:rFonts w:ascii="Century Gothic" w:hAnsi="Century Gothic" w:cs="Arial"/>
          <w:bCs/>
          <w:color w:val="333333"/>
          <w:sz w:val="24"/>
        </w:rPr>
        <w:t xml:space="preserve">more </w:t>
      </w:r>
      <w:r>
        <w:rPr>
          <w:rFonts w:ascii="Century Gothic" w:hAnsi="Century Gothic" w:cs="Arial"/>
          <w:bCs/>
          <w:color w:val="333333"/>
          <w:sz w:val="24"/>
        </w:rPr>
        <w:t>staffs</w:t>
      </w:r>
      <w:r w:rsidR="00E66249">
        <w:rPr>
          <w:rFonts w:ascii="Century Gothic" w:hAnsi="Century Gothic" w:cs="Arial"/>
          <w:bCs/>
          <w:color w:val="333333"/>
          <w:sz w:val="24"/>
        </w:rPr>
        <w:t xml:space="preserve">, </w:t>
      </w:r>
      <w:r w:rsidR="00DE3FEB">
        <w:rPr>
          <w:rFonts w:ascii="Century Gothic" w:hAnsi="Century Gothic" w:cs="Arial"/>
          <w:bCs/>
          <w:color w:val="333333"/>
          <w:sz w:val="24"/>
        </w:rPr>
        <w:t xml:space="preserve">more complex </w:t>
      </w:r>
      <w:r>
        <w:rPr>
          <w:rFonts w:ascii="Century Gothic" w:hAnsi="Century Gothic" w:cs="Arial"/>
          <w:bCs/>
          <w:color w:val="333333"/>
          <w:sz w:val="24"/>
        </w:rPr>
        <w:t xml:space="preserve">system etc.) may arise from managing the </w:t>
      </w:r>
      <w:r w:rsidRPr="00C2060A">
        <w:rPr>
          <w:rFonts w:ascii="Century Gothic" w:hAnsi="Century Gothic" w:cs="Arial"/>
          <w:bCs/>
          <w:color w:val="333333"/>
          <w:sz w:val="24"/>
        </w:rPr>
        <w:t>investment fluctuation reserve</w:t>
      </w:r>
      <w:r w:rsidR="00C67B73">
        <w:rPr>
          <w:rFonts w:ascii="Century Gothic" w:hAnsi="Century Gothic" w:cs="Arial"/>
          <w:bCs/>
          <w:color w:val="333333"/>
          <w:sz w:val="24"/>
        </w:rPr>
        <w:t>.</w:t>
      </w:r>
    </w:p>
    <w:p w14:paraId="65524203" w14:textId="3679C9B4" w:rsidR="00C2060A" w:rsidRDefault="00C67B73" w:rsidP="00C2060A">
      <w:pPr>
        <w:pStyle w:val="ListParagraph"/>
        <w:numPr>
          <w:ilvl w:val="0"/>
          <w:numId w:val="6"/>
        </w:numPr>
        <w:rPr>
          <w:rFonts w:ascii="Century Gothic" w:hAnsi="Century Gothic" w:cs="Arial"/>
          <w:bCs/>
          <w:color w:val="333333"/>
          <w:sz w:val="24"/>
        </w:rPr>
      </w:pPr>
      <w:r>
        <w:rPr>
          <w:rFonts w:ascii="Century Gothic" w:hAnsi="Century Gothic" w:cs="Arial"/>
          <w:bCs/>
          <w:color w:val="333333"/>
          <w:sz w:val="24"/>
        </w:rPr>
        <w:t xml:space="preserve">Equity also needs to be balanced among different generation of policy owners. </w:t>
      </w:r>
      <w:r w:rsidR="00E66249">
        <w:rPr>
          <w:rFonts w:ascii="Century Gothic" w:hAnsi="Century Gothic" w:cs="Arial"/>
          <w:bCs/>
          <w:color w:val="333333"/>
          <w:sz w:val="24"/>
        </w:rPr>
        <w:t>Otherwise, company will suffer reputation damage.</w:t>
      </w:r>
    </w:p>
    <w:p w14:paraId="4A59749A" w14:textId="1A100F8D" w:rsidR="002147EF" w:rsidRDefault="002147EF">
      <w:pPr>
        <w:rPr>
          <w:rFonts w:ascii="Century Gothic" w:hAnsi="Century Gothic" w:cs="Arial"/>
          <w:bCs/>
          <w:color w:val="333333"/>
          <w:sz w:val="24"/>
        </w:rPr>
      </w:pPr>
      <w:r>
        <w:rPr>
          <w:rFonts w:ascii="Century Gothic" w:hAnsi="Century Gothic" w:cs="Arial"/>
          <w:bCs/>
          <w:color w:val="333333"/>
          <w:sz w:val="24"/>
        </w:rPr>
        <w:t xml:space="preserve"> </w:t>
      </w:r>
    </w:p>
    <w:p w14:paraId="0E213972" w14:textId="77777777" w:rsidR="009C5619" w:rsidRDefault="00F81C01">
      <w:pPr>
        <w:rPr>
          <w:rFonts w:ascii="Century Gothic" w:hAnsi="Century Gothic" w:cs="Arial"/>
          <w:bCs/>
          <w:color w:val="333333"/>
          <w:sz w:val="24"/>
        </w:rPr>
      </w:pPr>
      <w:r>
        <w:rPr>
          <w:rFonts w:ascii="Century Gothic" w:hAnsi="Century Gothic" w:cs="Arial"/>
          <w:bCs/>
          <w:color w:val="333333"/>
          <w:sz w:val="24"/>
        </w:rPr>
        <w:t xml:space="preserve">(e) </w:t>
      </w:r>
    </w:p>
    <w:p w14:paraId="1E2F7778" w14:textId="2BA57B92" w:rsidR="009C5619" w:rsidRDefault="006C59CE">
      <w:pPr>
        <w:rPr>
          <w:rFonts w:ascii="Century Gothic" w:hAnsi="Century Gothic" w:cs="Arial"/>
          <w:bCs/>
          <w:color w:val="333333"/>
          <w:sz w:val="24"/>
        </w:rPr>
      </w:pPr>
      <w:proofErr w:type="spellStart"/>
      <w:proofErr w:type="gramStart"/>
      <w:r>
        <w:rPr>
          <w:rFonts w:ascii="Century Gothic" w:hAnsi="Century Gothic" w:cs="Arial"/>
          <w:bCs/>
          <w:color w:val="333333"/>
          <w:sz w:val="24"/>
        </w:rPr>
        <w:t>i</w:t>
      </w:r>
      <w:proofErr w:type="spellEnd"/>
      <w:proofErr w:type="gramEnd"/>
      <w:r>
        <w:rPr>
          <w:rFonts w:ascii="Century Gothic" w:hAnsi="Century Gothic" w:cs="Arial"/>
          <w:bCs/>
          <w:color w:val="333333"/>
          <w:sz w:val="24"/>
        </w:rPr>
        <w:t xml:space="preserve">. </w:t>
      </w:r>
    </w:p>
    <w:p w14:paraId="0F5C0C04" w14:textId="77777777" w:rsidR="009C5619" w:rsidRDefault="009C5619">
      <w:pPr>
        <w:rPr>
          <w:rFonts w:ascii="Century Gothic" w:hAnsi="Century Gothic" w:cs="Arial"/>
          <w:bCs/>
          <w:color w:val="333333"/>
          <w:sz w:val="24"/>
        </w:rPr>
      </w:pPr>
    </w:p>
    <w:p w14:paraId="5945C1CE" w14:textId="77777777" w:rsidR="009C5619" w:rsidRDefault="009C5619">
      <w:pPr>
        <w:rPr>
          <w:rFonts w:ascii="Century Gothic" w:hAnsi="Century Gothic" w:cs="Arial"/>
          <w:bCs/>
          <w:color w:val="333333"/>
          <w:sz w:val="24"/>
        </w:rPr>
      </w:pPr>
    </w:p>
    <w:p w14:paraId="6428D932" w14:textId="77777777" w:rsidR="009C5619" w:rsidRDefault="009C5619">
      <w:pPr>
        <w:rPr>
          <w:rFonts w:ascii="Century Gothic" w:hAnsi="Century Gothic" w:cs="Arial"/>
          <w:bCs/>
          <w:color w:val="333333"/>
          <w:sz w:val="24"/>
        </w:rPr>
      </w:pPr>
    </w:p>
    <w:p w14:paraId="3F94435A" w14:textId="1E070BCA" w:rsidR="00711D49" w:rsidRDefault="0015518F">
      <w:pPr>
        <w:rPr>
          <w:rFonts w:ascii="Century Gothic" w:hAnsi="Century Gothic" w:cs="Arial"/>
          <w:bCs/>
          <w:color w:val="333333"/>
          <w:sz w:val="24"/>
        </w:rPr>
      </w:pPr>
      <w:r>
        <w:rPr>
          <w:rFonts w:ascii="Century Gothic" w:hAnsi="Century Gothic" w:cs="Arial"/>
          <w:bCs/>
          <w:color w:val="333333"/>
          <w:sz w:val="24"/>
        </w:rPr>
        <w:t xml:space="preserve">Due to the existence of </w:t>
      </w:r>
      <w:r w:rsidRPr="0015518F">
        <w:rPr>
          <w:rFonts w:ascii="Century Gothic" w:hAnsi="Century Gothic" w:cs="Arial"/>
          <w:bCs/>
          <w:color w:val="333333"/>
          <w:sz w:val="24"/>
        </w:rPr>
        <w:t>investment fluctuation reserve</w:t>
      </w:r>
      <w:r>
        <w:rPr>
          <w:rFonts w:ascii="Century Gothic" w:hAnsi="Century Gothic" w:cs="Arial"/>
          <w:bCs/>
          <w:color w:val="333333"/>
          <w:sz w:val="24"/>
        </w:rPr>
        <w:t>, it might not affect P&amp;L statement unless the loss amount is higher than investment fluctuation reserve. If that is the case, a loss should be recorded Green Life P&amp;L statement.</w:t>
      </w:r>
    </w:p>
    <w:p w14:paraId="35E8B34E" w14:textId="77777777" w:rsidR="00711D49" w:rsidRDefault="00711D49">
      <w:pPr>
        <w:rPr>
          <w:rFonts w:ascii="Century Gothic" w:hAnsi="Century Gothic" w:cs="Arial"/>
          <w:bCs/>
          <w:color w:val="333333"/>
          <w:sz w:val="24"/>
        </w:rPr>
      </w:pPr>
    </w:p>
    <w:p w14:paraId="79181035" w14:textId="20780842" w:rsidR="0015518F" w:rsidRDefault="0015518F" w:rsidP="0015518F">
      <w:pPr>
        <w:rPr>
          <w:rFonts w:ascii="Century Gothic" w:hAnsi="Century Gothic" w:cs="Arial"/>
          <w:bCs/>
          <w:color w:val="333333"/>
          <w:sz w:val="24"/>
        </w:rPr>
      </w:pPr>
      <w:r>
        <w:rPr>
          <w:rFonts w:ascii="Century Gothic" w:hAnsi="Century Gothic" w:cs="Arial"/>
          <w:bCs/>
          <w:color w:val="333333"/>
          <w:sz w:val="24"/>
        </w:rPr>
        <w:t>ii. Less PL</w:t>
      </w:r>
      <w:r w:rsidRPr="0015518F">
        <w:rPr>
          <w:rFonts w:ascii="Century Gothic" w:hAnsi="Century Gothic" w:cs="Arial"/>
          <w:bCs/>
          <w:color w:val="333333"/>
          <w:sz w:val="24"/>
        </w:rPr>
        <w:t xml:space="preserve"> </w:t>
      </w:r>
      <w:r>
        <w:rPr>
          <w:rFonts w:ascii="Century Gothic" w:hAnsi="Century Gothic" w:cs="Arial"/>
          <w:bCs/>
          <w:color w:val="333333"/>
          <w:sz w:val="24"/>
        </w:rPr>
        <w:t xml:space="preserve">as money will be transferred out of the </w:t>
      </w:r>
      <w:r w:rsidRPr="002147EF">
        <w:rPr>
          <w:rFonts w:ascii="Century Gothic" w:hAnsi="Century Gothic" w:cs="Arial"/>
          <w:bCs/>
          <w:color w:val="333333"/>
          <w:sz w:val="24"/>
        </w:rPr>
        <w:t>investment fluctuation reserve</w:t>
      </w:r>
      <w:r>
        <w:rPr>
          <w:rFonts w:ascii="Century Gothic" w:hAnsi="Century Gothic" w:cs="Arial"/>
          <w:bCs/>
          <w:color w:val="333333"/>
          <w:sz w:val="24"/>
        </w:rPr>
        <w:t>.</w:t>
      </w:r>
    </w:p>
    <w:p w14:paraId="43C9F2A8" w14:textId="7EC4AE08" w:rsidR="0015518F" w:rsidRDefault="0015518F">
      <w:pPr>
        <w:rPr>
          <w:rFonts w:ascii="Century Gothic" w:hAnsi="Century Gothic" w:cs="Arial"/>
          <w:bCs/>
          <w:color w:val="333333"/>
          <w:sz w:val="24"/>
        </w:rPr>
      </w:pPr>
    </w:p>
    <w:p w14:paraId="356F02A1" w14:textId="77777777" w:rsidR="0015518F" w:rsidRDefault="0015518F">
      <w:pPr>
        <w:rPr>
          <w:rFonts w:ascii="Century Gothic" w:hAnsi="Century Gothic" w:cs="Arial"/>
          <w:bCs/>
          <w:color w:val="333333"/>
          <w:sz w:val="24"/>
        </w:rPr>
      </w:pPr>
    </w:p>
    <w:p w14:paraId="5A55570D" w14:textId="4582FDFD" w:rsidR="0015518F" w:rsidRDefault="0015518F">
      <w:pPr>
        <w:rPr>
          <w:rFonts w:ascii="Century Gothic" w:hAnsi="Century Gothic" w:cs="Arial"/>
          <w:bCs/>
          <w:color w:val="333333"/>
          <w:sz w:val="24"/>
        </w:rPr>
      </w:pPr>
      <w:r>
        <w:rPr>
          <w:rFonts w:ascii="Century Gothic" w:hAnsi="Century Gothic" w:cs="Arial"/>
          <w:bCs/>
          <w:color w:val="333333"/>
          <w:sz w:val="24"/>
        </w:rPr>
        <w:t xml:space="preserve">iii. No impact. Capital </w:t>
      </w:r>
    </w:p>
    <w:p w14:paraId="37E1A00C" w14:textId="77777777" w:rsidR="0015518F" w:rsidRDefault="0015518F">
      <w:pPr>
        <w:rPr>
          <w:rFonts w:ascii="Century Gothic" w:hAnsi="Century Gothic" w:cs="Arial"/>
          <w:bCs/>
          <w:color w:val="333333"/>
          <w:sz w:val="24"/>
        </w:rPr>
      </w:pPr>
    </w:p>
    <w:p w14:paraId="6E2C3163" w14:textId="6F7A9DED" w:rsidR="0015518F" w:rsidRDefault="0015518F">
      <w:pPr>
        <w:rPr>
          <w:rFonts w:ascii="Century Gothic" w:hAnsi="Century Gothic" w:cs="Arial"/>
          <w:bCs/>
          <w:color w:val="333333"/>
          <w:sz w:val="24"/>
        </w:rPr>
      </w:pPr>
      <w:r>
        <w:rPr>
          <w:rFonts w:ascii="Century Gothic" w:hAnsi="Century Gothic" w:cs="Arial"/>
          <w:bCs/>
          <w:color w:val="333333"/>
          <w:sz w:val="24"/>
        </w:rPr>
        <w:lastRenderedPageBreak/>
        <w:t xml:space="preserve">iv. </w:t>
      </w:r>
      <w:r w:rsidR="009C5619">
        <w:rPr>
          <w:rFonts w:ascii="Century Gothic" w:hAnsi="Century Gothic" w:cs="Arial"/>
          <w:bCs/>
          <w:color w:val="333333"/>
          <w:sz w:val="24"/>
        </w:rPr>
        <w:t xml:space="preserve">Future crediting rate will </w:t>
      </w:r>
      <w:r>
        <w:rPr>
          <w:rFonts w:ascii="Century Gothic" w:hAnsi="Century Gothic" w:cs="Arial"/>
          <w:bCs/>
          <w:color w:val="333333"/>
          <w:sz w:val="24"/>
        </w:rPr>
        <w:t xml:space="preserve">reduce </w:t>
      </w:r>
      <w:r w:rsidR="009C5619">
        <w:rPr>
          <w:rFonts w:ascii="Century Gothic" w:hAnsi="Century Gothic" w:cs="Arial"/>
          <w:bCs/>
          <w:color w:val="333333"/>
          <w:sz w:val="24"/>
        </w:rPr>
        <w:t xml:space="preserve">to reflect the fall in </w:t>
      </w:r>
      <w:r w:rsidR="00AD067B">
        <w:rPr>
          <w:rFonts w:ascii="Century Gothic" w:hAnsi="Century Gothic" w:cs="Arial"/>
          <w:bCs/>
          <w:color w:val="333333"/>
          <w:sz w:val="24"/>
        </w:rPr>
        <w:t xml:space="preserve">investment. It might reduce more than the actual loss so that the company is able to recoup the investment loss. </w:t>
      </w:r>
    </w:p>
    <w:p w14:paraId="4D56B391" w14:textId="77777777" w:rsidR="0015518F" w:rsidRDefault="0015518F">
      <w:pPr>
        <w:rPr>
          <w:rFonts w:ascii="Century Gothic" w:hAnsi="Century Gothic" w:cs="Arial"/>
          <w:bCs/>
          <w:color w:val="333333"/>
          <w:sz w:val="24"/>
        </w:rPr>
      </w:pPr>
    </w:p>
    <w:p w14:paraId="62B393AC" w14:textId="76C52606" w:rsidR="0015518F" w:rsidRDefault="0015518F">
      <w:pPr>
        <w:rPr>
          <w:rFonts w:ascii="Century Gothic" w:hAnsi="Century Gothic" w:cs="Arial"/>
          <w:bCs/>
          <w:color w:val="333333"/>
          <w:sz w:val="24"/>
        </w:rPr>
      </w:pPr>
      <w:proofErr w:type="gramStart"/>
      <w:r>
        <w:rPr>
          <w:rFonts w:ascii="Century Gothic" w:hAnsi="Century Gothic" w:cs="Arial"/>
          <w:bCs/>
          <w:color w:val="333333"/>
          <w:sz w:val="24"/>
        </w:rPr>
        <w:t>less</w:t>
      </w:r>
      <w:proofErr w:type="gramEnd"/>
      <w:r>
        <w:rPr>
          <w:rFonts w:ascii="Century Gothic" w:hAnsi="Century Gothic" w:cs="Arial"/>
          <w:bCs/>
          <w:color w:val="333333"/>
          <w:sz w:val="24"/>
        </w:rPr>
        <w:t xml:space="preserve"> will be paid, to recover from the previous investment loss.</w:t>
      </w:r>
    </w:p>
    <w:p w14:paraId="1E351DCE" w14:textId="77777777" w:rsidR="0015518F" w:rsidRDefault="0015518F">
      <w:pPr>
        <w:rPr>
          <w:rFonts w:ascii="Century Gothic" w:hAnsi="Century Gothic" w:cs="Arial"/>
          <w:bCs/>
          <w:color w:val="333333"/>
          <w:sz w:val="24"/>
        </w:rPr>
      </w:pPr>
      <w:bookmarkStart w:id="0" w:name="_GoBack"/>
      <w:bookmarkEnd w:id="0"/>
    </w:p>
    <w:p w14:paraId="22E5C2EF" w14:textId="77777777" w:rsidR="005465EE" w:rsidRDefault="005465EE">
      <w:pPr>
        <w:rPr>
          <w:rFonts w:ascii="Century Gothic" w:hAnsi="Century Gothic" w:cs="Arial"/>
          <w:bCs/>
          <w:color w:val="333333"/>
          <w:sz w:val="24"/>
        </w:rPr>
      </w:pPr>
    </w:p>
    <w:p w14:paraId="0450AB3F" w14:textId="7D30A837" w:rsidR="0015518F" w:rsidRDefault="00F50E4E">
      <w:pPr>
        <w:rPr>
          <w:rFonts w:ascii="Century Gothic" w:hAnsi="Century Gothic" w:cs="Arial"/>
          <w:bCs/>
          <w:color w:val="333333"/>
          <w:sz w:val="24"/>
        </w:rPr>
      </w:pPr>
      <w:r>
        <w:rPr>
          <w:rFonts w:ascii="Century Gothic" w:hAnsi="Century Gothic" w:cs="Arial"/>
          <w:bCs/>
          <w:color w:val="333333"/>
          <w:sz w:val="24"/>
        </w:rPr>
        <w:t xml:space="preserve">(f) </w:t>
      </w:r>
    </w:p>
    <w:p w14:paraId="3B33887C" w14:textId="77777777" w:rsidR="00711D49" w:rsidRDefault="00711D49">
      <w:pPr>
        <w:rPr>
          <w:rFonts w:ascii="Century Gothic" w:hAnsi="Century Gothic" w:cs="Arial"/>
          <w:bCs/>
          <w:color w:val="333333"/>
          <w:sz w:val="24"/>
        </w:rPr>
      </w:pPr>
    </w:p>
    <w:p w14:paraId="4307CC05" w14:textId="77777777" w:rsidR="00711D49" w:rsidRDefault="00711D49">
      <w:pPr>
        <w:rPr>
          <w:rFonts w:ascii="Century Gothic" w:hAnsi="Century Gothic" w:cs="Arial"/>
          <w:bCs/>
          <w:color w:val="333333"/>
          <w:sz w:val="24"/>
        </w:rPr>
      </w:pPr>
    </w:p>
    <w:p w14:paraId="1D2AC6E4" w14:textId="77777777" w:rsidR="00711D49" w:rsidRDefault="00711D49">
      <w:pPr>
        <w:rPr>
          <w:rFonts w:ascii="Century Gothic" w:hAnsi="Century Gothic" w:cs="Arial"/>
          <w:bCs/>
          <w:color w:val="333333"/>
          <w:sz w:val="24"/>
        </w:rPr>
      </w:pPr>
    </w:p>
    <w:p w14:paraId="7895754C" w14:textId="77777777" w:rsidR="00F81C01" w:rsidRDefault="00F81C01">
      <w:pPr>
        <w:rPr>
          <w:rFonts w:ascii="Century Gothic" w:hAnsi="Century Gothic" w:cs="Arial"/>
          <w:bCs/>
          <w:color w:val="333333"/>
          <w:sz w:val="24"/>
        </w:rPr>
      </w:pPr>
    </w:p>
    <w:p w14:paraId="5DC31DCF" w14:textId="77777777" w:rsidR="008D7569" w:rsidRDefault="00DE1F47" w:rsidP="006F4977">
      <w:pPr>
        <w:rPr>
          <w:rFonts w:ascii="Century Gothic" w:hAnsi="Century Gothic" w:cs="Arial"/>
          <w:bCs/>
          <w:color w:val="333333"/>
          <w:sz w:val="24"/>
        </w:rPr>
      </w:pPr>
      <w:r>
        <w:rPr>
          <w:rFonts w:ascii="Century Gothic" w:hAnsi="Century Gothic" w:cs="Arial"/>
          <w:bCs/>
          <w:color w:val="333333"/>
          <w:sz w:val="24"/>
        </w:rPr>
        <w:t>(g</w:t>
      </w:r>
      <w:r w:rsidR="006F4977">
        <w:rPr>
          <w:rFonts w:ascii="Century Gothic" w:hAnsi="Century Gothic" w:cs="Arial"/>
          <w:bCs/>
          <w:color w:val="333333"/>
          <w:sz w:val="24"/>
        </w:rPr>
        <w:t xml:space="preserve">) </w:t>
      </w:r>
    </w:p>
    <w:p w14:paraId="12594982" w14:textId="77777777" w:rsidR="00081CAB" w:rsidRPr="00241EC7" w:rsidRDefault="00081CAB" w:rsidP="00081CAB">
      <w:pPr>
        <w:rPr>
          <w:rFonts w:ascii="Century Gothic" w:hAnsi="Century Gothic" w:cs="Arial"/>
          <w:b/>
          <w:bCs/>
          <w:color w:val="333333"/>
          <w:sz w:val="24"/>
        </w:rPr>
      </w:pPr>
      <w:r w:rsidRPr="00241EC7">
        <w:rPr>
          <w:rFonts w:ascii="Century Gothic" w:hAnsi="Century Gothic" w:cs="Arial"/>
          <w:b/>
          <w:bCs/>
          <w:color w:val="333333"/>
          <w:sz w:val="24"/>
        </w:rPr>
        <w:t>A change to the crediting rate does not affect profit, unless the business is in loss recognition.</w:t>
      </w:r>
    </w:p>
    <w:p w14:paraId="6ED8E86B" w14:textId="77777777" w:rsidR="00081CAB" w:rsidRPr="00081CAB" w:rsidRDefault="00081CAB" w:rsidP="006F4977">
      <w:pPr>
        <w:rPr>
          <w:rFonts w:ascii="Century Gothic" w:hAnsi="Century Gothic" w:cs="Arial"/>
          <w:b/>
          <w:bCs/>
          <w:color w:val="333333"/>
          <w:sz w:val="24"/>
        </w:rPr>
      </w:pPr>
    </w:p>
    <w:p w14:paraId="4E3C9091" w14:textId="77777777" w:rsidR="008D7569" w:rsidRDefault="008D7569" w:rsidP="006F4977">
      <w:pPr>
        <w:rPr>
          <w:rFonts w:ascii="Century Gothic" w:hAnsi="Century Gothic" w:cs="Arial"/>
          <w:bCs/>
          <w:color w:val="333333"/>
          <w:sz w:val="24"/>
        </w:rPr>
      </w:pPr>
    </w:p>
    <w:p w14:paraId="0482EA4A" w14:textId="77777777" w:rsidR="008D7569" w:rsidRDefault="008D7569" w:rsidP="008D7569">
      <w:pPr>
        <w:spacing w:before="120" w:after="120"/>
        <w:rPr>
          <w:rFonts w:ascii="Century Gothic" w:hAnsi="Century Gothic" w:cs="Arial"/>
          <w:bCs/>
          <w:color w:val="333333"/>
          <w:sz w:val="24"/>
          <w:lang w:val="en-GB"/>
        </w:rPr>
      </w:pPr>
      <w:r>
        <w:rPr>
          <w:rFonts w:ascii="Century Gothic" w:hAnsi="Century Gothic" w:cs="Arial"/>
          <w:bCs/>
          <w:color w:val="333333"/>
          <w:sz w:val="24"/>
          <w:lang w:val="en-GB"/>
        </w:rPr>
        <w:t xml:space="preserve">[P76] </w:t>
      </w:r>
      <w:r w:rsidRPr="009F26BF">
        <w:rPr>
          <w:rFonts w:ascii="Century Gothic" w:hAnsi="Century Gothic" w:cs="Arial"/>
          <w:bCs/>
          <w:color w:val="333333"/>
          <w:sz w:val="24"/>
          <w:lang w:val="en-GB"/>
        </w:rPr>
        <w:t>For non-participating business with entitlement to discretionary additions (e.g. non- participating investment account policies), the adjusted policy liabilities are determined by taking the greater of the RFBEL and the sum of the investment fluctuation reserve (if it is greater than zero) and the termination values. This adjustment prevents the investment fluctuation reserve from being included in the capital base. Note that the investment fluctuation reserve is included in the RFBEL, but it is not part of the termination value.</w:t>
      </w:r>
    </w:p>
    <w:p w14:paraId="2D62C3AB" w14:textId="77777777" w:rsidR="008D7569" w:rsidRDefault="008D7569" w:rsidP="006F4977">
      <w:pPr>
        <w:rPr>
          <w:rFonts w:ascii="Century Gothic" w:hAnsi="Century Gothic" w:cs="Arial"/>
          <w:bCs/>
          <w:color w:val="333333"/>
          <w:sz w:val="24"/>
          <w:lang w:val="en-GB"/>
        </w:rPr>
      </w:pPr>
    </w:p>
    <w:p w14:paraId="728252DC" w14:textId="215B7FA5" w:rsidR="003A1DDB" w:rsidRPr="006F4977" w:rsidRDefault="006F4977" w:rsidP="006F4977">
      <w:pPr>
        <w:rPr>
          <w:rFonts w:ascii="Century Gothic" w:hAnsi="Century Gothic" w:cs="Arial"/>
          <w:bCs/>
          <w:color w:val="333333"/>
          <w:sz w:val="24"/>
        </w:rPr>
      </w:pPr>
      <w:r w:rsidRPr="006F4977">
        <w:rPr>
          <w:rFonts w:ascii="Century Gothic" w:hAnsi="Century Gothic" w:cs="Arial"/>
          <w:bCs/>
          <w:color w:val="333333"/>
          <w:sz w:val="24"/>
        </w:rPr>
        <w:t xml:space="preserve">When long-term interest rates are very low, there can be a significant risk that actual investment returns will be less than the minimum guaranteed rate. Shareholders” capital will be required to support this guarantee, but the expected return on capital will be unduly low (and if interest rates are extremely low losses might be expected). In contrast, when long-term interest rates are high, the risk of inadequate investment returns and the capital required will be much smaller and the expected return on shareholder capital will be unduly high. </w:t>
      </w:r>
      <w:r w:rsidR="003A1DDB" w:rsidRPr="006F4977">
        <w:rPr>
          <w:rFonts w:ascii="Century Gothic" w:hAnsi="Century Gothic" w:cs="Arial"/>
          <w:bCs/>
          <w:color w:val="333333"/>
          <w:sz w:val="24"/>
        </w:rPr>
        <w:br w:type="page"/>
      </w:r>
    </w:p>
    <w:p w14:paraId="0CB1B910" w14:textId="77777777" w:rsidR="003A1DDB" w:rsidRPr="003A1DDB" w:rsidRDefault="003A1DDB" w:rsidP="003A1DDB">
      <w:pPr>
        <w:spacing w:before="120" w:after="120"/>
        <w:rPr>
          <w:rFonts w:ascii="Century Gothic" w:hAnsi="Century Gothic" w:cs="Arial"/>
          <w:sz w:val="24"/>
        </w:rPr>
      </w:pPr>
      <w:r w:rsidRPr="003A1DDB">
        <w:rPr>
          <w:rFonts w:ascii="Century Gothic" w:hAnsi="Century Gothic" w:cs="Arial"/>
          <w:b/>
          <w:sz w:val="24"/>
        </w:rPr>
        <w:lastRenderedPageBreak/>
        <w:t>Declaration</w:t>
      </w:r>
      <w:r w:rsidRPr="003A1DDB">
        <w:rPr>
          <w:rFonts w:ascii="Century Gothic" w:hAnsi="Century Gothic" w:cs="Arial"/>
          <w:sz w:val="24"/>
        </w:rPr>
        <w:t>:</w:t>
      </w:r>
    </w:p>
    <w:p w14:paraId="19154719" w14:textId="77777777" w:rsidR="0087767B" w:rsidRPr="003A1DDB" w:rsidRDefault="003A1DDB" w:rsidP="003A1DDB">
      <w:pPr>
        <w:spacing w:before="120" w:after="120"/>
        <w:rPr>
          <w:rFonts w:ascii="Century Gothic" w:hAnsi="Century Gothic" w:cs="Arial"/>
          <w:i/>
          <w:sz w:val="24"/>
        </w:rPr>
      </w:pPr>
      <w:r w:rsidRPr="003A1DDB">
        <w:rPr>
          <w:rFonts w:ascii="Century Gothic" w:hAnsi="Century Gothic" w:cs="Arial"/>
          <w:i/>
          <w:sz w:val="24"/>
        </w:rPr>
        <w:t>I declare that all work in this assignment is my own work except where there is clear acknowledgement or reference to the work or assistance of others.</w:t>
      </w:r>
    </w:p>
    <w:sectPr w:rsidR="0087767B" w:rsidRPr="003A1DDB" w:rsidSect="00F648C7">
      <w:headerReference w:type="default" r:id="rId9"/>
      <w:footerReference w:type="even" r:id="rId10"/>
      <w:footerReference w:type="default" r:id="rId11"/>
      <w:footerReference w:type="first" r:id="rId12"/>
      <w:pgSz w:w="11907" w:h="16840" w:code="9"/>
      <w:pgMar w:top="1440" w:right="1440" w:bottom="1440" w:left="1440" w:header="283" w:footer="2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93213" w14:textId="77777777" w:rsidR="008247D2" w:rsidRDefault="008247D2">
      <w:r>
        <w:separator/>
      </w:r>
    </w:p>
  </w:endnote>
  <w:endnote w:type="continuationSeparator" w:id="0">
    <w:p w14:paraId="39588256" w14:textId="77777777" w:rsidR="008247D2" w:rsidRDefault="0082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40AAF" w14:textId="77777777" w:rsidR="000F5C35" w:rsidRPr="000F5C35" w:rsidRDefault="000F5C35">
    <w:pPr>
      <w:pStyle w:val="Footer"/>
      <w:rPr>
        <w:lang w:val="en-US"/>
      </w:rPr>
    </w:pPr>
    <w:r>
      <w:rPr>
        <w:lang w:val="en-US"/>
      </w:rPr>
      <w:t>123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B54FF" w14:textId="77777777" w:rsidR="00F648C7" w:rsidRPr="00923BB5" w:rsidRDefault="00F648C7" w:rsidP="00F648C7">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280FE3">
      <w:rPr>
        <w:rFonts w:ascii="Century Gothic" w:hAnsi="Century Gothic"/>
        <w:noProof/>
        <w:sz w:val="22"/>
        <w:szCs w:val="22"/>
        <w:lang w:eastAsia="en-AU"/>
      </w:rPr>
      <w:t>192457</w:t>
    </w:r>
  </w:p>
  <w:p w14:paraId="11B87E00" w14:textId="77777777" w:rsidR="00F4379C" w:rsidRPr="0076546F" w:rsidRDefault="00F648C7" w:rsidP="00F648C7">
    <w:pPr>
      <w:adjustRightInd w:val="0"/>
      <w:snapToGrid w:val="0"/>
      <w:spacing w:after="240"/>
      <w:jc w:val="right"/>
      <w:rPr>
        <w:sz w:val="24"/>
        <w:szCs w:val="24"/>
      </w:rPr>
    </w:pPr>
    <w:r w:rsidRPr="00923BB5">
      <w:rPr>
        <w:rFonts w:ascii="Century Gothic" w:hAnsi="Century Gothic"/>
        <w:noProof/>
        <w:sz w:val="22"/>
        <w:szCs w:val="22"/>
        <w:lang w:eastAsia="en-AU"/>
      </w:rPr>
      <w:t>Course: C</w:t>
    </w:r>
    <w:r>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Pr>
        <w:rFonts w:ascii="Century Gothic" w:hAnsi="Century Gothic"/>
        <w:noProof/>
        <w:sz w:val="22"/>
        <w:szCs w:val="22"/>
        <w:lang w:eastAsia="en-AU"/>
      </w:rPr>
      <w:t>Life Insurance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11B76" w14:textId="77777777" w:rsidR="00F648C7" w:rsidRDefault="00F648C7" w:rsidP="00F648C7">
    <w:pPr>
      <w:tabs>
        <w:tab w:val="left" w:pos="7110"/>
        <w:tab w:val="right" w:pos="9027"/>
      </w:tabs>
      <w:ind w:left="-250"/>
      <w:rPr>
        <w:rFonts w:ascii="Century Gothic" w:hAnsi="Century Gothic"/>
        <w:b/>
        <w:color w:val="5F5F5F"/>
        <w:sz w:val="18"/>
        <w:szCs w:val="18"/>
      </w:rPr>
    </w:pPr>
    <w:r>
      <w:rPr>
        <w:rFonts w:ascii="Century Gothic" w:hAnsi="Century Gothic"/>
        <w:b/>
        <w:color w:val="5F5F5F"/>
        <w:sz w:val="18"/>
        <w:szCs w:val="18"/>
      </w:rPr>
      <w:tab/>
    </w:r>
    <w:r>
      <w:rPr>
        <w:rFonts w:ascii="Century Gothic" w:hAnsi="Century Gothic"/>
        <w:b/>
        <w:color w:val="5F5F5F"/>
        <w:sz w:val="18"/>
        <w:szCs w:val="18"/>
      </w:rPr>
      <w:tab/>
      <w:t>Actuaries Institute</w:t>
    </w:r>
  </w:p>
  <w:p w14:paraId="1DE7753B" w14:textId="77777777" w:rsidR="00F648C7" w:rsidRDefault="00F648C7" w:rsidP="00F648C7">
    <w:pPr>
      <w:ind w:left="-250"/>
      <w:jc w:val="right"/>
      <w:rPr>
        <w:rFonts w:ascii="Century Gothic" w:hAnsi="Century Gothic"/>
        <w:color w:val="5F5F5F"/>
        <w:sz w:val="18"/>
        <w:szCs w:val="18"/>
      </w:rPr>
    </w:pPr>
    <w:r>
      <w:rPr>
        <w:rFonts w:ascii="Century Gothic" w:hAnsi="Century Gothic"/>
        <w:color w:val="5F5F5F"/>
        <w:sz w:val="18"/>
        <w:szCs w:val="18"/>
      </w:rPr>
      <w:t>Level 2, 50 Carrington Street, Sydney NSW Australia 2000</w:t>
    </w:r>
  </w:p>
  <w:p w14:paraId="5389198C" w14:textId="77777777" w:rsidR="00F648C7" w:rsidRDefault="00F648C7" w:rsidP="00F648C7">
    <w:pPr>
      <w:ind w:left="-250"/>
      <w:jc w:val="right"/>
      <w:rPr>
        <w:rFonts w:ascii="Century Gothic" w:hAnsi="Century Gothic"/>
        <w:color w:val="5F5F5F"/>
        <w:sz w:val="18"/>
        <w:szCs w:val="18"/>
      </w:rPr>
    </w:pPr>
    <w:proofErr w:type="gramStart"/>
    <w:r>
      <w:rPr>
        <w:rFonts w:ascii="Century Gothic" w:hAnsi="Century Gothic"/>
        <w:b/>
        <w:color w:val="5F5F5F"/>
        <w:sz w:val="18"/>
        <w:szCs w:val="18"/>
      </w:rPr>
      <w:t>t</w:t>
    </w:r>
    <w:proofErr w:type="gramEnd"/>
    <w:r>
      <w:rPr>
        <w:rFonts w:ascii="Century Gothic" w:hAnsi="Century Gothic"/>
        <w:b/>
        <w:color w:val="5F5F5F"/>
        <w:sz w:val="18"/>
        <w:szCs w:val="18"/>
      </w:rPr>
      <w:t xml:space="preserve"> </w:t>
    </w:r>
    <w:r>
      <w:rPr>
        <w:rFonts w:ascii="Century Gothic" w:hAnsi="Century Gothic"/>
        <w:color w:val="5F5F5F"/>
        <w:sz w:val="18"/>
        <w:szCs w:val="18"/>
      </w:rPr>
      <w:t>+61 (0) 2 9233 3466 f +61 (0) 2 9233 3446</w:t>
    </w:r>
  </w:p>
  <w:p w14:paraId="4DA5E3C7" w14:textId="77777777" w:rsidR="00F648C7" w:rsidRDefault="00F648C7" w:rsidP="00F648C7">
    <w:pPr>
      <w:pStyle w:val="Footer"/>
      <w:jc w:val="right"/>
    </w:pPr>
    <w:proofErr w:type="gramStart"/>
    <w:r>
      <w:rPr>
        <w:rFonts w:ascii="Century Gothic" w:hAnsi="Century Gothic"/>
        <w:b/>
        <w:color w:val="595959"/>
        <w:sz w:val="18"/>
        <w:szCs w:val="18"/>
      </w:rPr>
      <w:t>e</w:t>
    </w:r>
    <w:proofErr w:type="gramEnd"/>
    <w:r>
      <w:rPr>
        <w:rFonts w:ascii="Century Gothic" w:hAnsi="Century Gothic"/>
        <w:color w:val="595959"/>
        <w:sz w:val="18"/>
        <w:szCs w:val="18"/>
      </w:rPr>
      <w:t xml:space="preserve"> </w:t>
    </w:r>
    <w:hyperlink r:id="rId1" w:history="1">
      <w:r>
        <w:rPr>
          <w:rStyle w:val="Hyperlink"/>
          <w:rFonts w:ascii="Century Gothic" w:hAnsi="Century Gothic"/>
          <w:color w:val="0079A7"/>
          <w:sz w:val="18"/>
          <w:szCs w:val="18"/>
        </w:rPr>
        <w:t>education@actuaries.asn.au</w:t>
      </w:r>
    </w:hyperlink>
    <w:r>
      <w:rPr>
        <w:rFonts w:ascii="Century Gothic" w:hAnsi="Century Gothic"/>
        <w:sz w:val="18"/>
        <w:szCs w:val="18"/>
      </w:rPr>
      <w:t xml:space="preserve"> </w:t>
    </w:r>
    <w:r>
      <w:rPr>
        <w:rFonts w:ascii="Century Gothic" w:hAnsi="Century Gothic"/>
        <w:color w:val="595959"/>
        <w:sz w:val="18"/>
        <w:szCs w:val="18"/>
      </w:rPr>
      <w:t xml:space="preserve">  </w:t>
    </w:r>
    <w:r>
      <w:rPr>
        <w:rFonts w:ascii="Century Gothic" w:hAnsi="Century Gothic"/>
        <w:b/>
        <w:color w:val="595959"/>
        <w:sz w:val="18"/>
        <w:szCs w:val="18"/>
      </w:rPr>
      <w:t>w</w:t>
    </w:r>
    <w:r>
      <w:rPr>
        <w:rFonts w:ascii="Century Gothic" w:hAnsi="Century Gothic"/>
        <w:color w:val="595959"/>
        <w:sz w:val="18"/>
        <w:szCs w:val="18"/>
      </w:rPr>
      <w:t xml:space="preserve"> </w:t>
    </w:r>
    <w:hyperlink r:id="rId2" w:history="1">
      <w:r>
        <w:rPr>
          <w:rStyle w:val="Hyperlink"/>
          <w:rFonts w:ascii="Century Gothic" w:hAnsi="Century Gothic"/>
          <w:color w:val="0079A7"/>
          <w:sz w:val="18"/>
          <w:szCs w:val="18"/>
        </w:rPr>
        <w:t>www.actuaries.asn.au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102F1" w14:textId="77777777" w:rsidR="008247D2" w:rsidRDefault="008247D2">
      <w:r>
        <w:separator/>
      </w:r>
    </w:p>
  </w:footnote>
  <w:footnote w:type="continuationSeparator" w:id="0">
    <w:p w14:paraId="2C920421" w14:textId="77777777" w:rsidR="008247D2" w:rsidRDefault="008247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F449A" w14:textId="77777777" w:rsidR="00923BB5" w:rsidRPr="00923BB5" w:rsidRDefault="00923BB5" w:rsidP="004F1BAB">
    <w:pPr>
      <w:jc w:val="right"/>
      <w:rPr>
        <w:rFonts w:ascii="Century Gothic" w:hAnsi="Century Gothic"/>
        <w:noProof/>
        <w:sz w:val="22"/>
        <w:szCs w:val="22"/>
        <w:lang w:eastAsia="en-AU"/>
      </w:rPr>
    </w:pPr>
    <w:r>
      <w:rPr>
        <w:rFonts w:ascii="Century Gothic" w:hAnsi="Century Gothic"/>
        <w:noProof/>
        <w:sz w:val="22"/>
        <w:szCs w:val="22"/>
        <w:lang w:eastAsia="en-AU"/>
      </w:rPr>
      <w:br/>
    </w:r>
    <w:r w:rsidR="00FF19B1">
      <w:rPr>
        <w:rFonts w:ascii="Century Gothic" w:hAnsi="Century Gothic"/>
        <w:noProof/>
        <w:sz w:val="22"/>
        <w:szCs w:val="22"/>
        <w:lang w:val="en-US" w:eastAsia="zh-CN"/>
      </w:rPr>
      <w:drawing>
        <wp:anchor distT="0" distB="0" distL="114300" distR="114300" simplePos="0" relativeHeight="251657728" behindDoc="1" locked="0" layoutInCell="1" allowOverlap="1" wp14:anchorId="76FAE439" wp14:editId="1212686E">
          <wp:simplePos x="0" y="0"/>
          <wp:positionH relativeFrom="column">
            <wp:posOffset>9525</wp:posOffset>
          </wp:positionH>
          <wp:positionV relativeFrom="paragraph">
            <wp:posOffset>57150</wp:posOffset>
          </wp:positionV>
          <wp:extent cx="2095500" cy="676275"/>
          <wp:effectExtent l="0" t="0" r="0" b="9525"/>
          <wp:wrapTight wrapText="bothSides">
            <wp:wrapPolygon edited="0">
              <wp:start x="0" y="0"/>
              <wp:lineTo x="0" y="21296"/>
              <wp:lineTo x="21404" y="21296"/>
              <wp:lineTo x="21404" y="0"/>
              <wp:lineTo x="0" y="0"/>
            </wp:wrapPolygon>
          </wp:wrapTight>
          <wp:docPr id="23" name="Picture 23"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00280FE3" w:rsidRPr="00280FE3">
      <w:rPr>
        <w:rFonts w:ascii="Century Gothic" w:hAnsi="Century Gothic"/>
        <w:noProof/>
        <w:sz w:val="22"/>
        <w:szCs w:val="22"/>
        <w:lang w:eastAsia="en-AU"/>
      </w:rPr>
      <w:t>192457</w:t>
    </w:r>
  </w:p>
  <w:p w14:paraId="77D78396" w14:textId="77777777" w:rsidR="004F1BAB" w:rsidRPr="00923BB5" w:rsidRDefault="00923BB5" w:rsidP="00923BB5">
    <w:pPr>
      <w:jc w:val="right"/>
      <w:rPr>
        <w:noProof/>
        <w:sz w:val="22"/>
        <w:szCs w:val="22"/>
        <w:lang w:eastAsia="en-AU"/>
      </w:rPr>
    </w:pPr>
    <w:r w:rsidRPr="00923BB5">
      <w:rPr>
        <w:rFonts w:ascii="Century Gothic" w:hAnsi="Century Gothic"/>
        <w:noProof/>
        <w:sz w:val="22"/>
        <w:szCs w:val="22"/>
        <w:lang w:eastAsia="en-AU"/>
      </w:rPr>
      <w:t>Course: C</w:t>
    </w:r>
    <w:r w:rsidR="00280FE3">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21E001D0" w14:textId="77777777" w:rsidR="0076546F" w:rsidRDefault="0076546F" w:rsidP="0076546F">
    <w:pPr>
      <w:pStyle w:val="Header"/>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55C"/>
    <w:multiLevelType w:val="hybridMultilevel"/>
    <w:tmpl w:val="9DA0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27967"/>
    <w:multiLevelType w:val="hybridMultilevel"/>
    <w:tmpl w:val="787472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B01522"/>
    <w:multiLevelType w:val="hybridMultilevel"/>
    <w:tmpl w:val="48F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01769"/>
    <w:multiLevelType w:val="hybridMultilevel"/>
    <w:tmpl w:val="A56CC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372FE"/>
    <w:multiLevelType w:val="hybridMultilevel"/>
    <w:tmpl w:val="C85866A8"/>
    <w:lvl w:ilvl="0" w:tplc="884441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8F"/>
    <w:rsid w:val="00013DAE"/>
    <w:rsid w:val="000204ED"/>
    <w:rsid w:val="00026024"/>
    <w:rsid w:val="000340FC"/>
    <w:rsid w:val="000423F4"/>
    <w:rsid w:val="00046CEC"/>
    <w:rsid w:val="00053F62"/>
    <w:rsid w:val="0005471D"/>
    <w:rsid w:val="00056DD9"/>
    <w:rsid w:val="00060255"/>
    <w:rsid w:val="0006331A"/>
    <w:rsid w:val="00065D4F"/>
    <w:rsid w:val="00065DFC"/>
    <w:rsid w:val="00066236"/>
    <w:rsid w:val="0007779F"/>
    <w:rsid w:val="00080EB8"/>
    <w:rsid w:val="00081CAB"/>
    <w:rsid w:val="00082B37"/>
    <w:rsid w:val="00090FA0"/>
    <w:rsid w:val="000A026D"/>
    <w:rsid w:val="000A16B7"/>
    <w:rsid w:val="000A3D36"/>
    <w:rsid w:val="000B100B"/>
    <w:rsid w:val="000C45BE"/>
    <w:rsid w:val="000D566E"/>
    <w:rsid w:val="000E65BB"/>
    <w:rsid w:val="000F005B"/>
    <w:rsid w:val="000F0BE8"/>
    <w:rsid w:val="000F144E"/>
    <w:rsid w:val="000F29DC"/>
    <w:rsid w:val="000F5C35"/>
    <w:rsid w:val="000F78E1"/>
    <w:rsid w:val="00101524"/>
    <w:rsid w:val="00107CC1"/>
    <w:rsid w:val="001205DA"/>
    <w:rsid w:val="00121309"/>
    <w:rsid w:val="0015518F"/>
    <w:rsid w:val="00170D29"/>
    <w:rsid w:val="0017584F"/>
    <w:rsid w:val="00192153"/>
    <w:rsid w:val="001A5BF2"/>
    <w:rsid w:val="001D255C"/>
    <w:rsid w:val="001D4973"/>
    <w:rsid w:val="001E2B86"/>
    <w:rsid w:val="001E2D80"/>
    <w:rsid w:val="001E6A0A"/>
    <w:rsid w:val="001E70E9"/>
    <w:rsid w:val="00203CB0"/>
    <w:rsid w:val="002147EF"/>
    <w:rsid w:val="002169B4"/>
    <w:rsid w:val="00223B08"/>
    <w:rsid w:val="00223BD0"/>
    <w:rsid w:val="00223E70"/>
    <w:rsid w:val="00231FA6"/>
    <w:rsid w:val="00241EC7"/>
    <w:rsid w:val="00246C95"/>
    <w:rsid w:val="002525F4"/>
    <w:rsid w:val="00274DAD"/>
    <w:rsid w:val="00276508"/>
    <w:rsid w:val="00280FE3"/>
    <w:rsid w:val="002856A1"/>
    <w:rsid w:val="002871B9"/>
    <w:rsid w:val="00297000"/>
    <w:rsid w:val="0029748C"/>
    <w:rsid w:val="002C5E80"/>
    <w:rsid w:val="002E601A"/>
    <w:rsid w:val="003157CA"/>
    <w:rsid w:val="00316DBB"/>
    <w:rsid w:val="003309B3"/>
    <w:rsid w:val="003510FF"/>
    <w:rsid w:val="00351B14"/>
    <w:rsid w:val="00352982"/>
    <w:rsid w:val="00354F6D"/>
    <w:rsid w:val="003570C9"/>
    <w:rsid w:val="00365B2A"/>
    <w:rsid w:val="00390BC1"/>
    <w:rsid w:val="00394EF2"/>
    <w:rsid w:val="003A1DDB"/>
    <w:rsid w:val="003A4649"/>
    <w:rsid w:val="003A5F06"/>
    <w:rsid w:val="003C1216"/>
    <w:rsid w:val="003C4DF8"/>
    <w:rsid w:val="003D2248"/>
    <w:rsid w:val="003D4848"/>
    <w:rsid w:val="003E09AE"/>
    <w:rsid w:val="003E1B3E"/>
    <w:rsid w:val="00402007"/>
    <w:rsid w:val="00406919"/>
    <w:rsid w:val="00422912"/>
    <w:rsid w:val="00442467"/>
    <w:rsid w:val="00452D5A"/>
    <w:rsid w:val="0046420F"/>
    <w:rsid w:val="00475959"/>
    <w:rsid w:val="004815D5"/>
    <w:rsid w:val="00486C55"/>
    <w:rsid w:val="004B4CB4"/>
    <w:rsid w:val="004D54F1"/>
    <w:rsid w:val="004E079E"/>
    <w:rsid w:val="004E3E06"/>
    <w:rsid w:val="004F1BAB"/>
    <w:rsid w:val="0050154D"/>
    <w:rsid w:val="0050707A"/>
    <w:rsid w:val="00507A11"/>
    <w:rsid w:val="00511B8C"/>
    <w:rsid w:val="0052037C"/>
    <w:rsid w:val="00522E43"/>
    <w:rsid w:val="0052391F"/>
    <w:rsid w:val="0053377C"/>
    <w:rsid w:val="00534181"/>
    <w:rsid w:val="005465EE"/>
    <w:rsid w:val="0055100F"/>
    <w:rsid w:val="0055292B"/>
    <w:rsid w:val="00554260"/>
    <w:rsid w:val="00560D9C"/>
    <w:rsid w:val="00564FEB"/>
    <w:rsid w:val="00573D6D"/>
    <w:rsid w:val="0058037D"/>
    <w:rsid w:val="005858E1"/>
    <w:rsid w:val="005922D7"/>
    <w:rsid w:val="00595566"/>
    <w:rsid w:val="00595BF8"/>
    <w:rsid w:val="00595F0E"/>
    <w:rsid w:val="005A12F6"/>
    <w:rsid w:val="005B52AA"/>
    <w:rsid w:val="005B5A1B"/>
    <w:rsid w:val="005D7B57"/>
    <w:rsid w:val="005D7D74"/>
    <w:rsid w:val="005F127F"/>
    <w:rsid w:val="005F1508"/>
    <w:rsid w:val="005F5A46"/>
    <w:rsid w:val="0060733B"/>
    <w:rsid w:val="0062106C"/>
    <w:rsid w:val="00624436"/>
    <w:rsid w:val="006322E1"/>
    <w:rsid w:val="00645906"/>
    <w:rsid w:val="006616F5"/>
    <w:rsid w:val="006711B2"/>
    <w:rsid w:val="0068640C"/>
    <w:rsid w:val="006B55F1"/>
    <w:rsid w:val="006C0B13"/>
    <w:rsid w:val="006C4202"/>
    <w:rsid w:val="006C4658"/>
    <w:rsid w:val="006C59CE"/>
    <w:rsid w:val="006D7707"/>
    <w:rsid w:val="006F4977"/>
    <w:rsid w:val="00711D49"/>
    <w:rsid w:val="0072470C"/>
    <w:rsid w:val="0072690B"/>
    <w:rsid w:val="0076091C"/>
    <w:rsid w:val="007633D1"/>
    <w:rsid w:val="0076546F"/>
    <w:rsid w:val="007A110D"/>
    <w:rsid w:val="007A296F"/>
    <w:rsid w:val="007A3C03"/>
    <w:rsid w:val="007A47B2"/>
    <w:rsid w:val="007A69C0"/>
    <w:rsid w:val="007B3282"/>
    <w:rsid w:val="007C7887"/>
    <w:rsid w:val="007E5682"/>
    <w:rsid w:val="007F1956"/>
    <w:rsid w:val="007F4737"/>
    <w:rsid w:val="007F65CC"/>
    <w:rsid w:val="00810B54"/>
    <w:rsid w:val="00811269"/>
    <w:rsid w:val="0081190C"/>
    <w:rsid w:val="00823A33"/>
    <w:rsid w:val="008247D2"/>
    <w:rsid w:val="00833E22"/>
    <w:rsid w:val="00835F44"/>
    <w:rsid w:val="00844FE4"/>
    <w:rsid w:val="0084687F"/>
    <w:rsid w:val="00863948"/>
    <w:rsid w:val="00865A9C"/>
    <w:rsid w:val="0087767B"/>
    <w:rsid w:val="008830A5"/>
    <w:rsid w:val="00884A90"/>
    <w:rsid w:val="00891DCB"/>
    <w:rsid w:val="008A6CC3"/>
    <w:rsid w:val="008B48BF"/>
    <w:rsid w:val="008B4F09"/>
    <w:rsid w:val="008C694D"/>
    <w:rsid w:val="008D7569"/>
    <w:rsid w:val="008E3424"/>
    <w:rsid w:val="008F4534"/>
    <w:rsid w:val="009033BF"/>
    <w:rsid w:val="0091173C"/>
    <w:rsid w:val="009151AF"/>
    <w:rsid w:val="00920E6D"/>
    <w:rsid w:val="00923BB5"/>
    <w:rsid w:val="00953343"/>
    <w:rsid w:val="00957E89"/>
    <w:rsid w:val="009634C1"/>
    <w:rsid w:val="00964C1A"/>
    <w:rsid w:val="009959E9"/>
    <w:rsid w:val="009A0223"/>
    <w:rsid w:val="009A192C"/>
    <w:rsid w:val="009A4939"/>
    <w:rsid w:val="009C5619"/>
    <w:rsid w:val="009D1397"/>
    <w:rsid w:val="009D36D6"/>
    <w:rsid w:val="009E570C"/>
    <w:rsid w:val="009E5FA1"/>
    <w:rsid w:val="009F26BF"/>
    <w:rsid w:val="009F4D35"/>
    <w:rsid w:val="009F5BB8"/>
    <w:rsid w:val="00A039FF"/>
    <w:rsid w:val="00A049CA"/>
    <w:rsid w:val="00A245A1"/>
    <w:rsid w:val="00A71400"/>
    <w:rsid w:val="00A76F38"/>
    <w:rsid w:val="00AB33EB"/>
    <w:rsid w:val="00AD045C"/>
    <w:rsid w:val="00AD067B"/>
    <w:rsid w:val="00AD2AAF"/>
    <w:rsid w:val="00AD4D47"/>
    <w:rsid w:val="00AD7BD0"/>
    <w:rsid w:val="00AE42ED"/>
    <w:rsid w:val="00AF1F24"/>
    <w:rsid w:val="00B1458D"/>
    <w:rsid w:val="00B165BE"/>
    <w:rsid w:val="00B2026D"/>
    <w:rsid w:val="00B35455"/>
    <w:rsid w:val="00B377DB"/>
    <w:rsid w:val="00B555B3"/>
    <w:rsid w:val="00B605A9"/>
    <w:rsid w:val="00B707BA"/>
    <w:rsid w:val="00B8064D"/>
    <w:rsid w:val="00B82B04"/>
    <w:rsid w:val="00B87F06"/>
    <w:rsid w:val="00BB1040"/>
    <w:rsid w:val="00BB326D"/>
    <w:rsid w:val="00BB35E1"/>
    <w:rsid w:val="00BC5526"/>
    <w:rsid w:val="00BE012F"/>
    <w:rsid w:val="00BE0676"/>
    <w:rsid w:val="00BF6797"/>
    <w:rsid w:val="00C13255"/>
    <w:rsid w:val="00C205DC"/>
    <w:rsid w:val="00C2060A"/>
    <w:rsid w:val="00C26962"/>
    <w:rsid w:val="00C34FDD"/>
    <w:rsid w:val="00C60A85"/>
    <w:rsid w:val="00C660D3"/>
    <w:rsid w:val="00C67B73"/>
    <w:rsid w:val="00C80EDB"/>
    <w:rsid w:val="00C8384F"/>
    <w:rsid w:val="00C90166"/>
    <w:rsid w:val="00C905F2"/>
    <w:rsid w:val="00CA6A7B"/>
    <w:rsid w:val="00CB4CC0"/>
    <w:rsid w:val="00CC62F1"/>
    <w:rsid w:val="00CD03E4"/>
    <w:rsid w:val="00CD515B"/>
    <w:rsid w:val="00CE0523"/>
    <w:rsid w:val="00CE6E6E"/>
    <w:rsid w:val="00CF2094"/>
    <w:rsid w:val="00CF4F7A"/>
    <w:rsid w:val="00CF6DD2"/>
    <w:rsid w:val="00D004FF"/>
    <w:rsid w:val="00D11D50"/>
    <w:rsid w:val="00D265B1"/>
    <w:rsid w:val="00D35B89"/>
    <w:rsid w:val="00D553EC"/>
    <w:rsid w:val="00D80DC2"/>
    <w:rsid w:val="00D96FC9"/>
    <w:rsid w:val="00DA53EE"/>
    <w:rsid w:val="00DB23E2"/>
    <w:rsid w:val="00DB304B"/>
    <w:rsid w:val="00DB7A62"/>
    <w:rsid w:val="00DC62E7"/>
    <w:rsid w:val="00DD1451"/>
    <w:rsid w:val="00DD2AF4"/>
    <w:rsid w:val="00DE1F47"/>
    <w:rsid w:val="00DE3FEB"/>
    <w:rsid w:val="00DE48DE"/>
    <w:rsid w:val="00DF48ED"/>
    <w:rsid w:val="00E01B79"/>
    <w:rsid w:val="00E27AA8"/>
    <w:rsid w:val="00E31935"/>
    <w:rsid w:val="00E35530"/>
    <w:rsid w:val="00E37154"/>
    <w:rsid w:val="00E41E78"/>
    <w:rsid w:val="00E51ADF"/>
    <w:rsid w:val="00E5205C"/>
    <w:rsid w:val="00E6278F"/>
    <w:rsid w:val="00E65353"/>
    <w:rsid w:val="00E66249"/>
    <w:rsid w:val="00E72E0F"/>
    <w:rsid w:val="00E93A5C"/>
    <w:rsid w:val="00EA018A"/>
    <w:rsid w:val="00EE5708"/>
    <w:rsid w:val="00EF5BA0"/>
    <w:rsid w:val="00EF5F49"/>
    <w:rsid w:val="00F1799A"/>
    <w:rsid w:val="00F27BF4"/>
    <w:rsid w:val="00F4379C"/>
    <w:rsid w:val="00F50E4E"/>
    <w:rsid w:val="00F530C5"/>
    <w:rsid w:val="00F648C7"/>
    <w:rsid w:val="00F81C01"/>
    <w:rsid w:val="00F85E7E"/>
    <w:rsid w:val="00F9197B"/>
    <w:rsid w:val="00F95755"/>
    <w:rsid w:val="00FD4F1C"/>
    <w:rsid w:val="00FF19B1"/>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E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628">
      <w:bodyDiv w:val="1"/>
      <w:marLeft w:val="0"/>
      <w:marRight w:val="0"/>
      <w:marTop w:val="0"/>
      <w:marBottom w:val="0"/>
      <w:divBdr>
        <w:top w:val="none" w:sz="0" w:space="0" w:color="auto"/>
        <w:left w:val="none" w:sz="0" w:space="0" w:color="auto"/>
        <w:bottom w:val="none" w:sz="0" w:space="0" w:color="auto"/>
        <w:right w:val="none" w:sz="0" w:space="0" w:color="auto"/>
      </w:divBdr>
    </w:div>
    <w:div w:id="102892589">
      <w:bodyDiv w:val="1"/>
      <w:marLeft w:val="0"/>
      <w:marRight w:val="0"/>
      <w:marTop w:val="0"/>
      <w:marBottom w:val="0"/>
      <w:divBdr>
        <w:top w:val="none" w:sz="0" w:space="0" w:color="auto"/>
        <w:left w:val="none" w:sz="0" w:space="0" w:color="auto"/>
        <w:bottom w:val="none" w:sz="0" w:space="0" w:color="auto"/>
        <w:right w:val="none" w:sz="0" w:space="0" w:color="auto"/>
      </w:divBdr>
    </w:div>
    <w:div w:id="110443620">
      <w:bodyDiv w:val="1"/>
      <w:marLeft w:val="0"/>
      <w:marRight w:val="0"/>
      <w:marTop w:val="0"/>
      <w:marBottom w:val="0"/>
      <w:divBdr>
        <w:top w:val="none" w:sz="0" w:space="0" w:color="auto"/>
        <w:left w:val="none" w:sz="0" w:space="0" w:color="auto"/>
        <w:bottom w:val="none" w:sz="0" w:space="0" w:color="auto"/>
        <w:right w:val="none" w:sz="0" w:space="0" w:color="auto"/>
      </w:divBdr>
    </w:div>
    <w:div w:id="127935742">
      <w:bodyDiv w:val="1"/>
      <w:marLeft w:val="0"/>
      <w:marRight w:val="0"/>
      <w:marTop w:val="0"/>
      <w:marBottom w:val="0"/>
      <w:divBdr>
        <w:top w:val="none" w:sz="0" w:space="0" w:color="auto"/>
        <w:left w:val="none" w:sz="0" w:space="0" w:color="auto"/>
        <w:bottom w:val="none" w:sz="0" w:space="0" w:color="auto"/>
        <w:right w:val="none" w:sz="0" w:space="0" w:color="auto"/>
      </w:divBdr>
    </w:div>
    <w:div w:id="269091285">
      <w:bodyDiv w:val="1"/>
      <w:marLeft w:val="0"/>
      <w:marRight w:val="0"/>
      <w:marTop w:val="0"/>
      <w:marBottom w:val="0"/>
      <w:divBdr>
        <w:top w:val="none" w:sz="0" w:space="0" w:color="auto"/>
        <w:left w:val="none" w:sz="0" w:space="0" w:color="auto"/>
        <w:bottom w:val="none" w:sz="0" w:space="0" w:color="auto"/>
        <w:right w:val="none" w:sz="0" w:space="0" w:color="auto"/>
      </w:divBdr>
    </w:div>
    <w:div w:id="756832335">
      <w:bodyDiv w:val="1"/>
      <w:marLeft w:val="0"/>
      <w:marRight w:val="0"/>
      <w:marTop w:val="0"/>
      <w:marBottom w:val="0"/>
      <w:divBdr>
        <w:top w:val="none" w:sz="0" w:space="0" w:color="auto"/>
        <w:left w:val="none" w:sz="0" w:space="0" w:color="auto"/>
        <w:bottom w:val="none" w:sz="0" w:space="0" w:color="auto"/>
        <w:right w:val="none" w:sz="0" w:space="0" w:color="auto"/>
      </w:divBdr>
    </w:div>
    <w:div w:id="858006856">
      <w:bodyDiv w:val="1"/>
      <w:marLeft w:val="0"/>
      <w:marRight w:val="0"/>
      <w:marTop w:val="0"/>
      <w:marBottom w:val="0"/>
      <w:divBdr>
        <w:top w:val="none" w:sz="0" w:space="0" w:color="auto"/>
        <w:left w:val="none" w:sz="0" w:space="0" w:color="auto"/>
        <w:bottom w:val="none" w:sz="0" w:space="0" w:color="auto"/>
        <w:right w:val="none" w:sz="0" w:space="0" w:color="auto"/>
      </w:divBdr>
      <w:divsChild>
        <w:div w:id="1365902861">
          <w:marLeft w:val="0"/>
          <w:marRight w:val="0"/>
          <w:marTop w:val="0"/>
          <w:marBottom w:val="0"/>
          <w:divBdr>
            <w:top w:val="none" w:sz="0" w:space="0" w:color="auto"/>
            <w:left w:val="none" w:sz="0" w:space="0" w:color="auto"/>
            <w:bottom w:val="none" w:sz="0" w:space="0" w:color="auto"/>
            <w:right w:val="none" w:sz="0" w:space="0" w:color="auto"/>
          </w:divBdr>
          <w:divsChild>
            <w:div w:id="480510655">
              <w:marLeft w:val="0"/>
              <w:marRight w:val="0"/>
              <w:marTop w:val="0"/>
              <w:marBottom w:val="0"/>
              <w:divBdr>
                <w:top w:val="none" w:sz="0" w:space="0" w:color="auto"/>
                <w:left w:val="none" w:sz="0" w:space="0" w:color="auto"/>
                <w:bottom w:val="none" w:sz="0" w:space="0" w:color="auto"/>
                <w:right w:val="none" w:sz="0" w:space="0" w:color="auto"/>
              </w:divBdr>
              <w:divsChild>
                <w:div w:id="8047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7551">
      <w:bodyDiv w:val="1"/>
      <w:marLeft w:val="0"/>
      <w:marRight w:val="0"/>
      <w:marTop w:val="0"/>
      <w:marBottom w:val="0"/>
      <w:divBdr>
        <w:top w:val="none" w:sz="0" w:space="0" w:color="auto"/>
        <w:left w:val="none" w:sz="0" w:space="0" w:color="auto"/>
        <w:bottom w:val="none" w:sz="0" w:space="0" w:color="auto"/>
        <w:right w:val="none" w:sz="0" w:space="0" w:color="auto"/>
      </w:divBdr>
    </w:div>
    <w:div w:id="1377390889">
      <w:bodyDiv w:val="1"/>
      <w:marLeft w:val="0"/>
      <w:marRight w:val="0"/>
      <w:marTop w:val="0"/>
      <w:marBottom w:val="0"/>
      <w:divBdr>
        <w:top w:val="none" w:sz="0" w:space="0" w:color="auto"/>
        <w:left w:val="none" w:sz="0" w:space="0" w:color="auto"/>
        <w:bottom w:val="none" w:sz="0" w:space="0" w:color="auto"/>
        <w:right w:val="none" w:sz="0" w:space="0" w:color="auto"/>
      </w:divBdr>
    </w:div>
    <w:div w:id="21161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actuaries.asn.au" TargetMode="External"/><Relationship Id="rId1" Type="http://schemas.openxmlformats.org/officeDocument/2006/relationships/hyperlink" Target="mailto:education@actuaries.asn.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C5FED-988F-4C10-9C14-B0B98F32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6128</CharactersWithSpaces>
  <SharedDoc>false</SharedDoc>
  <HLinks>
    <vt:vector size="12" baseType="variant">
      <vt:variant>
        <vt:i4>262231</vt:i4>
      </vt:variant>
      <vt:variant>
        <vt:i4>3</vt:i4>
      </vt:variant>
      <vt:variant>
        <vt:i4>0</vt:i4>
      </vt:variant>
      <vt:variant>
        <vt:i4>5</vt:i4>
      </vt:variant>
      <vt:variant>
        <vt:lpwstr>http://www.actuaries.asn.au/</vt:lpwstr>
      </vt:variant>
      <vt:variant>
        <vt:lpwstr/>
      </vt:variant>
      <vt:variant>
        <vt:i4>1310820</vt:i4>
      </vt:variant>
      <vt:variant>
        <vt:i4>0</vt:i4>
      </vt:variant>
      <vt:variant>
        <vt:i4>0</vt:i4>
      </vt:variant>
      <vt:variant>
        <vt:i4>5</vt:i4>
      </vt:variant>
      <vt:variant>
        <vt:lpwstr>mailto:education@actuaries.asn.au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Vincent-JF</cp:lastModifiedBy>
  <cp:revision>55</cp:revision>
  <cp:lastPrinted>2019-02-26T06:39:00Z</cp:lastPrinted>
  <dcterms:created xsi:type="dcterms:W3CDTF">2019-08-11T07:35:00Z</dcterms:created>
  <dcterms:modified xsi:type="dcterms:W3CDTF">2019-08-17T11:44:00Z</dcterms:modified>
</cp:coreProperties>
</file>