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EA01AA">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83506">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MoS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MoS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MoS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Gu</w:t>
      </w:r>
      <w:r w:rsidRPr="004105DE">
        <w:rPr>
          <w:rFonts w:ascii="Arial Narrow" w:hAnsi="Arial Narrow"/>
          <w:sz w:val="16"/>
          <w:szCs w:val="16"/>
        </w:rPr>
        <w:t>aranteed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r w:rsidRPr="00917E12">
        <w:rPr>
          <w:rFonts w:ascii="Arial Narrow" w:hAnsi="Arial Narrow"/>
          <w:sz w:val="16"/>
          <w:szCs w:val="16"/>
        </w:rPr>
        <w:t>erm insurance</w:t>
      </w:r>
      <w:r>
        <w:rPr>
          <w:rFonts w:ascii="Arial Narrow" w:hAnsi="Arial Narrow"/>
          <w:sz w:val="16"/>
          <w:szCs w:val="16"/>
        </w:rPr>
        <w:t>: expected death claims</w:t>
      </w:r>
    </w:p>
    <w:p w14:paraId="2397D60B" w14:textId="69E45A8F"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C029F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r w:rsidRPr="00510E90">
        <w:rPr>
          <w:rFonts w:ascii="Arial Narrow" w:hAnsi="Arial Narrow"/>
          <w:sz w:val="16"/>
          <w:szCs w:val="16"/>
          <w:highlight w:val="green"/>
        </w:rPr>
        <w:t>dequacy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BEL(</w:t>
      </w:r>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bookmarkStart w:id="0" w:name="_GoBack"/>
      <w:r w:rsidR="004F2F72" w:rsidRPr="000A57DD">
        <w:rPr>
          <w:rFonts w:ascii="Arial Narrow" w:hAnsi="Arial Narrow"/>
          <w:b/>
          <w:color w:val="C45911" w:themeColor="accent2" w:themeShade="BF"/>
          <w:sz w:val="16"/>
          <w:szCs w:val="16"/>
          <w:u w:val="single"/>
          <w:lang w:val="en-US"/>
        </w:rPr>
        <w:t>Investment experience profit or loss, absorbed in VSA</w:t>
      </w:r>
      <w:bookmarkEnd w:id="0"/>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r>
        <w:rPr>
          <w:rFonts w:ascii="Arial Narrow" w:hAnsi="Arial Narrow"/>
          <w:color w:val="000000" w:themeColor="text1"/>
          <w:sz w:val="16"/>
          <w:szCs w:val="16"/>
          <w:lang w:val="en-US"/>
        </w:rPr>
        <w:t>urrent</w:t>
      </w:r>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2A364B">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92733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A205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98573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amortise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normally be valued at amortised cost</w:t>
      </w:r>
      <w:r w:rsidRPr="0016572B">
        <w:rPr>
          <w:rFonts w:ascii="Arial Narrow" w:hAnsi="Arial Narrow"/>
          <w:sz w:val="16"/>
          <w:szCs w:val="16"/>
          <w:lang w:val="en-US"/>
        </w:rPr>
        <w:t>. However, companies are allowed to use fair value instead of amortised cost if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60288" behindDoc="0" locked="0" layoutInCell="1" allowOverlap="1" wp14:anchorId="24825EFA" wp14:editId="5061E953">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1BE1">
        <w:rPr>
          <w:rFonts w:ascii="Arial Narrow" w:hAnsi="Arial Narrow"/>
          <w:sz w:val="16"/>
          <w:szCs w:val="16"/>
          <w:lang w:val="en-US"/>
        </w:rPr>
        <w:t xml:space="preserve">Amortised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amortised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lang w:val="en-US"/>
        </w:rPr>
        <w:drawing>
          <wp:anchor distT="0" distB="0" distL="114300" distR="114300" simplePos="0" relativeHeight="251659264" behindDoc="1" locked="0" layoutInCell="1" allowOverlap="1" wp14:anchorId="7E9F38A3" wp14:editId="50746826">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However, the balance sheet is less useful as a measure of solvency as the values placed on assets may not reflect their current realisable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amortised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t may be useful to identify separate pools of assets for term and lifetime annuities. This will allow investment income to be allocated appropriately and allow profit to be analysed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minimising regulatory capital requirements;</w:t>
      </w:r>
    </w:p>
    <w:p w14:paraId="09DB8ED1"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appraisal value</w:t>
      </w:r>
    </w:p>
    <w:p w14:paraId="11CAF2E8"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expected return on capital (i.e. profit divided by capital)</w:t>
      </w:r>
    </w:p>
    <w:p w14:paraId="28736DF1" w14:textId="4DBCC341" w:rsidR="00E968F7" w:rsidRDefault="004F3220"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minimising profit volatility</w:t>
      </w:r>
    </w:p>
    <w:p w14:paraId="5D9B659C" w14:textId="4423D516" w:rsidR="004F3220" w:rsidRPr="00E968F7" w:rsidRDefault="004F3220" w:rsidP="004F322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sidR="009C0600" w:rsidRPr="009C0600">
        <w:rPr>
          <w:rFonts w:ascii="Arial Narrow" w:hAnsi="Arial Narrow"/>
          <w:sz w:val="16"/>
          <w:szCs w:val="16"/>
          <w:u w:val="single"/>
          <w:lang w:val="en-US"/>
        </w:rPr>
        <w:t>VaR and TailVaR</w:t>
      </w:r>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VaR.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02182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A3C2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72569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C96F3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Capital</w:t>
      </w:r>
      <w:r w:rsidRPr="00CB4532">
        <w:rPr>
          <w:rFonts w:ascii="Arial Narrow" w:hAnsi="Arial Narrow"/>
          <w:i/>
          <w:sz w:val="16"/>
          <w:szCs w:val="16"/>
          <w:lang w:val="en-US"/>
        </w:rPr>
        <w:t>(</w:t>
      </w:r>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Adjusted PL – PL</w:t>
      </w:r>
      <w:r w:rsidRPr="003E6340">
        <w:rPr>
          <w:rFonts w:ascii="Arial Narrow" w:hAnsi="Arial Narrow"/>
          <w:b/>
          <w:color w:val="FF0000"/>
          <w:sz w:val="16"/>
          <w:szCs w:val="16"/>
          <w:lang w:val="en-US"/>
        </w:rPr>
        <w:t>(</w:t>
      </w:r>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A71730">
      <w:pPr>
        <w:pStyle w:val="ListParagraph"/>
        <w:numPr>
          <w:ilvl w:val="0"/>
          <w:numId w:val="16"/>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FD5606">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B461AC">
      <w:pPr>
        <w:pStyle w:val="ListParagraph"/>
        <w:numPr>
          <w:ilvl w:val="0"/>
          <w:numId w:val="16"/>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B461AC">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that is referable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5B50B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4D6A3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CC20CE">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946BD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immunised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ORCR = A × { max(GP1,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(a)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misselling of products;</w:t>
      </w:r>
    </w:p>
    <w:p w14:paraId="697083CE" w14:textId="2EED89EC"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to recognise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AB6A11">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but recognise that there will be an increased risk of breaching PCR in the short to medium term. There may also be consequences for sales of new business and persistency of existing business if the company is recognised as being weakly capitalised by market participants. The risk and consequences of a downgrade by ratings agencies would need to be considered.</w:t>
      </w:r>
    </w:p>
    <w:p w14:paraId="21310AC8" w14:textId="2470E13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utilisation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lang w:val="en-US"/>
        </w:rPr>
        <w:drawing>
          <wp:anchor distT="0" distB="0" distL="114300" distR="114300" simplePos="0" relativeHeight="251661312" behindDoc="0" locked="0" layoutInCell="1" allowOverlap="0" wp14:anchorId="3D4B5654" wp14:editId="14340BFB">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6F48E7">
      <w:pPr>
        <w:pStyle w:val="ListParagraph"/>
        <w:numPr>
          <w:ilvl w:val="0"/>
          <w:numId w:val="16"/>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CC1DF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A life company may not approach investment strategies with solely a view of m</w:t>
      </w:r>
      <w:r>
        <w:rPr>
          <w:rFonts w:ascii="Arial Narrow" w:hAnsi="Arial Narrow"/>
          <w:i/>
          <w:sz w:val="16"/>
          <w:szCs w:val="16"/>
          <w:lang w:val="en-US"/>
        </w:rPr>
        <w:t>inimising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Prior to changing best estimate assumptions, life companies will typically analyse the impact of such changes ahead of time to ensure:</w:t>
      </w:r>
    </w:p>
    <w:p w14:paraId="42765952" w14:textId="7B8DAFC8" w:rsidR="00460CD9"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7264AA95" w14:textId="6D77957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1AF0FB49" w14:textId="7560984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misestimation of the mean / adverse trends</w:t>
      </w:r>
    </w:p>
    <w:p w14:paraId="5C2E159A" w14:textId="7ED9119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0C1E77">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5B74FB">
      <w:pPr>
        <w:pStyle w:val="ListParagraph"/>
        <w:numPr>
          <w:ilvl w:val="0"/>
          <w:numId w:val="28"/>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406B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41037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compare the valuation assumptions to actual experience, thus signalling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C029F8">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minimise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9F18A7">
      <w:pPr>
        <w:pStyle w:val="ListParagraph"/>
        <w:numPr>
          <w:ilvl w:val="0"/>
          <w:numId w:val="33"/>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2336" behindDoc="0" locked="0" layoutInCell="1" allowOverlap="1" wp14:anchorId="191A6DDE" wp14:editId="65B36E6C">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250E56">
      <w:pPr>
        <w:pStyle w:val="ListParagraph"/>
        <w:numPr>
          <w:ilvl w:val="2"/>
          <w:numId w:val="40"/>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tab[ALIC_PA_Deal_Model], file[Antelope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89476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877D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C029F8">
      <w:pPr>
        <w:pStyle w:val="ListParagraph"/>
        <w:numPr>
          <w:ilvl w:val="0"/>
          <w:numId w:val="16"/>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“capitalisation” factor</w:t>
      </w:r>
      <w:r w:rsidRPr="00FF54E8">
        <w:rPr>
          <w:rFonts w:ascii="Arial Narrow" w:hAnsi="Arial Narrow"/>
          <w:i/>
          <w:sz w:val="16"/>
          <w:szCs w:val="16"/>
          <w:lang w:val="en-US"/>
        </w:rPr>
        <w:t>. The capitalisation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NW</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(1+earning rate) + (VIF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)(1+RDR) – Div_pmt</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r w:rsidR="00343461" w:rsidRPr="00343461">
        <w:rPr>
          <w:rFonts w:ascii="Arial Narrow" w:hAnsi="Arial Narrow"/>
          <w:b/>
          <w:sz w:val="16"/>
          <w:szCs w:val="16"/>
          <w:lang w:val="en-US"/>
        </w:rPr>
        <w:t>CF</w:t>
      </w:r>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The reduction in VIF would be expected to be greater than the increase in ANW due to the capitalised effect of loss of all future profits from a lower in force at year-end.</w:t>
      </w:r>
    </w:p>
    <w:p w14:paraId="0325433D" w14:textId="441FDAF5"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C029F8">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70230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0943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non-hedgeable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E425FD">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980B6E">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980B6E">
      <w:pPr>
        <w:pStyle w:val="ListParagraph"/>
        <w:numPr>
          <w:ilvl w:val="0"/>
          <w:numId w:val="35"/>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475EB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737FA9">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C029F8">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r w:rsidRPr="00B74A3D">
        <w:rPr>
          <w:rFonts w:ascii="Arial Narrow" w:hAnsi="Arial Narrow"/>
          <w:b/>
          <w:sz w:val="16"/>
          <w:szCs w:val="16"/>
        </w:rPr>
        <w:t xml:space="preserve">i)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0C18DD5" w14:textId="77777777" w:rsidR="007E126D" w:rsidRDefault="007E126D" w:rsidP="00C029F8">
      <w:pPr>
        <w:spacing w:line="180" w:lineRule="exact"/>
        <w:outlineLvl w:val="0"/>
        <w:rPr>
          <w:rFonts w:ascii="Arial Narrow" w:hAnsi="Arial Narrow"/>
          <w:b/>
          <w:sz w:val="16"/>
          <w:szCs w:val="16"/>
          <w:highlight w:val="yellow"/>
        </w:rPr>
      </w:pPr>
    </w:p>
    <w:p w14:paraId="6C6ADFB8" w14:textId="77777777" w:rsidR="007E126D" w:rsidRDefault="007E126D" w:rsidP="00C029F8">
      <w:pPr>
        <w:spacing w:line="180" w:lineRule="exact"/>
        <w:outlineLvl w:val="0"/>
        <w:rPr>
          <w:rFonts w:ascii="Arial Narrow" w:hAnsi="Arial Narrow"/>
          <w:b/>
          <w:sz w:val="16"/>
          <w:szCs w:val="16"/>
          <w:highlight w:val="yellow"/>
        </w:rPr>
      </w:pPr>
    </w:p>
    <w:p w14:paraId="5B1590A6" w14:textId="77777777" w:rsidR="007E126D" w:rsidRDefault="007E126D" w:rsidP="00C029F8">
      <w:pPr>
        <w:spacing w:line="180" w:lineRule="exact"/>
        <w:outlineLvl w:val="0"/>
        <w:rPr>
          <w:rFonts w:ascii="Arial Narrow" w:hAnsi="Arial Narrow"/>
          <w:b/>
          <w:sz w:val="16"/>
          <w:szCs w:val="16"/>
          <w:highlight w:val="yellow"/>
        </w:rPr>
      </w:pPr>
    </w:p>
    <w:p w14:paraId="655B256A" w14:textId="77777777" w:rsidR="007E126D" w:rsidRDefault="007E126D" w:rsidP="00C029F8">
      <w:pPr>
        <w:spacing w:line="180" w:lineRule="exact"/>
        <w:outlineLvl w:val="0"/>
        <w:rPr>
          <w:rFonts w:ascii="Arial Narrow" w:hAnsi="Arial Narrow"/>
          <w:b/>
          <w:sz w:val="16"/>
          <w:szCs w:val="16"/>
          <w:highlight w:val="yellow"/>
        </w:rPr>
      </w:pPr>
    </w:p>
    <w:p w14:paraId="74B75009"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r w:rsidRPr="0059276A">
        <w:rPr>
          <w:rFonts w:ascii="Arial Narrow" w:hAnsi="Arial Narrow"/>
          <w:b/>
          <w:color w:val="000000" w:themeColor="text1"/>
          <w:sz w:val="16"/>
          <w:szCs w:val="16"/>
          <w:lang w:val="en-US"/>
        </w:rPr>
        <w:t>Clawback</w:t>
      </w:r>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Australian Financial Services (AFS) licence,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lastRenderedPageBreak/>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r w:rsidR="00E34C11">
        <w:rPr>
          <w:rFonts w:ascii="Arial Narrow" w:hAnsi="Arial Narrow"/>
          <w:color w:val="000000" w:themeColor="text1"/>
          <w:sz w:val="16"/>
          <w:szCs w:val="16"/>
          <w:lang w:val="en-US"/>
        </w:rPr>
        <w:t>defence</w:t>
      </w:r>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4233D9"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lastRenderedPageBreak/>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Lapsation: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cost of claims</w:t>
      </w:r>
      <w:r w:rsidR="00ED304D">
        <w:rPr>
          <w:rFonts w:ascii="Arial Narrow" w:hAnsi="Arial Narrow"/>
          <w:color w:val="000000" w:themeColor="text1"/>
          <w:sz w:val="16"/>
          <w:szCs w:val="16"/>
          <w:lang w:val="en-US"/>
        </w:rPr>
        <w:t>(inc.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3) Premium guarantee for group business: not renew / increase prem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Bottom-up methods require each individual cost centre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w:t>
      </w:r>
      <w:r w:rsidR="00251EF9">
        <w:rPr>
          <w:rFonts w:ascii="Arial Narrow" w:hAnsi="Arial Narrow"/>
          <w:color w:val="000000" w:themeColor="text1"/>
          <w:sz w:val="16"/>
          <w:szCs w:val="16"/>
          <w:lang w:val="en-US"/>
        </w:rPr>
        <w:lastRenderedPageBreak/>
        <w:t>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(inc.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(Fund</w:t>
      </w:r>
      <w:r w:rsidR="008C0410" w:rsidRPr="008C0410">
        <w:rPr>
          <w:rFonts w:ascii="Arial Narrow" w:hAnsi="Arial Narrow"/>
          <w:color w:val="000000" w:themeColor="text1"/>
          <w:sz w:val="16"/>
          <w:szCs w:val="16"/>
          <w:vertAlign w:val="subscript"/>
          <w:lang w:val="en-US"/>
        </w:rPr>
        <w:t>t</w:t>
      </w:r>
      <w:r w:rsidR="008C0410">
        <w:rPr>
          <w:rFonts w:ascii="Arial Narrow" w:hAnsi="Arial Narrow"/>
          <w:color w:val="000000" w:themeColor="text1"/>
          <w:sz w:val="16"/>
          <w:szCs w:val="16"/>
          <w:lang w:val="en-US"/>
        </w:rPr>
        <w:t xml:space="preserve"> – Fund</w:t>
      </w:r>
      <w:r w:rsidR="008C0410" w:rsidRPr="008C0410">
        <w:rPr>
          <w:rFonts w:ascii="Arial Narrow" w:hAnsi="Arial Narrow"/>
          <w:color w:val="000000" w:themeColor="text1"/>
          <w:sz w:val="16"/>
          <w:szCs w:val="16"/>
          <w:vertAlign w:val="subscript"/>
          <w:lang w:val="en-US"/>
        </w:rPr>
        <w:t>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(inc.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100499">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7D388E">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973C7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5959C4">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D55CB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A752B1">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7D388E">
      <w:pPr>
        <w:spacing w:line="180" w:lineRule="exact"/>
        <w:rPr>
          <w:rFonts w:ascii="Arial Narrow" w:hAnsi="Arial Narrow"/>
          <w:color w:val="000000" w:themeColor="text1"/>
          <w:sz w:val="16"/>
          <w:szCs w:val="16"/>
          <w:lang w:val="en-US"/>
        </w:rPr>
      </w:pPr>
    </w:p>
    <w:p w14:paraId="5ACD0C81" w14:textId="6FCDA0F2" w:rsidR="007B56E5" w:rsidRDefault="009E557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7D388E">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Lifetime annuity v.s.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a.ii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v.s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a.ii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Underwriting: Group v.s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Lapse rate: YRT v.s.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v.s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25106F">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a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637417DB" w14:textId="77777777" w:rsidR="007341B6" w:rsidRDefault="007341B6" w:rsidP="00AD1E93">
      <w:pPr>
        <w:spacing w:line="180" w:lineRule="exact"/>
        <w:rPr>
          <w:rFonts w:ascii="Arial Narrow" w:hAnsi="Arial Narrow"/>
          <w:color w:val="000000" w:themeColor="text1"/>
          <w:sz w:val="16"/>
          <w:szCs w:val="16"/>
          <w:lang w:val="en-US"/>
        </w:rPr>
      </w:pPr>
    </w:p>
    <w:p w14:paraId="77C40D83" w14:textId="77777777" w:rsidR="007341B6" w:rsidRDefault="007341B6" w:rsidP="00AD1E93">
      <w:pPr>
        <w:spacing w:line="180" w:lineRule="exact"/>
        <w:rPr>
          <w:rFonts w:ascii="Arial Narrow" w:hAnsi="Arial Narrow"/>
          <w:color w:val="000000" w:themeColor="text1"/>
          <w:sz w:val="16"/>
          <w:szCs w:val="16"/>
          <w:lang w:val="en-US"/>
        </w:rPr>
      </w:pPr>
    </w:p>
    <w:p w14:paraId="37475C71" w14:textId="77777777" w:rsidR="007341B6" w:rsidRPr="00FC75C2" w:rsidRDefault="007341B6" w:rsidP="00AD1E93">
      <w:pPr>
        <w:spacing w:line="180" w:lineRule="exact"/>
        <w:rPr>
          <w:rFonts w:ascii="Arial Narrow" w:hAnsi="Arial Narrow"/>
          <w:color w:val="000000" w:themeColor="text1"/>
          <w:sz w:val="16"/>
          <w:szCs w:val="16"/>
          <w:lang w:val="en-US"/>
        </w:rPr>
      </w:pPr>
    </w:p>
    <w:sectPr w:rsidR="007341B6" w:rsidRPr="00FC75C2"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9F767" w14:textId="77777777" w:rsidR="004233D9" w:rsidRDefault="004233D9" w:rsidP="009A20FB">
      <w:r>
        <w:separator/>
      </w:r>
    </w:p>
  </w:endnote>
  <w:endnote w:type="continuationSeparator" w:id="0">
    <w:p w14:paraId="61D11D6B" w14:textId="77777777" w:rsidR="004233D9" w:rsidRDefault="004233D9"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73663" w14:textId="77777777" w:rsidR="004233D9" w:rsidRDefault="004233D9" w:rsidP="009A20FB">
      <w:r>
        <w:separator/>
      </w:r>
    </w:p>
  </w:footnote>
  <w:footnote w:type="continuationSeparator" w:id="0">
    <w:p w14:paraId="3CB07AE5" w14:textId="77777777" w:rsidR="004233D9" w:rsidRDefault="004233D9" w:rsidP="009A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34CB"/>
    <w:multiLevelType w:val="hybridMultilevel"/>
    <w:tmpl w:val="E5B03678"/>
    <w:lvl w:ilvl="0" w:tplc="DE9C8B8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A68AB"/>
    <w:multiLevelType w:val="hybridMultilevel"/>
    <w:tmpl w:val="A0740966"/>
    <w:lvl w:ilvl="0" w:tplc="84AC5C62">
      <w:numFmt w:val="bullet"/>
      <w:lvlText w:val="•"/>
      <w:lvlJc w:val="left"/>
      <w:pPr>
        <w:ind w:left="780" w:hanging="42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5D00"/>
    <w:multiLevelType w:val="hybridMultilevel"/>
    <w:tmpl w:val="DFC0678C"/>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F3A68"/>
    <w:multiLevelType w:val="hybridMultilevel"/>
    <w:tmpl w:val="C0BC9CD6"/>
    <w:lvl w:ilvl="0" w:tplc="7CA42806">
      <w:start w:val="2"/>
      <w:numFmt w:val="bullet"/>
      <w:lvlText w:val="-"/>
      <w:lvlJc w:val="left"/>
      <w:pPr>
        <w:ind w:left="780" w:hanging="360"/>
      </w:pPr>
      <w:rPr>
        <w:rFonts w:ascii="Calibri" w:eastAsiaTheme="minorEastAsia" w:hAnsi="Calibri"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A1C5CFC"/>
    <w:multiLevelType w:val="hybridMultilevel"/>
    <w:tmpl w:val="904649AC"/>
    <w:lvl w:ilvl="0" w:tplc="EFD8E9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FEB"/>
    <w:multiLevelType w:val="hybridMultilevel"/>
    <w:tmpl w:val="AEA2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25585"/>
    <w:multiLevelType w:val="hybridMultilevel"/>
    <w:tmpl w:val="FD2C1D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10139B"/>
    <w:multiLevelType w:val="hybridMultilevel"/>
    <w:tmpl w:val="A34C3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45B56"/>
    <w:multiLevelType w:val="hybridMultilevel"/>
    <w:tmpl w:val="8CD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61CD4"/>
    <w:multiLevelType w:val="hybridMultilevel"/>
    <w:tmpl w:val="6D1652C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8DD264A"/>
    <w:multiLevelType w:val="hybridMultilevel"/>
    <w:tmpl w:val="F0D2272C"/>
    <w:lvl w:ilvl="0" w:tplc="4EEC3738">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53396"/>
    <w:multiLevelType w:val="hybridMultilevel"/>
    <w:tmpl w:val="615687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B6431"/>
    <w:multiLevelType w:val="hybridMultilevel"/>
    <w:tmpl w:val="1932F1A6"/>
    <w:lvl w:ilvl="0" w:tplc="D47E76C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E27CF"/>
    <w:multiLevelType w:val="hybridMultilevel"/>
    <w:tmpl w:val="BC409B34"/>
    <w:lvl w:ilvl="0" w:tplc="8FD696C2">
      <w:numFmt w:val="bullet"/>
      <w:lvlText w:val="-"/>
      <w:lvlJc w:val="left"/>
      <w:pPr>
        <w:ind w:left="720" w:hanging="360"/>
      </w:pPr>
      <w:rPr>
        <w:rFonts w:ascii="Arial Narrow" w:eastAsiaTheme="minorEastAsia"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C5715"/>
    <w:multiLevelType w:val="hybridMultilevel"/>
    <w:tmpl w:val="171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C26BD"/>
    <w:multiLevelType w:val="hybridMultilevel"/>
    <w:tmpl w:val="B4C8F1F0"/>
    <w:lvl w:ilvl="0" w:tplc="C43E3702">
      <w:start w:val="2"/>
      <w:numFmt w:val="bullet"/>
      <w:lvlText w:val="-"/>
      <w:lvlJc w:val="left"/>
      <w:pPr>
        <w:ind w:left="520" w:hanging="360"/>
      </w:pPr>
      <w:rPr>
        <w:rFonts w:ascii="Arial Narrow" w:eastAsia="宋体" w:hAnsi="Arial Narrow" w:cstheme="minorBid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6" w15:restartNumberingAfterBreak="0">
    <w:nsid w:val="5D5D03A4"/>
    <w:multiLevelType w:val="hybridMultilevel"/>
    <w:tmpl w:val="31FA9F46"/>
    <w:lvl w:ilvl="0" w:tplc="8FD696C2">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D5641"/>
    <w:multiLevelType w:val="hybridMultilevel"/>
    <w:tmpl w:val="A05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FD65A3"/>
    <w:multiLevelType w:val="hybridMultilevel"/>
    <w:tmpl w:val="D4009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7124D0"/>
    <w:multiLevelType w:val="hybridMultilevel"/>
    <w:tmpl w:val="1520C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292274"/>
    <w:multiLevelType w:val="hybridMultilevel"/>
    <w:tmpl w:val="F6D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0B329C"/>
    <w:multiLevelType w:val="hybridMultilevel"/>
    <w:tmpl w:val="97448D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467D16"/>
    <w:multiLevelType w:val="hybridMultilevel"/>
    <w:tmpl w:val="89A65114"/>
    <w:lvl w:ilvl="0" w:tplc="3150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15"/>
  </w:num>
  <w:num w:numId="3">
    <w:abstractNumId w:val="26"/>
  </w:num>
  <w:num w:numId="4">
    <w:abstractNumId w:val="20"/>
  </w:num>
  <w:num w:numId="5">
    <w:abstractNumId w:val="9"/>
  </w:num>
  <w:num w:numId="6">
    <w:abstractNumId w:val="8"/>
  </w:num>
  <w:num w:numId="7">
    <w:abstractNumId w:val="2"/>
  </w:num>
  <w:num w:numId="8">
    <w:abstractNumId w:val="0"/>
  </w:num>
  <w:num w:numId="9">
    <w:abstractNumId w:val="32"/>
  </w:num>
  <w:num w:numId="10">
    <w:abstractNumId w:val="25"/>
  </w:num>
  <w:num w:numId="11">
    <w:abstractNumId w:val="17"/>
  </w:num>
  <w:num w:numId="12">
    <w:abstractNumId w:val="1"/>
  </w:num>
  <w:num w:numId="13">
    <w:abstractNumId w:val="14"/>
  </w:num>
  <w:num w:numId="14">
    <w:abstractNumId w:val="18"/>
  </w:num>
  <w:num w:numId="15">
    <w:abstractNumId w:val="13"/>
  </w:num>
  <w:num w:numId="16">
    <w:abstractNumId w:val="19"/>
  </w:num>
  <w:num w:numId="17">
    <w:abstractNumId w:val="37"/>
  </w:num>
  <w:num w:numId="18">
    <w:abstractNumId w:val="5"/>
  </w:num>
  <w:num w:numId="19">
    <w:abstractNumId w:val="7"/>
  </w:num>
  <w:num w:numId="20">
    <w:abstractNumId w:val="36"/>
  </w:num>
  <w:num w:numId="21">
    <w:abstractNumId w:val="38"/>
  </w:num>
  <w:num w:numId="22">
    <w:abstractNumId w:val="31"/>
  </w:num>
  <w:num w:numId="23">
    <w:abstractNumId w:val="12"/>
  </w:num>
  <w:num w:numId="24">
    <w:abstractNumId w:val="16"/>
  </w:num>
  <w:num w:numId="25">
    <w:abstractNumId w:val="22"/>
  </w:num>
  <w:num w:numId="26">
    <w:abstractNumId w:val="35"/>
  </w:num>
  <w:num w:numId="27">
    <w:abstractNumId w:val="6"/>
  </w:num>
  <w:num w:numId="28">
    <w:abstractNumId w:val="3"/>
  </w:num>
  <w:num w:numId="29">
    <w:abstractNumId w:val="24"/>
  </w:num>
  <w:num w:numId="30">
    <w:abstractNumId w:val="11"/>
  </w:num>
  <w:num w:numId="31">
    <w:abstractNumId w:val="40"/>
  </w:num>
  <w:num w:numId="32">
    <w:abstractNumId w:val="30"/>
  </w:num>
  <w:num w:numId="33">
    <w:abstractNumId w:val="34"/>
  </w:num>
  <w:num w:numId="34">
    <w:abstractNumId w:val="28"/>
  </w:num>
  <w:num w:numId="35">
    <w:abstractNumId w:val="29"/>
  </w:num>
  <w:num w:numId="36">
    <w:abstractNumId w:val="39"/>
  </w:num>
  <w:num w:numId="37">
    <w:abstractNumId w:val="4"/>
  </w:num>
  <w:num w:numId="38">
    <w:abstractNumId w:val="23"/>
  </w:num>
  <w:num w:numId="39">
    <w:abstractNumId w:val="27"/>
  </w:num>
  <w:num w:numId="40">
    <w:abstractNumId w:val="33"/>
  </w:num>
  <w:num w:numId="41">
    <w:abstractNumId w:val="2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A90"/>
    <w:rsid w:val="00040A91"/>
    <w:rsid w:val="00040D35"/>
    <w:rsid w:val="000415F5"/>
    <w:rsid w:val="0004175E"/>
    <w:rsid w:val="00041C3A"/>
    <w:rsid w:val="00041D69"/>
    <w:rsid w:val="000427EA"/>
    <w:rsid w:val="000428CF"/>
    <w:rsid w:val="00042A69"/>
    <w:rsid w:val="00043524"/>
    <w:rsid w:val="00044FE7"/>
    <w:rsid w:val="0004568E"/>
    <w:rsid w:val="0004690E"/>
    <w:rsid w:val="0004699D"/>
    <w:rsid w:val="00046A7F"/>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482B"/>
    <w:rsid w:val="00144BBB"/>
    <w:rsid w:val="00144C6D"/>
    <w:rsid w:val="0014589B"/>
    <w:rsid w:val="0014598E"/>
    <w:rsid w:val="001477EB"/>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7031E"/>
    <w:rsid w:val="001715D6"/>
    <w:rsid w:val="00171E0D"/>
    <w:rsid w:val="0017230D"/>
    <w:rsid w:val="001739EB"/>
    <w:rsid w:val="00173E02"/>
    <w:rsid w:val="00175750"/>
    <w:rsid w:val="00175D31"/>
    <w:rsid w:val="00176B53"/>
    <w:rsid w:val="00180583"/>
    <w:rsid w:val="00180881"/>
    <w:rsid w:val="001814C7"/>
    <w:rsid w:val="0018152B"/>
    <w:rsid w:val="001823CB"/>
    <w:rsid w:val="001830DE"/>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C94"/>
    <w:rsid w:val="001E1C9C"/>
    <w:rsid w:val="001E4450"/>
    <w:rsid w:val="001E54FE"/>
    <w:rsid w:val="001E56FF"/>
    <w:rsid w:val="001E57AD"/>
    <w:rsid w:val="001E5882"/>
    <w:rsid w:val="001E6165"/>
    <w:rsid w:val="001E6680"/>
    <w:rsid w:val="001E67A8"/>
    <w:rsid w:val="001E69AB"/>
    <w:rsid w:val="001E73CC"/>
    <w:rsid w:val="001F0C48"/>
    <w:rsid w:val="001F164F"/>
    <w:rsid w:val="001F2822"/>
    <w:rsid w:val="001F39A0"/>
    <w:rsid w:val="001F6330"/>
    <w:rsid w:val="001F63DC"/>
    <w:rsid w:val="001F65F9"/>
    <w:rsid w:val="001F6E9F"/>
    <w:rsid w:val="001F7D6A"/>
    <w:rsid w:val="001F7E07"/>
    <w:rsid w:val="002024B5"/>
    <w:rsid w:val="00203E6E"/>
    <w:rsid w:val="00203EC2"/>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1268"/>
    <w:rsid w:val="002F16C9"/>
    <w:rsid w:val="002F2282"/>
    <w:rsid w:val="002F2A23"/>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3242"/>
    <w:rsid w:val="00323980"/>
    <w:rsid w:val="00324398"/>
    <w:rsid w:val="00324ADE"/>
    <w:rsid w:val="00324F91"/>
    <w:rsid w:val="003267E6"/>
    <w:rsid w:val="0032773D"/>
    <w:rsid w:val="00327BDC"/>
    <w:rsid w:val="00327C81"/>
    <w:rsid w:val="00327C83"/>
    <w:rsid w:val="0033026B"/>
    <w:rsid w:val="00330E1B"/>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124F"/>
    <w:rsid w:val="003716AD"/>
    <w:rsid w:val="00371B75"/>
    <w:rsid w:val="00371C7E"/>
    <w:rsid w:val="00372243"/>
    <w:rsid w:val="003725B7"/>
    <w:rsid w:val="00372812"/>
    <w:rsid w:val="00372AF6"/>
    <w:rsid w:val="00373513"/>
    <w:rsid w:val="003735FE"/>
    <w:rsid w:val="0037365D"/>
    <w:rsid w:val="003737C9"/>
    <w:rsid w:val="00374910"/>
    <w:rsid w:val="00374BF0"/>
    <w:rsid w:val="003751A5"/>
    <w:rsid w:val="0037674B"/>
    <w:rsid w:val="003767B5"/>
    <w:rsid w:val="00376D93"/>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562"/>
    <w:rsid w:val="00446735"/>
    <w:rsid w:val="00447F02"/>
    <w:rsid w:val="00447FC3"/>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15F2"/>
    <w:rsid w:val="00482502"/>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C04EC"/>
    <w:rsid w:val="004C069E"/>
    <w:rsid w:val="004C080D"/>
    <w:rsid w:val="004C2256"/>
    <w:rsid w:val="004C3A49"/>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E5A"/>
    <w:rsid w:val="005B692F"/>
    <w:rsid w:val="005B6A46"/>
    <w:rsid w:val="005B74FB"/>
    <w:rsid w:val="005B7510"/>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12E4"/>
    <w:rsid w:val="005E15AE"/>
    <w:rsid w:val="005E1667"/>
    <w:rsid w:val="005E1758"/>
    <w:rsid w:val="005E1F66"/>
    <w:rsid w:val="005E2B9E"/>
    <w:rsid w:val="005E3DF7"/>
    <w:rsid w:val="005E53DD"/>
    <w:rsid w:val="005E73A6"/>
    <w:rsid w:val="005E7587"/>
    <w:rsid w:val="005E7B35"/>
    <w:rsid w:val="005E7DCD"/>
    <w:rsid w:val="005F0016"/>
    <w:rsid w:val="005F191F"/>
    <w:rsid w:val="005F1FA8"/>
    <w:rsid w:val="005F28A3"/>
    <w:rsid w:val="005F2D3D"/>
    <w:rsid w:val="005F3121"/>
    <w:rsid w:val="005F3860"/>
    <w:rsid w:val="005F38B2"/>
    <w:rsid w:val="005F4A4F"/>
    <w:rsid w:val="005F4D9E"/>
    <w:rsid w:val="005F6537"/>
    <w:rsid w:val="005F66BF"/>
    <w:rsid w:val="005F79E6"/>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D9D"/>
    <w:rsid w:val="00681DD0"/>
    <w:rsid w:val="006827DD"/>
    <w:rsid w:val="006831B9"/>
    <w:rsid w:val="006831C2"/>
    <w:rsid w:val="00685A7B"/>
    <w:rsid w:val="00686150"/>
    <w:rsid w:val="00687F11"/>
    <w:rsid w:val="0069236C"/>
    <w:rsid w:val="00692531"/>
    <w:rsid w:val="00692ED4"/>
    <w:rsid w:val="006947D9"/>
    <w:rsid w:val="006968F7"/>
    <w:rsid w:val="00696C4A"/>
    <w:rsid w:val="00696D1B"/>
    <w:rsid w:val="00696E0A"/>
    <w:rsid w:val="0069715D"/>
    <w:rsid w:val="00697C7D"/>
    <w:rsid w:val="006A1769"/>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1822"/>
    <w:rsid w:val="007819C5"/>
    <w:rsid w:val="00782451"/>
    <w:rsid w:val="00782AC8"/>
    <w:rsid w:val="007833AD"/>
    <w:rsid w:val="00784A0F"/>
    <w:rsid w:val="00785183"/>
    <w:rsid w:val="00785217"/>
    <w:rsid w:val="00785A37"/>
    <w:rsid w:val="0078641F"/>
    <w:rsid w:val="007900C6"/>
    <w:rsid w:val="007902DE"/>
    <w:rsid w:val="00790EA1"/>
    <w:rsid w:val="0079145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AC5"/>
    <w:rsid w:val="00802B7E"/>
    <w:rsid w:val="008035A1"/>
    <w:rsid w:val="00803987"/>
    <w:rsid w:val="00803A55"/>
    <w:rsid w:val="00803EB6"/>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751"/>
    <w:rsid w:val="00845A7F"/>
    <w:rsid w:val="00846C18"/>
    <w:rsid w:val="00846FA9"/>
    <w:rsid w:val="008501B1"/>
    <w:rsid w:val="00850642"/>
    <w:rsid w:val="00850A13"/>
    <w:rsid w:val="00850A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2792"/>
    <w:rsid w:val="008832D9"/>
    <w:rsid w:val="008859D4"/>
    <w:rsid w:val="008866B6"/>
    <w:rsid w:val="00887305"/>
    <w:rsid w:val="00887710"/>
    <w:rsid w:val="00887C35"/>
    <w:rsid w:val="00890770"/>
    <w:rsid w:val="00890DEA"/>
    <w:rsid w:val="008912F2"/>
    <w:rsid w:val="00892945"/>
    <w:rsid w:val="00892A2C"/>
    <w:rsid w:val="0089401F"/>
    <w:rsid w:val="00894557"/>
    <w:rsid w:val="00894765"/>
    <w:rsid w:val="00895A0D"/>
    <w:rsid w:val="00895F45"/>
    <w:rsid w:val="00896DDD"/>
    <w:rsid w:val="00897D4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B25"/>
    <w:rsid w:val="008D0096"/>
    <w:rsid w:val="008D091F"/>
    <w:rsid w:val="008D0EEF"/>
    <w:rsid w:val="008D11F6"/>
    <w:rsid w:val="008D248E"/>
    <w:rsid w:val="008D251B"/>
    <w:rsid w:val="008D260E"/>
    <w:rsid w:val="008D2DAB"/>
    <w:rsid w:val="008D3182"/>
    <w:rsid w:val="008D361A"/>
    <w:rsid w:val="008D5775"/>
    <w:rsid w:val="008D5CCB"/>
    <w:rsid w:val="008D5D1A"/>
    <w:rsid w:val="008D6C3E"/>
    <w:rsid w:val="008D6CE7"/>
    <w:rsid w:val="008D77D6"/>
    <w:rsid w:val="008E0135"/>
    <w:rsid w:val="008E0F61"/>
    <w:rsid w:val="008E134B"/>
    <w:rsid w:val="008E22FF"/>
    <w:rsid w:val="008E2DF1"/>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9A3"/>
    <w:rsid w:val="00975D2A"/>
    <w:rsid w:val="0097688E"/>
    <w:rsid w:val="00977852"/>
    <w:rsid w:val="00977FDB"/>
    <w:rsid w:val="0098063E"/>
    <w:rsid w:val="0098070C"/>
    <w:rsid w:val="00980763"/>
    <w:rsid w:val="00980B6E"/>
    <w:rsid w:val="00980DCB"/>
    <w:rsid w:val="009811BB"/>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6CCE"/>
    <w:rsid w:val="009E6EEB"/>
    <w:rsid w:val="009F068B"/>
    <w:rsid w:val="009F0B93"/>
    <w:rsid w:val="009F117B"/>
    <w:rsid w:val="009F18A7"/>
    <w:rsid w:val="009F1B63"/>
    <w:rsid w:val="009F26E1"/>
    <w:rsid w:val="009F318C"/>
    <w:rsid w:val="009F33FD"/>
    <w:rsid w:val="009F3B3F"/>
    <w:rsid w:val="009F48BB"/>
    <w:rsid w:val="009F4D65"/>
    <w:rsid w:val="009F4FCA"/>
    <w:rsid w:val="009F5036"/>
    <w:rsid w:val="009F50FF"/>
    <w:rsid w:val="009F687C"/>
    <w:rsid w:val="009F6B73"/>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50F4"/>
    <w:rsid w:val="00A65C88"/>
    <w:rsid w:val="00A65D9D"/>
    <w:rsid w:val="00A66249"/>
    <w:rsid w:val="00A66A2A"/>
    <w:rsid w:val="00A66BE3"/>
    <w:rsid w:val="00A670D7"/>
    <w:rsid w:val="00A67BAD"/>
    <w:rsid w:val="00A70957"/>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106A"/>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80216"/>
    <w:rsid w:val="00B803EA"/>
    <w:rsid w:val="00B8067B"/>
    <w:rsid w:val="00B8171A"/>
    <w:rsid w:val="00B83473"/>
    <w:rsid w:val="00B83528"/>
    <w:rsid w:val="00B8366B"/>
    <w:rsid w:val="00B83788"/>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B16"/>
    <w:rsid w:val="00B94BD7"/>
    <w:rsid w:val="00B95C9F"/>
    <w:rsid w:val="00B96B82"/>
    <w:rsid w:val="00B96BD3"/>
    <w:rsid w:val="00B96D62"/>
    <w:rsid w:val="00B9729E"/>
    <w:rsid w:val="00B972B6"/>
    <w:rsid w:val="00B97719"/>
    <w:rsid w:val="00B97FE9"/>
    <w:rsid w:val="00BA010F"/>
    <w:rsid w:val="00BA05CE"/>
    <w:rsid w:val="00BA0ADC"/>
    <w:rsid w:val="00BA19B2"/>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47"/>
    <w:rsid w:val="00C6519D"/>
    <w:rsid w:val="00C6587F"/>
    <w:rsid w:val="00C6592B"/>
    <w:rsid w:val="00C65F42"/>
    <w:rsid w:val="00C660A3"/>
    <w:rsid w:val="00C666BA"/>
    <w:rsid w:val="00C66766"/>
    <w:rsid w:val="00C66ADB"/>
    <w:rsid w:val="00C66C5B"/>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934"/>
    <w:rsid w:val="00C9127D"/>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2543"/>
    <w:rsid w:val="00DA2E7E"/>
    <w:rsid w:val="00DA32C8"/>
    <w:rsid w:val="00DA360A"/>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683"/>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764"/>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673"/>
    <w:rsid w:val="00E10717"/>
    <w:rsid w:val="00E107B7"/>
    <w:rsid w:val="00E11C5E"/>
    <w:rsid w:val="00E11F59"/>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5EBE"/>
    <w:rsid w:val="00E56C78"/>
    <w:rsid w:val="00E56C92"/>
    <w:rsid w:val="00E57021"/>
    <w:rsid w:val="00E57356"/>
    <w:rsid w:val="00E57BBE"/>
    <w:rsid w:val="00E601A2"/>
    <w:rsid w:val="00E60326"/>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D56"/>
    <w:rsid w:val="00F2768C"/>
    <w:rsid w:val="00F276C8"/>
    <w:rsid w:val="00F27E68"/>
    <w:rsid w:val="00F30686"/>
    <w:rsid w:val="00F3174B"/>
    <w:rsid w:val="00F31BD4"/>
    <w:rsid w:val="00F3207E"/>
    <w:rsid w:val="00F32B87"/>
    <w:rsid w:val="00F32EC3"/>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C2"/>
    <w:rsid w:val="00FD0E74"/>
    <w:rsid w:val="00FD1863"/>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C22"/>
    <w:rsid w:val="00FE4069"/>
    <w:rsid w:val="00FE452E"/>
    <w:rsid w:val="00FE55F7"/>
    <w:rsid w:val="00FE5F89"/>
    <w:rsid w:val="00FE6189"/>
    <w:rsid w:val="00FE6486"/>
    <w:rsid w:val="00FE7317"/>
    <w:rsid w:val="00FF0D09"/>
    <w:rsid w:val="00FF1216"/>
    <w:rsid w:val="00FF13C7"/>
    <w:rsid w:val="00FF1865"/>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CBE53-D7D9-44DE-82F6-527202D4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20941</Words>
  <Characters>119365</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140026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Qiao Zhou</dc:creator>
  <cp:lastModifiedBy>Zhu, Jinfeng</cp:lastModifiedBy>
  <cp:revision>16</cp:revision>
  <cp:lastPrinted>2019-10-10T12:57:00Z</cp:lastPrinted>
  <dcterms:created xsi:type="dcterms:W3CDTF">2019-10-08T13:41:00Z</dcterms:created>
  <dcterms:modified xsi:type="dcterms:W3CDTF">2020-03-08T13:09:00Z</dcterms:modified>
</cp:coreProperties>
</file>