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8A9E0" w14:textId="27318234" w:rsidR="001E6B78" w:rsidRDefault="00430377" w:rsidP="00EC4911">
      <w:pPr>
        <w:pStyle w:val="ListParagraph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26.2</w:t>
      </w:r>
      <w:r w:rsidRPr="00430377">
        <w:rPr>
          <w:color w:val="000000" w:themeColor="text1"/>
        </w:rPr>
        <w:t xml:space="preserve"> Distribution of Profits</w:t>
      </w:r>
    </w:p>
    <w:p w14:paraId="6B12242C" w14:textId="77777777" w:rsidR="00430377" w:rsidRDefault="00430377" w:rsidP="00430377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430377">
        <w:rPr>
          <w:color w:val="000000" w:themeColor="text1"/>
          <w:lang w:val="en-GB"/>
        </w:rPr>
        <w:t>LPS 600 effectively requires a participating benefit to have a substantial exposure to investment risk. For example, group risk business with profit- sharing features via premium refunds is not regarded as participating business. Nor is investment account business if the account balances will always be between 95% and 103% of the value of the assets.</w:t>
      </w:r>
    </w:p>
    <w:p w14:paraId="20ABBCE5" w14:textId="77777777" w:rsidR="00430377" w:rsidRDefault="00430377" w:rsidP="00430377">
      <w:pPr>
        <w:pStyle w:val="ListParagraph"/>
        <w:spacing w:after="60"/>
        <w:ind w:left="0"/>
        <w:rPr>
          <w:color w:val="FF0000"/>
          <w:lang w:val="en-GB"/>
        </w:rPr>
      </w:pPr>
    </w:p>
    <w:p w14:paraId="0FAC5C61" w14:textId="2F95CB79" w:rsidR="00430377" w:rsidRPr="00430377" w:rsidRDefault="00430377" w:rsidP="00430377">
      <w:pPr>
        <w:pStyle w:val="ListParagraph"/>
        <w:spacing w:after="60"/>
        <w:ind w:left="0"/>
        <w:rPr>
          <w:color w:val="FF0000"/>
          <w:lang w:val="en-GB"/>
        </w:rPr>
      </w:pPr>
      <w:r w:rsidRPr="00430377">
        <w:rPr>
          <w:color w:val="FF0000"/>
          <w:lang w:val="en-GB"/>
        </w:rPr>
        <w:t>The issues the actuary must consider as part of this advice include:</w:t>
      </w:r>
    </w:p>
    <w:p w14:paraId="6260BD18" w14:textId="2F7A67FC" w:rsidR="00430377" w:rsidRPr="00430377" w:rsidRDefault="00430377" w:rsidP="00430377">
      <w:pPr>
        <w:pStyle w:val="ListParagraph"/>
        <w:numPr>
          <w:ilvl w:val="0"/>
          <w:numId w:val="6"/>
        </w:numPr>
        <w:spacing w:after="60"/>
        <w:rPr>
          <w:color w:val="000000" w:themeColor="text1"/>
          <w:lang w:val="en-GB"/>
        </w:rPr>
      </w:pPr>
      <w:r w:rsidRPr="00430377">
        <w:rPr>
          <w:color w:val="000000" w:themeColor="text1"/>
          <w:lang w:val="en-GB"/>
        </w:rPr>
        <w:t xml:space="preserve">policy </w:t>
      </w:r>
      <w:r>
        <w:rPr>
          <w:color w:val="000000" w:themeColor="text1"/>
          <w:lang w:val="en-GB"/>
        </w:rPr>
        <w:t>owners’ reasonable expectations</w:t>
      </w:r>
    </w:p>
    <w:p w14:paraId="344322FA" w14:textId="7DCA5172" w:rsidR="00430377" w:rsidRPr="00430377" w:rsidRDefault="00430377" w:rsidP="00430377">
      <w:pPr>
        <w:pStyle w:val="ListParagraph"/>
        <w:numPr>
          <w:ilvl w:val="0"/>
          <w:numId w:val="6"/>
        </w:numPr>
        <w:spacing w:after="60"/>
        <w:rPr>
          <w:color w:val="000000" w:themeColor="text1"/>
          <w:lang w:val="en-GB"/>
        </w:rPr>
      </w:pPr>
      <w:r w:rsidRPr="00430377">
        <w:rPr>
          <w:color w:val="000000" w:themeColor="text1"/>
          <w:lang w:val="en-GB"/>
        </w:rPr>
        <w:t>equity between</w:t>
      </w:r>
      <w:r>
        <w:rPr>
          <w:color w:val="000000" w:themeColor="text1"/>
          <w:lang w:val="en-GB"/>
        </w:rPr>
        <w:t xml:space="preserve"> policy owners and shareholders</w:t>
      </w:r>
    </w:p>
    <w:p w14:paraId="0EA1A1D2" w14:textId="79EB5AC4" w:rsidR="00430377" w:rsidRPr="00430377" w:rsidRDefault="00430377" w:rsidP="00430377">
      <w:pPr>
        <w:pStyle w:val="ListParagraph"/>
        <w:numPr>
          <w:ilvl w:val="0"/>
          <w:numId w:val="6"/>
        </w:numPr>
        <w:spacing w:after="60"/>
        <w:rPr>
          <w:color w:val="000000" w:themeColor="text1"/>
          <w:lang w:val="en-GB"/>
        </w:rPr>
      </w:pPr>
      <w:r w:rsidRPr="00430377">
        <w:rPr>
          <w:color w:val="000000" w:themeColor="text1"/>
          <w:lang w:val="en-GB"/>
        </w:rPr>
        <w:t>equity between different groups of policy own</w:t>
      </w:r>
      <w:r>
        <w:rPr>
          <w:color w:val="000000" w:themeColor="text1"/>
          <w:lang w:val="en-GB"/>
        </w:rPr>
        <w:t>ers</w:t>
      </w:r>
    </w:p>
    <w:p w14:paraId="69C9B653" w14:textId="65692E01" w:rsidR="00430377" w:rsidRPr="00430377" w:rsidRDefault="00430377" w:rsidP="00430377">
      <w:pPr>
        <w:pStyle w:val="ListParagraph"/>
        <w:numPr>
          <w:ilvl w:val="0"/>
          <w:numId w:val="6"/>
        </w:numPr>
        <w:spacing w:after="6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the timing of profit emergence</w:t>
      </w:r>
    </w:p>
    <w:p w14:paraId="099B0243" w14:textId="77777777" w:rsidR="00430377" w:rsidRDefault="00430377" w:rsidP="00430377">
      <w:pPr>
        <w:pStyle w:val="ListParagraph"/>
        <w:numPr>
          <w:ilvl w:val="0"/>
          <w:numId w:val="6"/>
        </w:numPr>
        <w:spacing w:after="60"/>
        <w:rPr>
          <w:color w:val="000000" w:themeColor="text1"/>
          <w:lang w:val="en-GB"/>
        </w:rPr>
      </w:pPr>
      <w:r w:rsidRPr="00430377">
        <w:rPr>
          <w:color w:val="000000" w:themeColor="text1"/>
          <w:lang w:val="en-GB"/>
        </w:rPr>
        <w:t>the impact on the company’s capital requirements</w:t>
      </w:r>
    </w:p>
    <w:p w14:paraId="7A648177" w14:textId="1AB26C94" w:rsidR="00430377" w:rsidRPr="00430377" w:rsidRDefault="00430377" w:rsidP="00430377">
      <w:pPr>
        <w:pStyle w:val="ListParagraph"/>
        <w:numPr>
          <w:ilvl w:val="0"/>
          <w:numId w:val="6"/>
        </w:numPr>
        <w:spacing w:after="60"/>
        <w:rPr>
          <w:color w:val="000000" w:themeColor="text1"/>
          <w:lang w:val="en-GB"/>
        </w:rPr>
      </w:pPr>
      <w:r w:rsidRPr="00430377">
        <w:rPr>
          <w:color w:val="000000" w:themeColor="text1"/>
          <w:lang w:val="en-GB"/>
        </w:rPr>
        <w:t>the capabilities of t</w:t>
      </w:r>
      <w:r>
        <w:rPr>
          <w:color w:val="000000" w:themeColor="text1"/>
          <w:lang w:val="en-GB"/>
        </w:rPr>
        <w:t>he policy administration system</w:t>
      </w:r>
    </w:p>
    <w:p w14:paraId="0A76CE7E" w14:textId="77777777" w:rsidR="00430377" w:rsidRDefault="00430377" w:rsidP="00430377">
      <w:pPr>
        <w:pStyle w:val="ListParagraph"/>
        <w:numPr>
          <w:ilvl w:val="0"/>
          <w:numId w:val="6"/>
        </w:numPr>
        <w:spacing w:after="60"/>
        <w:rPr>
          <w:color w:val="000000" w:themeColor="text1"/>
          <w:lang w:val="en-GB"/>
        </w:rPr>
      </w:pPr>
      <w:r w:rsidRPr="00430377">
        <w:rPr>
          <w:color w:val="000000" w:themeColor="text1"/>
          <w:lang w:val="en-GB"/>
        </w:rPr>
        <w:t xml:space="preserve">potential impacts </w:t>
      </w:r>
      <w:r>
        <w:rPr>
          <w:color w:val="000000" w:themeColor="text1"/>
          <w:lang w:val="en-GB"/>
        </w:rPr>
        <w:t>on future surrender experience</w:t>
      </w:r>
    </w:p>
    <w:p w14:paraId="2CF294C6" w14:textId="77777777" w:rsidR="00180B28" w:rsidRPr="00180B28" w:rsidRDefault="00430377" w:rsidP="00180B28">
      <w:pPr>
        <w:pStyle w:val="ListParagraph"/>
        <w:numPr>
          <w:ilvl w:val="0"/>
          <w:numId w:val="6"/>
        </w:numPr>
        <w:spacing w:after="60"/>
        <w:rPr>
          <w:color w:val="000000" w:themeColor="text1"/>
          <w:lang w:val="en-GB"/>
        </w:rPr>
      </w:pPr>
      <w:r w:rsidRPr="00180B28">
        <w:rPr>
          <w:color w:val="000000" w:themeColor="text1"/>
          <w:lang w:val="en-GB"/>
        </w:rPr>
        <w:t xml:space="preserve">potential impacts </w:t>
      </w:r>
      <w:r w:rsidRPr="00180B28">
        <w:rPr>
          <w:color w:val="000000" w:themeColor="text1"/>
          <w:lang w:val="en-GB"/>
        </w:rPr>
        <w:t>on future sales of new business</w:t>
      </w:r>
      <w:r w:rsidR="00180B28" w:rsidRPr="00180B28">
        <w:rPr>
          <w:color w:val="000000" w:themeColor="text1"/>
          <w:lang w:val="en-GB"/>
        </w:rPr>
        <w:br/>
      </w:r>
    </w:p>
    <w:p w14:paraId="16E6F550" w14:textId="77777777" w:rsidR="00180B28" w:rsidRPr="00180B28" w:rsidRDefault="00180B28" w:rsidP="00180B28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108C03FA" w14:textId="3D55DBE4" w:rsidR="00180B28" w:rsidRDefault="00180B28" w:rsidP="00180B28">
      <w:pPr>
        <w:pStyle w:val="ListParagraph"/>
        <w:spacing w:after="60"/>
        <w:ind w:left="0"/>
        <w:rPr>
          <w:color w:val="000000" w:themeColor="text1"/>
        </w:rPr>
      </w:pPr>
      <w:r>
        <w:rPr>
          <w:color w:val="000000" w:themeColor="text1"/>
        </w:rPr>
        <w:t>26.</w:t>
      </w:r>
      <w:r>
        <w:rPr>
          <w:color w:val="000000" w:themeColor="text1"/>
        </w:rPr>
        <w:t xml:space="preserve">3 </w:t>
      </w:r>
      <w:r w:rsidRPr="00180B28">
        <w:rPr>
          <w:color w:val="000000" w:themeColor="text1"/>
        </w:rPr>
        <w:t>Reasonable Expectations</w:t>
      </w:r>
    </w:p>
    <w:p w14:paraId="2B2FCA86" w14:textId="74445AAC" w:rsidR="00180B28" w:rsidRDefault="00180B28" w:rsidP="00180B28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180B28">
        <w:rPr>
          <w:color w:val="FF0000"/>
          <w:lang w:val="en-GB"/>
        </w:rPr>
        <w:t xml:space="preserve">Reasonable expectations </w:t>
      </w:r>
      <w:r w:rsidRPr="00180B28">
        <w:rPr>
          <w:color w:val="000000" w:themeColor="text1"/>
          <w:lang w:val="en-GB"/>
        </w:rPr>
        <w:t>are based on a combination of policy documentation, promotio</w:t>
      </w:r>
      <w:r w:rsidR="00274E46">
        <w:rPr>
          <w:color w:val="000000" w:themeColor="text1"/>
          <w:lang w:val="en-GB"/>
        </w:rPr>
        <w:t>nal material, annual statements</w:t>
      </w:r>
      <w:r w:rsidRPr="00180B28">
        <w:rPr>
          <w:color w:val="000000" w:themeColor="text1"/>
          <w:lang w:val="en-GB"/>
        </w:rPr>
        <w:t xml:space="preserve"> and th</w:t>
      </w:r>
      <w:r>
        <w:rPr>
          <w:color w:val="000000" w:themeColor="text1"/>
          <w:lang w:val="en-GB"/>
        </w:rPr>
        <w:t>e past practice of the company.</w:t>
      </w:r>
    </w:p>
    <w:p w14:paraId="19BF685E" w14:textId="77777777" w:rsidR="00180B28" w:rsidRDefault="00180B28" w:rsidP="00180B28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0E504715" w14:textId="284065D0" w:rsidR="00180B28" w:rsidRDefault="00274E46" w:rsidP="00180B28">
      <w:pPr>
        <w:pStyle w:val="ListParagraph"/>
        <w:spacing w:after="60"/>
        <w:ind w:left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How to manage: regularly remind</w:t>
      </w:r>
      <w:r w:rsidRPr="00274E46">
        <w:rPr>
          <w:color w:val="000000" w:themeColor="text1"/>
          <w:lang w:val="en-GB"/>
        </w:rPr>
        <w:t xml:space="preserve"> policy owners how bonus rates might vary in future and </w:t>
      </w:r>
      <w:r>
        <w:rPr>
          <w:color w:val="000000" w:themeColor="text1"/>
          <w:lang w:val="en-GB"/>
        </w:rPr>
        <w:t xml:space="preserve">apply </w:t>
      </w:r>
      <w:r w:rsidRPr="00274E46">
        <w:rPr>
          <w:color w:val="000000" w:themeColor="text1"/>
          <w:lang w:val="en-GB"/>
        </w:rPr>
        <w:t>this bonus philosophy in a consistent manner when declaring bonus rates.</w:t>
      </w:r>
    </w:p>
    <w:p w14:paraId="498E95BC" w14:textId="77777777" w:rsidR="00274E46" w:rsidRDefault="00274E46" w:rsidP="00180B28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7E131779" w14:textId="39F45908" w:rsidR="00274E46" w:rsidRDefault="00F20BC6" w:rsidP="00180B28">
      <w:pPr>
        <w:pStyle w:val="ListParagraph"/>
        <w:spacing w:after="60"/>
        <w:ind w:left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26.4 </w:t>
      </w:r>
      <w:r w:rsidR="00634BEB" w:rsidRPr="00634BEB">
        <w:rPr>
          <w:color w:val="000000" w:themeColor="text1"/>
          <w:lang w:val="en-GB"/>
        </w:rPr>
        <w:t>Reversionary Bonuses</w:t>
      </w:r>
    </w:p>
    <w:p w14:paraId="197CF0E2" w14:textId="77777777" w:rsidR="00853A73" w:rsidRPr="00853A73" w:rsidRDefault="00853A73" w:rsidP="00853A73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853A73">
        <w:rPr>
          <w:color w:val="000000" w:themeColor="text1"/>
          <w:lang w:val="en-GB"/>
        </w:rPr>
        <w:t xml:space="preserve">The reversionary bonus becomes a contractual liability of the life company which </w:t>
      </w:r>
      <w:r w:rsidRPr="009E0279">
        <w:rPr>
          <w:b/>
          <w:color w:val="000000" w:themeColor="text1"/>
          <w:lang w:val="en-GB"/>
        </w:rPr>
        <w:t>cannot be revoked</w:t>
      </w:r>
      <w:r w:rsidRPr="00853A73">
        <w:rPr>
          <w:color w:val="000000" w:themeColor="text1"/>
          <w:lang w:val="en-GB"/>
        </w:rPr>
        <w:t>.</w:t>
      </w:r>
    </w:p>
    <w:p w14:paraId="6931BB48" w14:textId="77777777" w:rsidR="00853A73" w:rsidRPr="00853A73" w:rsidRDefault="00853A73" w:rsidP="00853A73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853A73">
        <w:rPr>
          <w:color w:val="000000" w:themeColor="text1"/>
          <w:lang w:val="en-GB"/>
        </w:rPr>
        <w:t>There are three main types of reversionary bonus:</w:t>
      </w:r>
    </w:p>
    <w:p w14:paraId="33EAA74D" w14:textId="5DF5E42F" w:rsidR="00853A73" w:rsidRPr="00853A73" w:rsidRDefault="00853A73" w:rsidP="00853A73">
      <w:pPr>
        <w:pStyle w:val="ListParagraph"/>
        <w:numPr>
          <w:ilvl w:val="0"/>
          <w:numId w:val="7"/>
        </w:numPr>
        <w:spacing w:after="60"/>
        <w:rPr>
          <w:color w:val="000000" w:themeColor="text1"/>
          <w:lang w:val="en-GB"/>
        </w:rPr>
      </w:pPr>
      <w:r w:rsidRPr="00853A73">
        <w:rPr>
          <w:color w:val="000000" w:themeColor="text1"/>
          <w:lang w:val="en-GB"/>
        </w:rPr>
        <w:t>simple reversionary bonuses are calculated as a bonus rat</w:t>
      </w:r>
      <w:r>
        <w:rPr>
          <w:color w:val="000000" w:themeColor="text1"/>
          <w:lang w:val="en-GB"/>
        </w:rPr>
        <w:t>e multiplied by the sum insured</w:t>
      </w:r>
    </w:p>
    <w:p w14:paraId="4C210F43" w14:textId="2489869C" w:rsidR="00853A73" w:rsidRPr="00853A73" w:rsidRDefault="00853A73" w:rsidP="00853A73">
      <w:pPr>
        <w:pStyle w:val="ListParagraph"/>
        <w:numPr>
          <w:ilvl w:val="0"/>
          <w:numId w:val="7"/>
        </w:numPr>
        <w:spacing w:after="60"/>
        <w:rPr>
          <w:color w:val="000000" w:themeColor="text1"/>
          <w:lang w:val="en-GB"/>
        </w:rPr>
      </w:pPr>
      <w:r w:rsidRPr="00853A73">
        <w:rPr>
          <w:color w:val="000000" w:themeColor="text1"/>
          <w:lang w:val="en-GB"/>
        </w:rPr>
        <w:t>compound reversionary bonuses are calculated as a bonus rate multiplied by the sum insured plus ex</w:t>
      </w:r>
      <w:r>
        <w:rPr>
          <w:color w:val="000000" w:themeColor="text1"/>
          <w:lang w:val="en-GB"/>
        </w:rPr>
        <w:t>isting reversionary bonuses</w:t>
      </w:r>
    </w:p>
    <w:p w14:paraId="1F7A7CFE" w14:textId="05A222AB" w:rsidR="007253BC" w:rsidRDefault="00853A73" w:rsidP="00853A73">
      <w:pPr>
        <w:pStyle w:val="ListParagraph"/>
        <w:numPr>
          <w:ilvl w:val="0"/>
          <w:numId w:val="7"/>
        </w:numPr>
        <w:spacing w:after="60"/>
        <w:rPr>
          <w:color w:val="000000" w:themeColor="text1"/>
          <w:lang w:val="en-GB"/>
        </w:rPr>
      </w:pPr>
      <w:r w:rsidRPr="00853A73">
        <w:rPr>
          <w:color w:val="000000" w:themeColor="text1"/>
          <w:lang w:val="en-GB"/>
        </w:rPr>
        <w:t>super-compounding reversionary bonuses are calculated as a bonus rate multiplied by the sum insured plus a higher bonus rate multiplied b</w:t>
      </w:r>
      <w:r>
        <w:rPr>
          <w:color w:val="000000" w:themeColor="text1"/>
          <w:lang w:val="en-GB"/>
        </w:rPr>
        <w:t>y existing reversionary bonuses</w:t>
      </w:r>
    </w:p>
    <w:p w14:paraId="2AC52D48" w14:textId="22B03EA9" w:rsidR="009E0279" w:rsidRPr="00421E43" w:rsidRDefault="002E25BD" w:rsidP="00421E43">
      <w:pPr>
        <w:widowControl w:val="0"/>
        <w:autoSpaceDE w:val="0"/>
        <w:autoSpaceDN w:val="0"/>
        <w:adjustRightInd w:val="0"/>
        <w:spacing w:after="240" w:line="320" w:lineRule="atLeast"/>
        <w:rPr>
          <w:i/>
          <w:color w:val="000000" w:themeColor="text1"/>
          <w:lang w:val="en-GB"/>
        </w:rPr>
      </w:pPr>
      <w:r w:rsidRPr="002E25BD">
        <w:rPr>
          <w:i/>
          <w:color w:val="000000" w:themeColor="text1"/>
          <w:lang w:val="en-GB"/>
        </w:rPr>
        <w:t xml:space="preserve">At times when interest rates are unusually high, the super- compounding method provides a more equitable outcome as it allows </w:t>
      </w:r>
      <w:r w:rsidRPr="002E25BD">
        <w:rPr>
          <w:i/>
          <w:color w:val="FF0000"/>
          <w:lang w:val="en-GB"/>
        </w:rPr>
        <w:t xml:space="preserve">higher investment returns </w:t>
      </w:r>
      <w:r w:rsidRPr="002E25BD">
        <w:rPr>
          <w:i/>
          <w:color w:val="000000" w:themeColor="text1"/>
          <w:lang w:val="en-GB"/>
        </w:rPr>
        <w:t xml:space="preserve">to be passed to policies with </w:t>
      </w:r>
      <w:r w:rsidRPr="002E25BD">
        <w:rPr>
          <w:i/>
          <w:color w:val="FF0000"/>
          <w:lang w:val="en-GB"/>
        </w:rPr>
        <w:t xml:space="preserve">longer durations </w:t>
      </w:r>
      <w:r w:rsidRPr="002E25BD">
        <w:rPr>
          <w:i/>
          <w:color w:val="000000" w:themeColor="text1"/>
          <w:lang w:val="en-GB"/>
        </w:rPr>
        <w:t xml:space="preserve">and substantial asset shares, whilst </w:t>
      </w:r>
      <w:r w:rsidRPr="002E25BD">
        <w:rPr>
          <w:i/>
          <w:color w:val="FF0000"/>
          <w:lang w:val="en-GB"/>
        </w:rPr>
        <w:t xml:space="preserve">limiting the </w:t>
      </w:r>
      <w:proofErr w:type="gramStart"/>
      <w:r w:rsidRPr="002E25BD">
        <w:rPr>
          <w:i/>
          <w:color w:val="FF0000"/>
          <w:lang w:val="en-GB"/>
        </w:rPr>
        <w:t>amount</w:t>
      </w:r>
      <w:proofErr w:type="gramEnd"/>
      <w:r w:rsidRPr="002E25BD">
        <w:rPr>
          <w:i/>
          <w:color w:val="FF0000"/>
          <w:lang w:val="en-GB"/>
        </w:rPr>
        <w:t xml:space="preserve"> of bonuses </w:t>
      </w:r>
      <w:r w:rsidRPr="002E25BD">
        <w:rPr>
          <w:i/>
          <w:color w:val="000000" w:themeColor="text1"/>
          <w:lang w:val="en-GB"/>
        </w:rPr>
        <w:t xml:space="preserve">added to </w:t>
      </w:r>
      <w:r w:rsidRPr="002E25BD">
        <w:rPr>
          <w:i/>
          <w:color w:val="FF0000"/>
          <w:lang w:val="en-GB"/>
        </w:rPr>
        <w:t xml:space="preserve">newer policies </w:t>
      </w:r>
      <w:r w:rsidRPr="002E25BD">
        <w:rPr>
          <w:i/>
          <w:color w:val="000000" w:themeColor="text1"/>
          <w:lang w:val="en-GB"/>
        </w:rPr>
        <w:t xml:space="preserve">with small asset shares. </w:t>
      </w:r>
    </w:p>
    <w:p w14:paraId="6966E1B8" w14:textId="1C7CA51D" w:rsidR="009E0279" w:rsidRDefault="004A20FB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175F29">
        <w:rPr>
          <w:b/>
          <w:color w:val="000000" w:themeColor="text1"/>
          <w:lang w:val="en-GB"/>
        </w:rPr>
        <w:t>Asset share</w:t>
      </w:r>
      <w:r w:rsidRPr="004A20FB">
        <w:rPr>
          <w:color w:val="000000" w:themeColor="text1"/>
          <w:lang w:val="en-GB"/>
        </w:rPr>
        <w:t xml:space="preserve"> calculations for individual policies can be useful as a guide for determining bonus rates.</w:t>
      </w:r>
      <w:r w:rsidR="00C23C05">
        <w:rPr>
          <w:color w:val="000000" w:themeColor="text1"/>
          <w:lang w:val="en-GB"/>
        </w:rPr>
        <w:t xml:space="preserve"> (Chapter 22)</w:t>
      </w:r>
      <w:r w:rsidR="00175F29">
        <w:rPr>
          <w:color w:val="000000" w:themeColor="text1"/>
          <w:lang w:val="en-GB"/>
        </w:rPr>
        <w:t xml:space="preserve"> </w:t>
      </w:r>
      <w:r w:rsidR="00175F29" w:rsidRPr="00175F29">
        <w:rPr>
          <w:color w:val="000000" w:themeColor="text1"/>
          <w:lang w:val="en-GB"/>
        </w:rPr>
        <w:t xml:space="preserve">The liability calculated using an asset share approach can be compared with </w:t>
      </w:r>
      <w:r w:rsidR="00175F29" w:rsidRPr="00175F29">
        <w:rPr>
          <w:color w:val="000000" w:themeColor="text1"/>
          <w:lang w:val="en-GB"/>
        </w:rPr>
        <w:lastRenderedPageBreak/>
        <w:t xml:space="preserve">the best estimate liability and value of future bonuses calculated using a projection approach. </w:t>
      </w:r>
      <w:r w:rsidR="00175F29" w:rsidRPr="00175F29">
        <w:rPr>
          <w:color w:val="000000" w:themeColor="text1"/>
          <w:u w:val="single"/>
          <w:lang w:val="en-GB"/>
        </w:rPr>
        <w:t>Supportable future bonus rates can then be found by equating the projected liabilities to the asset shares</w:t>
      </w:r>
      <w:r w:rsidR="00175F29" w:rsidRPr="00175F29">
        <w:rPr>
          <w:color w:val="000000" w:themeColor="text1"/>
          <w:lang w:val="en-GB"/>
        </w:rPr>
        <w:t>.</w:t>
      </w:r>
    </w:p>
    <w:p w14:paraId="2AEE4363" w14:textId="77777777" w:rsidR="009E0279" w:rsidRDefault="009E0279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119BE3E4" w14:textId="13FC55BC" w:rsidR="009E0279" w:rsidRDefault="00467549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26.5 Terminal Bonu</w:t>
      </w:r>
      <w:r w:rsidR="003028D7">
        <w:rPr>
          <w:color w:val="000000" w:themeColor="text1"/>
          <w:lang w:val="en-GB"/>
        </w:rPr>
        <w:t>ses</w:t>
      </w:r>
    </w:p>
    <w:p w14:paraId="5271D2C1" w14:textId="77777777" w:rsidR="00467549" w:rsidRDefault="00467549" w:rsidP="00467549">
      <w:pPr>
        <w:rPr>
          <w:color w:val="000000" w:themeColor="text1"/>
          <w:lang w:val="en-GB"/>
        </w:rPr>
      </w:pPr>
      <w:r w:rsidRPr="00467549">
        <w:rPr>
          <w:color w:val="000000" w:themeColor="text1"/>
          <w:lang w:val="en-GB"/>
        </w:rPr>
        <w:t xml:space="preserve">Terminal bonuses were a useful mechanism for adjusting policy values in response to fluctuating investment returns. </w:t>
      </w:r>
    </w:p>
    <w:p w14:paraId="2209FE06" w14:textId="73AF1E8F" w:rsidR="00467549" w:rsidRDefault="00467549" w:rsidP="00467549">
      <w:pPr>
        <w:rPr>
          <w:color w:val="000000" w:themeColor="text1"/>
          <w:lang w:val="en-GB"/>
        </w:rPr>
      </w:pPr>
      <w:r w:rsidRPr="00467549">
        <w:rPr>
          <w:color w:val="000000" w:themeColor="text1"/>
          <w:lang w:val="en-GB"/>
        </w:rPr>
        <w:t xml:space="preserve">Unlike reversionary bonuses, existing </w:t>
      </w:r>
      <w:r w:rsidRPr="00467549">
        <w:rPr>
          <w:b/>
          <w:color w:val="000000" w:themeColor="text1"/>
          <w:lang w:val="en-GB"/>
        </w:rPr>
        <w:t>terminal bonuses could be reduced or removed</w:t>
      </w:r>
      <w:r w:rsidRPr="00467549">
        <w:rPr>
          <w:color w:val="000000" w:themeColor="text1"/>
          <w:lang w:val="en-GB"/>
        </w:rPr>
        <w:t xml:space="preserve"> from a policy in response to poor investment returns.</w:t>
      </w:r>
    </w:p>
    <w:p w14:paraId="20345C19" w14:textId="21AF8159" w:rsidR="00467549" w:rsidRDefault="004A0A38" w:rsidP="00467549">
      <w:pPr>
        <w:rPr>
          <w:color w:val="000000" w:themeColor="text1"/>
          <w:lang w:val="en-GB"/>
        </w:rPr>
      </w:pPr>
      <w:r w:rsidRPr="004A0A38">
        <w:rPr>
          <w:color w:val="000000" w:themeColor="text1"/>
          <w:lang w:val="en-GB"/>
        </w:rPr>
        <w:t>The methods for distributing terminal bonuses include:</w:t>
      </w:r>
    </w:p>
    <w:p w14:paraId="669E2604" w14:textId="70770D46" w:rsidR="004A0A38" w:rsidRPr="004A0A38" w:rsidRDefault="004A0A38" w:rsidP="004A0A38">
      <w:pPr>
        <w:pStyle w:val="ListParagraph"/>
        <w:numPr>
          <w:ilvl w:val="0"/>
          <w:numId w:val="8"/>
        </w:numPr>
        <w:rPr>
          <w:color w:val="000000" w:themeColor="text1"/>
          <w:lang w:val="en-GB"/>
        </w:rPr>
      </w:pPr>
      <w:r w:rsidRPr="004A0A38">
        <w:rPr>
          <w:color w:val="000000" w:themeColor="text1"/>
          <w:lang w:val="en-GB"/>
        </w:rPr>
        <w:t>terminal bonus equal to a percentage o</w:t>
      </w:r>
      <w:r>
        <w:rPr>
          <w:color w:val="000000" w:themeColor="text1"/>
          <w:lang w:val="en-GB"/>
        </w:rPr>
        <w:t>f existing reversionary bonuses</w:t>
      </w:r>
    </w:p>
    <w:p w14:paraId="208AFAC7" w14:textId="5F06FDA4" w:rsidR="004A0A38" w:rsidRPr="004A0A38" w:rsidRDefault="004A0A38" w:rsidP="00285331">
      <w:pPr>
        <w:pStyle w:val="ListParagraph"/>
        <w:numPr>
          <w:ilvl w:val="0"/>
          <w:numId w:val="8"/>
        </w:numPr>
        <w:rPr>
          <w:color w:val="000000" w:themeColor="text1"/>
          <w:lang w:val="en-GB"/>
        </w:rPr>
      </w:pPr>
      <w:r w:rsidRPr="004A0A38">
        <w:rPr>
          <w:color w:val="000000" w:themeColor="text1"/>
          <w:lang w:val="en-GB"/>
        </w:rPr>
        <w:t>terminal bonus equal to a percentage of sum insured and existing reversionary</w:t>
      </w:r>
      <w:r>
        <w:rPr>
          <w:color w:val="000000" w:themeColor="text1"/>
          <w:lang w:val="en-GB"/>
        </w:rPr>
        <w:t xml:space="preserve"> </w:t>
      </w:r>
      <w:r w:rsidRPr="004A0A38">
        <w:rPr>
          <w:color w:val="000000" w:themeColor="text1"/>
          <w:lang w:val="en-GB"/>
        </w:rPr>
        <w:t>bonuses multiplied by the number of yea</w:t>
      </w:r>
      <w:r w:rsidRPr="004A0A38">
        <w:rPr>
          <w:color w:val="000000" w:themeColor="text1"/>
          <w:lang w:val="en-GB"/>
        </w:rPr>
        <w:t>rs the policy has been in force</w:t>
      </w:r>
    </w:p>
    <w:p w14:paraId="7802271D" w14:textId="57A3063F" w:rsidR="004A0A38" w:rsidRPr="004A0A38" w:rsidRDefault="004A0A38" w:rsidP="003E5AFF">
      <w:pPr>
        <w:pStyle w:val="ListParagraph"/>
        <w:numPr>
          <w:ilvl w:val="0"/>
          <w:numId w:val="8"/>
        </w:numPr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t</w:t>
      </w:r>
      <w:r w:rsidRPr="004A0A38">
        <w:rPr>
          <w:color w:val="000000" w:themeColor="text1"/>
          <w:lang w:val="en-GB"/>
        </w:rPr>
        <w:t>erminal bonus equal to a percentage of existing reversionary bonuses, the rate</w:t>
      </w:r>
      <w:r>
        <w:rPr>
          <w:color w:val="000000" w:themeColor="text1"/>
          <w:lang w:val="en-GB"/>
        </w:rPr>
        <w:t xml:space="preserve"> </w:t>
      </w:r>
      <w:r w:rsidRPr="004A0A38">
        <w:rPr>
          <w:color w:val="000000" w:themeColor="text1"/>
          <w:lang w:val="en-GB"/>
        </w:rPr>
        <w:t xml:space="preserve">varying by </w:t>
      </w:r>
      <w:r>
        <w:rPr>
          <w:color w:val="000000" w:themeColor="text1"/>
          <w:lang w:val="en-GB"/>
        </w:rPr>
        <w:t>year of policy commencement</w:t>
      </w:r>
    </w:p>
    <w:p w14:paraId="6501E755" w14:textId="14775A9C" w:rsidR="004A0A38" w:rsidRPr="004A0A38" w:rsidRDefault="004A0A38" w:rsidP="0004417B">
      <w:pPr>
        <w:pStyle w:val="ListParagraph"/>
        <w:numPr>
          <w:ilvl w:val="0"/>
          <w:numId w:val="8"/>
        </w:numPr>
        <w:rPr>
          <w:color w:val="000000" w:themeColor="text1"/>
          <w:lang w:val="en-GB"/>
        </w:rPr>
      </w:pPr>
      <w:r w:rsidRPr="004A0A38">
        <w:rPr>
          <w:color w:val="000000" w:themeColor="text1"/>
          <w:lang w:val="en-GB"/>
        </w:rPr>
        <w:t>terminal bonus equal to a percentage of surrender value multiplied by the</w:t>
      </w:r>
      <w:r>
        <w:rPr>
          <w:color w:val="000000" w:themeColor="text1"/>
          <w:lang w:val="en-GB"/>
        </w:rPr>
        <w:t xml:space="preserve"> </w:t>
      </w:r>
      <w:r w:rsidRPr="004A0A38">
        <w:rPr>
          <w:color w:val="000000" w:themeColor="text1"/>
          <w:lang w:val="en-GB"/>
        </w:rPr>
        <w:t>number of years in force.</w:t>
      </w:r>
    </w:p>
    <w:p w14:paraId="14E06D12" w14:textId="77777777" w:rsidR="004A0A38" w:rsidRPr="004A0A38" w:rsidRDefault="004A0A38" w:rsidP="004A0A38">
      <w:pPr>
        <w:rPr>
          <w:i/>
          <w:color w:val="000000" w:themeColor="text1"/>
          <w:lang w:val="en-GB"/>
        </w:rPr>
      </w:pPr>
      <w:r w:rsidRPr="004A0A38">
        <w:rPr>
          <w:i/>
          <w:color w:val="000000" w:themeColor="text1"/>
          <w:u w:val="single"/>
          <w:lang w:val="en-GB"/>
        </w:rPr>
        <w:t>Administration systems</w:t>
      </w:r>
      <w:r w:rsidRPr="004A0A38">
        <w:rPr>
          <w:i/>
          <w:color w:val="000000" w:themeColor="text1"/>
          <w:lang w:val="en-GB"/>
        </w:rPr>
        <w:t xml:space="preserve"> may also be a constraint on the method adopted.  </w:t>
      </w:r>
    </w:p>
    <w:p w14:paraId="2A3D6255" w14:textId="10898D4C" w:rsidR="004A0A38" w:rsidRDefault="00EC3251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EC3251">
        <w:rPr>
          <w:b/>
          <w:color w:val="000000" w:themeColor="text1"/>
          <w:lang w:val="en-GB"/>
        </w:rPr>
        <w:t>Risk</w:t>
      </w:r>
      <w:r>
        <w:rPr>
          <w:color w:val="000000" w:themeColor="text1"/>
          <w:lang w:val="en-GB"/>
        </w:rPr>
        <w:t>:</w:t>
      </w:r>
      <w:r w:rsidRPr="00EC3251">
        <w:rPr>
          <w:color w:val="000000" w:themeColor="text1"/>
          <w:lang w:val="en-GB"/>
        </w:rPr>
        <w:t xml:space="preserve"> anti-selective surrenders occurring after a major drop in asset values, but before a company has been able to implement a reduction in its terminal bonus rates.</w:t>
      </w:r>
    </w:p>
    <w:p w14:paraId="5A3C4E51" w14:textId="77777777" w:rsidR="001F286E" w:rsidRDefault="001F286E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1F286E">
        <w:rPr>
          <w:color w:val="000000" w:themeColor="text1"/>
          <w:lang w:val="en-GB"/>
        </w:rPr>
        <w:t xml:space="preserve">The main </w:t>
      </w:r>
      <w:r w:rsidRPr="001F286E">
        <w:rPr>
          <w:color w:val="FF0000"/>
          <w:lang w:val="en-GB"/>
        </w:rPr>
        <w:t xml:space="preserve">advantages </w:t>
      </w:r>
      <w:r w:rsidRPr="001F286E">
        <w:rPr>
          <w:color w:val="000000" w:themeColor="text1"/>
          <w:lang w:val="en-GB"/>
        </w:rPr>
        <w:t>of using terminal bonuses are</w:t>
      </w:r>
      <w:r>
        <w:rPr>
          <w:color w:val="000000" w:themeColor="text1"/>
          <w:lang w:val="en-GB"/>
        </w:rPr>
        <w:t>:</w:t>
      </w:r>
    </w:p>
    <w:p w14:paraId="7EBF2298" w14:textId="77777777" w:rsidR="001F286E" w:rsidRDefault="001F286E" w:rsidP="001F286E">
      <w:pPr>
        <w:pStyle w:val="ListParagraph"/>
        <w:spacing w:after="60"/>
        <w:ind w:left="0" w:firstLine="720"/>
        <w:rPr>
          <w:color w:val="000000" w:themeColor="text1"/>
          <w:lang w:val="en-GB"/>
        </w:rPr>
      </w:pPr>
      <w:r w:rsidRPr="001F286E">
        <w:rPr>
          <w:color w:val="000000" w:themeColor="text1"/>
          <w:lang w:val="en-GB"/>
        </w:rPr>
        <w:t>improved equity between policy own</w:t>
      </w:r>
      <w:r>
        <w:rPr>
          <w:color w:val="000000" w:themeColor="text1"/>
          <w:lang w:val="en-GB"/>
        </w:rPr>
        <w:t>ers</w:t>
      </w:r>
    </w:p>
    <w:p w14:paraId="791DE965" w14:textId="13A46B2C" w:rsidR="001F286E" w:rsidRDefault="001F286E" w:rsidP="001F286E">
      <w:pPr>
        <w:pStyle w:val="ListParagraph"/>
        <w:spacing w:after="60"/>
        <w:ind w:left="0" w:firstLine="720"/>
        <w:rPr>
          <w:color w:val="000000" w:themeColor="text1"/>
          <w:lang w:val="en-GB"/>
        </w:rPr>
      </w:pPr>
      <w:r w:rsidRPr="003F1CCD">
        <w:rPr>
          <w:color w:val="FF0000"/>
          <w:lang w:val="en-GB"/>
        </w:rPr>
        <w:t>a reduction in shareholder capital requirements</w:t>
      </w:r>
    </w:p>
    <w:p w14:paraId="49F44CD1" w14:textId="0B8FD05D" w:rsidR="00EC3251" w:rsidRDefault="001F286E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1F286E">
        <w:rPr>
          <w:color w:val="000000" w:themeColor="text1"/>
          <w:lang w:val="en-GB"/>
        </w:rPr>
        <w:t xml:space="preserve">A significant </w:t>
      </w:r>
      <w:r w:rsidRPr="001F286E">
        <w:rPr>
          <w:color w:val="FF0000"/>
          <w:lang w:val="en-GB"/>
        </w:rPr>
        <w:t xml:space="preserve">disadvantage </w:t>
      </w:r>
      <w:r w:rsidRPr="001F286E">
        <w:rPr>
          <w:color w:val="000000" w:themeColor="text1"/>
          <w:lang w:val="en-GB"/>
        </w:rPr>
        <w:t>for shareholders is the deferral of profit emergence</w:t>
      </w:r>
    </w:p>
    <w:p w14:paraId="534A7322" w14:textId="77777777" w:rsidR="004A0A38" w:rsidRDefault="004A0A38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50FCD2E7" w14:textId="77777777" w:rsidR="000E41E6" w:rsidRDefault="000E41E6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0E33CF9F" w14:textId="77777777" w:rsidR="000E41E6" w:rsidRDefault="000E41E6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74B0C938" w14:textId="77777777" w:rsidR="000E41E6" w:rsidRDefault="000E41E6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3D246DF8" w14:textId="77777777" w:rsidR="000E41E6" w:rsidRDefault="000E41E6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399B8A0D" w14:textId="0F4564AA" w:rsidR="000E41E6" w:rsidRDefault="000E41E6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  <w:r w:rsidRPr="00FB4A15">
        <w:rPr>
          <w:b/>
          <w:color w:val="000000" w:themeColor="text1"/>
          <w:lang w:val="en-GB"/>
        </w:rPr>
        <w:t>Example</w:t>
      </w:r>
      <w:r>
        <w:rPr>
          <w:color w:val="000000" w:themeColor="text1"/>
          <w:lang w:val="en-GB"/>
        </w:rPr>
        <w:t>: Si</w:t>
      </w:r>
      <w:bookmarkStart w:id="0" w:name="_GoBack"/>
      <w:bookmarkEnd w:id="0"/>
      <w:r>
        <w:rPr>
          <w:color w:val="000000" w:themeColor="text1"/>
          <w:lang w:val="en-GB"/>
        </w:rPr>
        <w:t>mple cash dividend calculation for Interest / Mortality / Expense (P164)</w:t>
      </w:r>
    </w:p>
    <w:p w14:paraId="6A2FC660" w14:textId="77777777" w:rsidR="004A0A38" w:rsidRDefault="004A0A38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45DA47B6" w14:textId="77777777" w:rsidR="004A0A38" w:rsidRDefault="004A0A38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24825AC7" w14:textId="77777777" w:rsidR="009E0279" w:rsidRDefault="009E0279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37E13991" w14:textId="77777777" w:rsidR="009E0279" w:rsidRDefault="009E0279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p w14:paraId="566A4F22" w14:textId="77777777" w:rsidR="009E0279" w:rsidRDefault="009E0279" w:rsidP="009E0279">
      <w:pPr>
        <w:pStyle w:val="ListParagraph"/>
        <w:spacing w:after="60"/>
        <w:ind w:left="0"/>
        <w:rPr>
          <w:color w:val="000000" w:themeColor="text1"/>
          <w:lang w:val="en-GB"/>
        </w:rPr>
      </w:pPr>
    </w:p>
    <w:sectPr w:rsidR="009E02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C2A5E4" w14:textId="77777777" w:rsidR="00265208" w:rsidRDefault="00265208" w:rsidP="00565DE9">
      <w:pPr>
        <w:spacing w:after="0" w:line="240" w:lineRule="auto"/>
      </w:pPr>
      <w:r>
        <w:separator/>
      </w:r>
    </w:p>
  </w:endnote>
  <w:endnote w:type="continuationSeparator" w:id="0">
    <w:p w14:paraId="221022F6" w14:textId="77777777" w:rsidR="00265208" w:rsidRDefault="00265208" w:rsidP="0056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694E5" w14:textId="77777777" w:rsidR="00265208" w:rsidRDefault="00265208" w:rsidP="00565DE9">
      <w:pPr>
        <w:spacing w:after="0" w:line="240" w:lineRule="auto"/>
      </w:pPr>
      <w:r>
        <w:separator/>
      </w:r>
    </w:p>
  </w:footnote>
  <w:footnote w:type="continuationSeparator" w:id="0">
    <w:p w14:paraId="31AC16BF" w14:textId="77777777" w:rsidR="00265208" w:rsidRDefault="00265208" w:rsidP="00565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B94242"/>
    <w:multiLevelType w:val="hybridMultilevel"/>
    <w:tmpl w:val="2CE2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325585"/>
    <w:multiLevelType w:val="hybridMultilevel"/>
    <w:tmpl w:val="FD2C1D1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72DB5"/>
    <w:multiLevelType w:val="hybridMultilevel"/>
    <w:tmpl w:val="507C0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F63D4"/>
    <w:multiLevelType w:val="hybridMultilevel"/>
    <w:tmpl w:val="763A0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B56D5E"/>
    <w:multiLevelType w:val="hybridMultilevel"/>
    <w:tmpl w:val="D9203E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FD65A3"/>
    <w:multiLevelType w:val="hybridMultilevel"/>
    <w:tmpl w:val="D4009C4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B45BBE"/>
    <w:multiLevelType w:val="hybridMultilevel"/>
    <w:tmpl w:val="972C1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B329C"/>
    <w:multiLevelType w:val="hybridMultilevel"/>
    <w:tmpl w:val="97448D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2A"/>
    <w:rsid w:val="000020A8"/>
    <w:rsid w:val="00002E6C"/>
    <w:rsid w:val="00012792"/>
    <w:rsid w:val="00012C43"/>
    <w:rsid w:val="00014A11"/>
    <w:rsid w:val="000167FC"/>
    <w:rsid w:val="00021598"/>
    <w:rsid w:val="000224A3"/>
    <w:rsid w:val="00025BF7"/>
    <w:rsid w:val="00026F9E"/>
    <w:rsid w:val="000270E7"/>
    <w:rsid w:val="0003016D"/>
    <w:rsid w:val="00030932"/>
    <w:rsid w:val="000310A4"/>
    <w:rsid w:val="00031F6C"/>
    <w:rsid w:val="00035492"/>
    <w:rsid w:val="00035A51"/>
    <w:rsid w:val="00035E50"/>
    <w:rsid w:val="00042A3B"/>
    <w:rsid w:val="00042CAA"/>
    <w:rsid w:val="00045CCD"/>
    <w:rsid w:val="0005178A"/>
    <w:rsid w:val="00051EDA"/>
    <w:rsid w:val="00052A09"/>
    <w:rsid w:val="00053328"/>
    <w:rsid w:val="00053DAB"/>
    <w:rsid w:val="00054186"/>
    <w:rsid w:val="000553A4"/>
    <w:rsid w:val="00055D2F"/>
    <w:rsid w:val="000579D9"/>
    <w:rsid w:val="00061E9E"/>
    <w:rsid w:val="000620A3"/>
    <w:rsid w:val="00062C98"/>
    <w:rsid w:val="00062ECC"/>
    <w:rsid w:val="00065C37"/>
    <w:rsid w:val="000710F8"/>
    <w:rsid w:val="0007159A"/>
    <w:rsid w:val="00074012"/>
    <w:rsid w:val="000740CC"/>
    <w:rsid w:val="000760DF"/>
    <w:rsid w:val="000764FF"/>
    <w:rsid w:val="000807BE"/>
    <w:rsid w:val="00080DFA"/>
    <w:rsid w:val="00083E3D"/>
    <w:rsid w:val="000874FD"/>
    <w:rsid w:val="00092372"/>
    <w:rsid w:val="00093A90"/>
    <w:rsid w:val="00093F69"/>
    <w:rsid w:val="00094261"/>
    <w:rsid w:val="000A10CF"/>
    <w:rsid w:val="000A1F46"/>
    <w:rsid w:val="000A6EFF"/>
    <w:rsid w:val="000A7AC2"/>
    <w:rsid w:val="000B22C7"/>
    <w:rsid w:val="000B252A"/>
    <w:rsid w:val="000B6580"/>
    <w:rsid w:val="000B7850"/>
    <w:rsid w:val="000C0D3D"/>
    <w:rsid w:val="000C377D"/>
    <w:rsid w:val="000C764C"/>
    <w:rsid w:val="000D0132"/>
    <w:rsid w:val="000D1349"/>
    <w:rsid w:val="000D23C3"/>
    <w:rsid w:val="000D2B62"/>
    <w:rsid w:val="000D33CA"/>
    <w:rsid w:val="000D5C83"/>
    <w:rsid w:val="000D66EA"/>
    <w:rsid w:val="000D6D93"/>
    <w:rsid w:val="000E41E6"/>
    <w:rsid w:val="000E470E"/>
    <w:rsid w:val="000E5727"/>
    <w:rsid w:val="000E59D7"/>
    <w:rsid w:val="000F04CC"/>
    <w:rsid w:val="000F1189"/>
    <w:rsid w:val="000F521F"/>
    <w:rsid w:val="000F6A44"/>
    <w:rsid w:val="00100D63"/>
    <w:rsid w:val="00103C6A"/>
    <w:rsid w:val="00104EF8"/>
    <w:rsid w:val="001055FA"/>
    <w:rsid w:val="00107E2A"/>
    <w:rsid w:val="00113F8B"/>
    <w:rsid w:val="00114361"/>
    <w:rsid w:val="001143DD"/>
    <w:rsid w:val="001151FD"/>
    <w:rsid w:val="00115583"/>
    <w:rsid w:val="00117411"/>
    <w:rsid w:val="001176D2"/>
    <w:rsid w:val="0012171E"/>
    <w:rsid w:val="00121D93"/>
    <w:rsid w:val="0012358B"/>
    <w:rsid w:val="00124601"/>
    <w:rsid w:val="00125320"/>
    <w:rsid w:val="00125440"/>
    <w:rsid w:val="00125723"/>
    <w:rsid w:val="00125E00"/>
    <w:rsid w:val="00126652"/>
    <w:rsid w:val="00126A01"/>
    <w:rsid w:val="00130283"/>
    <w:rsid w:val="001302A7"/>
    <w:rsid w:val="00132A6F"/>
    <w:rsid w:val="001366F3"/>
    <w:rsid w:val="00137C86"/>
    <w:rsid w:val="00137E1E"/>
    <w:rsid w:val="001424FA"/>
    <w:rsid w:val="00142945"/>
    <w:rsid w:val="001430CE"/>
    <w:rsid w:val="00143429"/>
    <w:rsid w:val="00144C98"/>
    <w:rsid w:val="00146811"/>
    <w:rsid w:val="00151E84"/>
    <w:rsid w:val="00152031"/>
    <w:rsid w:val="00155049"/>
    <w:rsid w:val="00156131"/>
    <w:rsid w:val="00156ED9"/>
    <w:rsid w:val="00161061"/>
    <w:rsid w:val="001623E2"/>
    <w:rsid w:val="001645F1"/>
    <w:rsid w:val="0016576F"/>
    <w:rsid w:val="00165977"/>
    <w:rsid w:val="00165AC8"/>
    <w:rsid w:val="00166577"/>
    <w:rsid w:val="00167390"/>
    <w:rsid w:val="0016779A"/>
    <w:rsid w:val="00167844"/>
    <w:rsid w:val="00174DF7"/>
    <w:rsid w:val="00175F29"/>
    <w:rsid w:val="00180B28"/>
    <w:rsid w:val="00182934"/>
    <w:rsid w:val="00183218"/>
    <w:rsid w:val="001853A5"/>
    <w:rsid w:val="001868AA"/>
    <w:rsid w:val="0018718B"/>
    <w:rsid w:val="00192E4A"/>
    <w:rsid w:val="00193607"/>
    <w:rsid w:val="001954ED"/>
    <w:rsid w:val="001969E8"/>
    <w:rsid w:val="00197244"/>
    <w:rsid w:val="001A04B2"/>
    <w:rsid w:val="001A23D6"/>
    <w:rsid w:val="001A3953"/>
    <w:rsid w:val="001A4F0F"/>
    <w:rsid w:val="001A50D4"/>
    <w:rsid w:val="001A7B2B"/>
    <w:rsid w:val="001B0F52"/>
    <w:rsid w:val="001B2676"/>
    <w:rsid w:val="001B2ECF"/>
    <w:rsid w:val="001B3E3F"/>
    <w:rsid w:val="001B577B"/>
    <w:rsid w:val="001B728F"/>
    <w:rsid w:val="001C1DCE"/>
    <w:rsid w:val="001C3817"/>
    <w:rsid w:val="001C3970"/>
    <w:rsid w:val="001C3BB4"/>
    <w:rsid w:val="001C431D"/>
    <w:rsid w:val="001C5785"/>
    <w:rsid w:val="001D03A8"/>
    <w:rsid w:val="001D2026"/>
    <w:rsid w:val="001D202D"/>
    <w:rsid w:val="001D3ED2"/>
    <w:rsid w:val="001D6BB4"/>
    <w:rsid w:val="001E1952"/>
    <w:rsid w:val="001E1C07"/>
    <w:rsid w:val="001E2478"/>
    <w:rsid w:val="001E35BE"/>
    <w:rsid w:val="001E68A5"/>
    <w:rsid w:val="001E6B78"/>
    <w:rsid w:val="001E7415"/>
    <w:rsid w:val="001F0735"/>
    <w:rsid w:val="001F166C"/>
    <w:rsid w:val="001F286E"/>
    <w:rsid w:val="001F3534"/>
    <w:rsid w:val="001F3AF4"/>
    <w:rsid w:val="001F54D2"/>
    <w:rsid w:val="001F5857"/>
    <w:rsid w:val="0020099A"/>
    <w:rsid w:val="00200EF6"/>
    <w:rsid w:val="0020167B"/>
    <w:rsid w:val="00203C9A"/>
    <w:rsid w:val="0020429F"/>
    <w:rsid w:val="00204C32"/>
    <w:rsid w:val="00205626"/>
    <w:rsid w:val="002062EB"/>
    <w:rsid w:val="00206D5C"/>
    <w:rsid w:val="00210721"/>
    <w:rsid w:val="002116E8"/>
    <w:rsid w:val="00211E15"/>
    <w:rsid w:val="00216AA6"/>
    <w:rsid w:val="0022000A"/>
    <w:rsid w:val="002250E8"/>
    <w:rsid w:val="002273AB"/>
    <w:rsid w:val="002308C2"/>
    <w:rsid w:val="002320A5"/>
    <w:rsid w:val="00232610"/>
    <w:rsid w:val="00232D90"/>
    <w:rsid w:val="00233651"/>
    <w:rsid w:val="0023416A"/>
    <w:rsid w:val="002345F8"/>
    <w:rsid w:val="0023603E"/>
    <w:rsid w:val="0023744B"/>
    <w:rsid w:val="00237E46"/>
    <w:rsid w:val="00240A14"/>
    <w:rsid w:val="00241064"/>
    <w:rsid w:val="00241276"/>
    <w:rsid w:val="00241D14"/>
    <w:rsid w:val="00245381"/>
    <w:rsid w:val="00245E38"/>
    <w:rsid w:val="0025036C"/>
    <w:rsid w:val="0025122F"/>
    <w:rsid w:val="0025148E"/>
    <w:rsid w:val="00252194"/>
    <w:rsid w:val="00252396"/>
    <w:rsid w:val="0025443A"/>
    <w:rsid w:val="00255B1D"/>
    <w:rsid w:val="00256F14"/>
    <w:rsid w:val="00260426"/>
    <w:rsid w:val="002604DB"/>
    <w:rsid w:val="00263501"/>
    <w:rsid w:val="0026474F"/>
    <w:rsid w:val="00265208"/>
    <w:rsid w:val="00267843"/>
    <w:rsid w:val="0026793B"/>
    <w:rsid w:val="00270102"/>
    <w:rsid w:val="00270E93"/>
    <w:rsid w:val="0027219A"/>
    <w:rsid w:val="0027336D"/>
    <w:rsid w:val="00274E46"/>
    <w:rsid w:val="002752B2"/>
    <w:rsid w:val="00277354"/>
    <w:rsid w:val="002776D0"/>
    <w:rsid w:val="002803D9"/>
    <w:rsid w:val="002811C1"/>
    <w:rsid w:val="00285541"/>
    <w:rsid w:val="00285AEE"/>
    <w:rsid w:val="00286771"/>
    <w:rsid w:val="002976E9"/>
    <w:rsid w:val="002A284E"/>
    <w:rsid w:val="002A3312"/>
    <w:rsid w:val="002A3E82"/>
    <w:rsid w:val="002A7EDB"/>
    <w:rsid w:val="002B12E0"/>
    <w:rsid w:val="002B4130"/>
    <w:rsid w:val="002B6957"/>
    <w:rsid w:val="002B708D"/>
    <w:rsid w:val="002B7865"/>
    <w:rsid w:val="002B793E"/>
    <w:rsid w:val="002C003E"/>
    <w:rsid w:val="002C3A6E"/>
    <w:rsid w:val="002C75B8"/>
    <w:rsid w:val="002C7C0A"/>
    <w:rsid w:val="002D0518"/>
    <w:rsid w:val="002D4053"/>
    <w:rsid w:val="002D4973"/>
    <w:rsid w:val="002D5C09"/>
    <w:rsid w:val="002D7A68"/>
    <w:rsid w:val="002E25BD"/>
    <w:rsid w:val="002E3E47"/>
    <w:rsid w:val="002E5653"/>
    <w:rsid w:val="002E5DCA"/>
    <w:rsid w:val="002F0574"/>
    <w:rsid w:val="002F0765"/>
    <w:rsid w:val="002F0F2B"/>
    <w:rsid w:val="002F1A67"/>
    <w:rsid w:val="002F2224"/>
    <w:rsid w:val="002F2ACB"/>
    <w:rsid w:val="002F39CE"/>
    <w:rsid w:val="002F6336"/>
    <w:rsid w:val="002F64F3"/>
    <w:rsid w:val="002F6FA6"/>
    <w:rsid w:val="00300BCE"/>
    <w:rsid w:val="00300E35"/>
    <w:rsid w:val="00301199"/>
    <w:rsid w:val="003028D7"/>
    <w:rsid w:val="0030363D"/>
    <w:rsid w:val="003054FB"/>
    <w:rsid w:val="00305C75"/>
    <w:rsid w:val="00306809"/>
    <w:rsid w:val="00311251"/>
    <w:rsid w:val="00314844"/>
    <w:rsid w:val="003154D6"/>
    <w:rsid w:val="0032131E"/>
    <w:rsid w:val="00322412"/>
    <w:rsid w:val="0032344D"/>
    <w:rsid w:val="00330FF9"/>
    <w:rsid w:val="00333F8C"/>
    <w:rsid w:val="00336530"/>
    <w:rsid w:val="00340AD8"/>
    <w:rsid w:val="00341485"/>
    <w:rsid w:val="003417A1"/>
    <w:rsid w:val="00342BA5"/>
    <w:rsid w:val="003442C9"/>
    <w:rsid w:val="0034584F"/>
    <w:rsid w:val="0034639C"/>
    <w:rsid w:val="00347E62"/>
    <w:rsid w:val="00350563"/>
    <w:rsid w:val="0035640B"/>
    <w:rsid w:val="0035712B"/>
    <w:rsid w:val="003616C4"/>
    <w:rsid w:val="00363497"/>
    <w:rsid w:val="00365CD8"/>
    <w:rsid w:val="00365D9E"/>
    <w:rsid w:val="00365DEB"/>
    <w:rsid w:val="003737C6"/>
    <w:rsid w:val="00373B2F"/>
    <w:rsid w:val="00375170"/>
    <w:rsid w:val="00377C13"/>
    <w:rsid w:val="003850E0"/>
    <w:rsid w:val="00386976"/>
    <w:rsid w:val="00387E54"/>
    <w:rsid w:val="00387E57"/>
    <w:rsid w:val="00391137"/>
    <w:rsid w:val="00391FDB"/>
    <w:rsid w:val="003948D9"/>
    <w:rsid w:val="0039544F"/>
    <w:rsid w:val="003A0573"/>
    <w:rsid w:val="003A0EA0"/>
    <w:rsid w:val="003A2B67"/>
    <w:rsid w:val="003A4E46"/>
    <w:rsid w:val="003B2AB2"/>
    <w:rsid w:val="003B2B65"/>
    <w:rsid w:val="003B2C88"/>
    <w:rsid w:val="003B3917"/>
    <w:rsid w:val="003B75AA"/>
    <w:rsid w:val="003C29B3"/>
    <w:rsid w:val="003C4709"/>
    <w:rsid w:val="003C716E"/>
    <w:rsid w:val="003D0897"/>
    <w:rsid w:val="003D77D3"/>
    <w:rsid w:val="003E2B38"/>
    <w:rsid w:val="003E3017"/>
    <w:rsid w:val="003E3A7F"/>
    <w:rsid w:val="003F1A08"/>
    <w:rsid w:val="003F1CCD"/>
    <w:rsid w:val="003F1FBB"/>
    <w:rsid w:val="003F2271"/>
    <w:rsid w:val="003F262D"/>
    <w:rsid w:val="003F4019"/>
    <w:rsid w:val="003F40BE"/>
    <w:rsid w:val="003F51CF"/>
    <w:rsid w:val="003F6CD6"/>
    <w:rsid w:val="003F77D7"/>
    <w:rsid w:val="004022B3"/>
    <w:rsid w:val="00402D30"/>
    <w:rsid w:val="0040568B"/>
    <w:rsid w:val="0040610B"/>
    <w:rsid w:val="004068EA"/>
    <w:rsid w:val="0041091A"/>
    <w:rsid w:val="004130AA"/>
    <w:rsid w:val="0041375F"/>
    <w:rsid w:val="00415934"/>
    <w:rsid w:val="00415B45"/>
    <w:rsid w:val="0041643C"/>
    <w:rsid w:val="00421560"/>
    <w:rsid w:val="00421E43"/>
    <w:rsid w:val="00423588"/>
    <w:rsid w:val="00424FFC"/>
    <w:rsid w:val="004259C4"/>
    <w:rsid w:val="00426532"/>
    <w:rsid w:val="0042777A"/>
    <w:rsid w:val="00430377"/>
    <w:rsid w:val="004306F5"/>
    <w:rsid w:val="0043078B"/>
    <w:rsid w:val="00434A9C"/>
    <w:rsid w:val="00434FB9"/>
    <w:rsid w:val="00442E59"/>
    <w:rsid w:val="00443018"/>
    <w:rsid w:val="0044321F"/>
    <w:rsid w:val="00443D7E"/>
    <w:rsid w:val="004445EC"/>
    <w:rsid w:val="00446CCC"/>
    <w:rsid w:val="004549FD"/>
    <w:rsid w:val="00454EA8"/>
    <w:rsid w:val="00456DD1"/>
    <w:rsid w:val="00461001"/>
    <w:rsid w:val="004619A3"/>
    <w:rsid w:val="00462BEA"/>
    <w:rsid w:val="00467549"/>
    <w:rsid w:val="004675CE"/>
    <w:rsid w:val="0046797E"/>
    <w:rsid w:val="004679CF"/>
    <w:rsid w:val="004706ED"/>
    <w:rsid w:val="00471404"/>
    <w:rsid w:val="00473DE7"/>
    <w:rsid w:val="00474A33"/>
    <w:rsid w:val="00476A42"/>
    <w:rsid w:val="00476E75"/>
    <w:rsid w:val="0047718D"/>
    <w:rsid w:val="00480634"/>
    <w:rsid w:val="00480DA5"/>
    <w:rsid w:val="00492A51"/>
    <w:rsid w:val="004931D6"/>
    <w:rsid w:val="00493759"/>
    <w:rsid w:val="00495762"/>
    <w:rsid w:val="0049636C"/>
    <w:rsid w:val="00496836"/>
    <w:rsid w:val="0049782C"/>
    <w:rsid w:val="004A02F2"/>
    <w:rsid w:val="004A0A38"/>
    <w:rsid w:val="004A0BD0"/>
    <w:rsid w:val="004A20FB"/>
    <w:rsid w:val="004A27A0"/>
    <w:rsid w:val="004A2C8C"/>
    <w:rsid w:val="004A6941"/>
    <w:rsid w:val="004A6D40"/>
    <w:rsid w:val="004A767E"/>
    <w:rsid w:val="004B0696"/>
    <w:rsid w:val="004B13DE"/>
    <w:rsid w:val="004B4883"/>
    <w:rsid w:val="004B4BAA"/>
    <w:rsid w:val="004B6D6D"/>
    <w:rsid w:val="004B77EC"/>
    <w:rsid w:val="004C29FA"/>
    <w:rsid w:val="004C351A"/>
    <w:rsid w:val="004C37B7"/>
    <w:rsid w:val="004C3982"/>
    <w:rsid w:val="004C4515"/>
    <w:rsid w:val="004C4ED3"/>
    <w:rsid w:val="004C57C2"/>
    <w:rsid w:val="004C746B"/>
    <w:rsid w:val="004D14F4"/>
    <w:rsid w:val="004D28E9"/>
    <w:rsid w:val="004D54A6"/>
    <w:rsid w:val="004E2938"/>
    <w:rsid w:val="004E2E35"/>
    <w:rsid w:val="004E4B61"/>
    <w:rsid w:val="004E6308"/>
    <w:rsid w:val="004E630D"/>
    <w:rsid w:val="004E7486"/>
    <w:rsid w:val="004F0A76"/>
    <w:rsid w:val="004F107C"/>
    <w:rsid w:val="004F18B8"/>
    <w:rsid w:val="004F1D32"/>
    <w:rsid w:val="004F2A73"/>
    <w:rsid w:val="004F5463"/>
    <w:rsid w:val="004F5D6C"/>
    <w:rsid w:val="00500B5F"/>
    <w:rsid w:val="00501811"/>
    <w:rsid w:val="00502D9E"/>
    <w:rsid w:val="005061C5"/>
    <w:rsid w:val="005062FC"/>
    <w:rsid w:val="00506DEC"/>
    <w:rsid w:val="00507441"/>
    <w:rsid w:val="005104D2"/>
    <w:rsid w:val="00511815"/>
    <w:rsid w:val="005165B5"/>
    <w:rsid w:val="005176BF"/>
    <w:rsid w:val="005238BA"/>
    <w:rsid w:val="0052455E"/>
    <w:rsid w:val="00524BA8"/>
    <w:rsid w:val="00525A78"/>
    <w:rsid w:val="00525F5F"/>
    <w:rsid w:val="005260BD"/>
    <w:rsid w:val="005273F5"/>
    <w:rsid w:val="00530C84"/>
    <w:rsid w:val="0053204D"/>
    <w:rsid w:val="0053352F"/>
    <w:rsid w:val="00533D84"/>
    <w:rsid w:val="00534976"/>
    <w:rsid w:val="00536EA6"/>
    <w:rsid w:val="005374AB"/>
    <w:rsid w:val="00540595"/>
    <w:rsid w:val="00540FBE"/>
    <w:rsid w:val="00541025"/>
    <w:rsid w:val="0054315C"/>
    <w:rsid w:val="00543699"/>
    <w:rsid w:val="005444CD"/>
    <w:rsid w:val="00547AFE"/>
    <w:rsid w:val="005504BA"/>
    <w:rsid w:val="0055577B"/>
    <w:rsid w:val="0056004D"/>
    <w:rsid w:val="005604A4"/>
    <w:rsid w:val="00565DE9"/>
    <w:rsid w:val="0056677B"/>
    <w:rsid w:val="00567C54"/>
    <w:rsid w:val="00570352"/>
    <w:rsid w:val="00570F36"/>
    <w:rsid w:val="00570F7C"/>
    <w:rsid w:val="00571EEF"/>
    <w:rsid w:val="00572F8D"/>
    <w:rsid w:val="005764C2"/>
    <w:rsid w:val="00577CA5"/>
    <w:rsid w:val="005868A3"/>
    <w:rsid w:val="00587221"/>
    <w:rsid w:val="00590067"/>
    <w:rsid w:val="00594E06"/>
    <w:rsid w:val="00595BD4"/>
    <w:rsid w:val="00595FF1"/>
    <w:rsid w:val="005A3375"/>
    <w:rsid w:val="005A4052"/>
    <w:rsid w:val="005A4B73"/>
    <w:rsid w:val="005A58CB"/>
    <w:rsid w:val="005A70D6"/>
    <w:rsid w:val="005B0D75"/>
    <w:rsid w:val="005B5295"/>
    <w:rsid w:val="005B5C7E"/>
    <w:rsid w:val="005B6316"/>
    <w:rsid w:val="005C0907"/>
    <w:rsid w:val="005C0EC7"/>
    <w:rsid w:val="005C1F22"/>
    <w:rsid w:val="005C30B3"/>
    <w:rsid w:val="005D1550"/>
    <w:rsid w:val="005D23DD"/>
    <w:rsid w:val="005D4309"/>
    <w:rsid w:val="005D4739"/>
    <w:rsid w:val="005D5786"/>
    <w:rsid w:val="005E1127"/>
    <w:rsid w:val="005F0705"/>
    <w:rsid w:val="005F3791"/>
    <w:rsid w:val="005F38E5"/>
    <w:rsid w:val="005F3C15"/>
    <w:rsid w:val="005F4C6D"/>
    <w:rsid w:val="005F50B7"/>
    <w:rsid w:val="005F72EE"/>
    <w:rsid w:val="005F7DB0"/>
    <w:rsid w:val="00601B61"/>
    <w:rsid w:val="006030D4"/>
    <w:rsid w:val="0060331E"/>
    <w:rsid w:val="00603640"/>
    <w:rsid w:val="00610450"/>
    <w:rsid w:val="00612B33"/>
    <w:rsid w:val="00615664"/>
    <w:rsid w:val="00620693"/>
    <w:rsid w:val="00620991"/>
    <w:rsid w:val="00626895"/>
    <w:rsid w:val="00626FF5"/>
    <w:rsid w:val="0062716E"/>
    <w:rsid w:val="00627E99"/>
    <w:rsid w:val="00630028"/>
    <w:rsid w:val="006304A3"/>
    <w:rsid w:val="00631414"/>
    <w:rsid w:val="00631FF7"/>
    <w:rsid w:val="00632FCC"/>
    <w:rsid w:val="00634BEB"/>
    <w:rsid w:val="006357D3"/>
    <w:rsid w:val="00637B13"/>
    <w:rsid w:val="00640732"/>
    <w:rsid w:val="00640C5F"/>
    <w:rsid w:val="006438A9"/>
    <w:rsid w:val="0064448E"/>
    <w:rsid w:val="006452DF"/>
    <w:rsid w:val="006516F1"/>
    <w:rsid w:val="00653B23"/>
    <w:rsid w:val="006545FA"/>
    <w:rsid w:val="00655AFB"/>
    <w:rsid w:val="00655C00"/>
    <w:rsid w:val="00655C36"/>
    <w:rsid w:val="00656467"/>
    <w:rsid w:val="006577EA"/>
    <w:rsid w:val="00657F42"/>
    <w:rsid w:val="00661FCA"/>
    <w:rsid w:val="006631C0"/>
    <w:rsid w:val="00665194"/>
    <w:rsid w:val="0066689D"/>
    <w:rsid w:val="0066692E"/>
    <w:rsid w:val="00671E0F"/>
    <w:rsid w:val="00677F24"/>
    <w:rsid w:val="00680C3D"/>
    <w:rsid w:val="00681546"/>
    <w:rsid w:val="006822CE"/>
    <w:rsid w:val="00686877"/>
    <w:rsid w:val="006873E7"/>
    <w:rsid w:val="00687C4F"/>
    <w:rsid w:val="00693FED"/>
    <w:rsid w:val="00697CAD"/>
    <w:rsid w:val="006A0640"/>
    <w:rsid w:val="006A30B5"/>
    <w:rsid w:val="006A3271"/>
    <w:rsid w:val="006A4985"/>
    <w:rsid w:val="006A4CFC"/>
    <w:rsid w:val="006A508C"/>
    <w:rsid w:val="006A6B76"/>
    <w:rsid w:val="006A7538"/>
    <w:rsid w:val="006A79D7"/>
    <w:rsid w:val="006B0890"/>
    <w:rsid w:val="006B0C6A"/>
    <w:rsid w:val="006B199E"/>
    <w:rsid w:val="006B298B"/>
    <w:rsid w:val="006B2C17"/>
    <w:rsid w:val="006C12F0"/>
    <w:rsid w:val="006C1F85"/>
    <w:rsid w:val="006C352B"/>
    <w:rsid w:val="006C471E"/>
    <w:rsid w:val="006C5D26"/>
    <w:rsid w:val="006C6C3B"/>
    <w:rsid w:val="006C7526"/>
    <w:rsid w:val="006C7645"/>
    <w:rsid w:val="006D04C8"/>
    <w:rsid w:val="006D3676"/>
    <w:rsid w:val="006D3BA8"/>
    <w:rsid w:val="006E078D"/>
    <w:rsid w:val="006E4A05"/>
    <w:rsid w:val="006F10ED"/>
    <w:rsid w:val="006F1389"/>
    <w:rsid w:val="006F1DB2"/>
    <w:rsid w:val="006F7702"/>
    <w:rsid w:val="00701056"/>
    <w:rsid w:val="007014EE"/>
    <w:rsid w:val="00701D02"/>
    <w:rsid w:val="0070282D"/>
    <w:rsid w:val="00703650"/>
    <w:rsid w:val="0070667A"/>
    <w:rsid w:val="00711C2E"/>
    <w:rsid w:val="0071441F"/>
    <w:rsid w:val="0071486F"/>
    <w:rsid w:val="00715CE6"/>
    <w:rsid w:val="0071749C"/>
    <w:rsid w:val="00717E65"/>
    <w:rsid w:val="007213E4"/>
    <w:rsid w:val="007214FC"/>
    <w:rsid w:val="0072183E"/>
    <w:rsid w:val="0072294D"/>
    <w:rsid w:val="00723112"/>
    <w:rsid w:val="007253BC"/>
    <w:rsid w:val="00725AF0"/>
    <w:rsid w:val="00725E64"/>
    <w:rsid w:val="00737066"/>
    <w:rsid w:val="0074034F"/>
    <w:rsid w:val="00740DE3"/>
    <w:rsid w:val="00741920"/>
    <w:rsid w:val="007423DA"/>
    <w:rsid w:val="00742D28"/>
    <w:rsid w:val="0074376A"/>
    <w:rsid w:val="00744098"/>
    <w:rsid w:val="00744AEB"/>
    <w:rsid w:val="00747F5C"/>
    <w:rsid w:val="00750666"/>
    <w:rsid w:val="00751460"/>
    <w:rsid w:val="007534CC"/>
    <w:rsid w:val="007539BA"/>
    <w:rsid w:val="00755639"/>
    <w:rsid w:val="007557AF"/>
    <w:rsid w:val="00755D5A"/>
    <w:rsid w:val="00756C8C"/>
    <w:rsid w:val="0075791A"/>
    <w:rsid w:val="00760225"/>
    <w:rsid w:val="0076176B"/>
    <w:rsid w:val="00763976"/>
    <w:rsid w:val="007639DE"/>
    <w:rsid w:val="0076586F"/>
    <w:rsid w:val="007666B9"/>
    <w:rsid w:val="00772E62"/>
    <w:rsid w:val="00774776"/>
    <w:rsid w:val="007748C9"/>
    <w:rsid w:val="00775428"/>
    <w:rsid w:val="00775607"/>
    <w:rsid w:val="007824D3"/>
    <w:rsid w:val="007829AD"/>
    <w:rsid w:val="0078308D"/>
    <w:rsid w:val="00787586"/>
    <w:rsid w:val="007879A4"/>
    <w:rsid w:val="007907EC"/>
    <w:rsid w:val="007941C1"/>
    <w:rsid w:val="007970AD"/>
    <w:rsid w:val="007A1330"/>
    <w:rsid w:val="007A27D4"/>
    <w:rsid w:val="007A7954"/>
    <w:rsid w:val="007B05B1"/>
    <w:rsid w:val="007B0819"/>
    <w:rsid w:val="007B2032"/>
    <w:rsid w:val="007B2412"/>
    <w:rsid w:val="007B2577"/>
    <w:rsid w:val="007B308F"/>
    <w:rsid w:val="007B51ED"/>
    <w:rsid w:val="007B588F"/>
    <w:rsid w:val="007B78F7"/>
    <w:rsid w:val="007C13A2"/>
    <w:rsid w:val="007C20AF"/>
    <w:rsid w:val="007C3D6E"/>
    <w:rsid w:val="007C554B"/>
    <w:rsid w:val="007C76B7"/>
    <w:rsid w:val="007D69FE"/>
    <w:rsid w:val="007D75E1"/>
    <w:rsid w:val="007E1F9D"/>
    <w:rsid w:val="007E4252"/>
    <w:rsid w:val="007E5B63"/>
    <w:rsid w:val="007E5F54"/>
    <w:rsid w:val="007E64DF"/>
    <w:rsid w:val="007F4643"/>
    <w:rsid w:val="007F52C4"/>
    <w:rsid w:val="00801A95"/>
    <w:rsid w:val="00802E22"/>
    <w:rsid w:val="00803054"/>
    <w:rsid w:val="0080613C"/>
    <w:rsid w:val="0080742F"/>
    <w:rsid w:val="0081014C"/>
    <w:rsid w:val="00812F84"/>
    <w:rsid w:val="0081302B"/>
    <w:rsid w:val="00813432"/>
    <w:rsid w:val="0081667B"/>
    <w:rsid w:val="00820C1D"/>
    <w:rsid w:val="008241FC"/>
    <w:rsid w:val="008266C2"/>
    <w:rsid w:val="008279B4"/>
    <w:rsid w:val="00831359"/>
    <w:rsid w:val="0083242C"/>
    <w:rsid w:val="00832942"/>
    <w:rsid w:val="00833FEB"/>
    <w:rsid w:val="0083408B"/>
    <w:rsid w:val="00834F6E"/>
    <w:rsid w:val="00835AB3"/>
    <w:rsid w:val="0083630B"/>
    <w:rsid w:val="00836486"/>
    <w:rsid w:val="008439F6"/>
    <w:rsid w:val="0084702D"/>
    <w:rsid w:val="00847FF6"/>
    <w:rsid w:val="00850F19"/>
    <w:rsid w:val="00853A73"/>
    <w:rsid w:val="0085416C"/>
    <w:rsid w:val="008556F4"/>
    <w:rsid w:val="00855F98"/>
    <w:rsid w:val="0085686B"/>
    <w:rsid w:val="008572CF"/>
    <w:rsid w:val="00861944"/>
    <w:rsid w:val="008622AE"/>
    <w:rsid w:val="008652E5"/>
    <w:rsid w:val="00870CC9"/>
    <w:rsid w:val="00870DCB"/>
    <w:rsid w:val="00870FF9"/>
    <w:rsid w:val="008745BD"/>
    <w:rsid w:val="00875374"/>
    <w:rsid w:val="00877524"/>
    <w:rsid w:val="00877C19"/>
    <w:rsid w:val="008830A8"/>
    <w:rsid w:val="0088357D"/>
    <w:rsid w:val="008848FA"/>
    <w:rsid w:val="00884C58"/>
    <w:rsid w:val="00884DB9"/>
    <w:rsid w:val="00885A49"/>
    <w:rsid w:val="00886C57"/>
    <w:rsid w:val="008874A4"/>
    <w:rsid w:val="0089195B"/>
    <w:rsid w:val="008926E5"/>
    <w:rsid w:val="00892C12"/>
    <w:rsid w:val="00894643"/>
    <w:rsid w:val="00895926"/>
    <w:rsid w:val="00895CB4"/>
    <w:rsid w:val="008A3A06"/>
    <w:rsid w:val="008A562A"/>
    <w:rsid w:val="008B2EFF"/>
    <w:rsid w:val="008B2F99"/>
    <w:rsid w:val="008B31C1"/>
    <w:rsid w:val="008B529D"/>
    <w:rsid w:val="008B65FD"/>
    <w:rsid w:val="008C173A"/>
    <w:rsid w:val="008C1A63"/>
    <w:rsid w:val="008C1ED4"/>
    <w:rsid w:val="008C3448"/>
    <w:rsid w:val="008C406D"/>
    <w:rsid w:val="008C4E87"/>
    <w:rsid w:val="008C5852"/>
    <w:rsid w:val="008C611F"/>
    <w:rsid w:val="008C688A"/>
    <w:rsid w:val="008C6AC0"/>
    <w:rsid w:val="008C7BCA"/>
    <w:rsid w:val="008C7E01"/>
    <w:rsid w:val="008D21DB"/>
    <w:rsid w:val="008D27B8"/>
    <w:rsid w:val="008D3B52"/>
    <w:rsid w:val="008D4784"/>
    <w:rsid w:val="008D51A1"/>
    <w:rsid w:val="008E29B3"/>
    <w:rsid w:val="008E5C1B"/>
    <w:rsid w:val="008E63C0"/>
    <w:rsid w:val="008E742B"/>
    <w:rsid w:val="008F14DD"/>
    <w:rsid w:val="008F17A4"/>
    <w:rsid w:val="008F2771"/>
    <w:rsid w:val="008F58ED"/>
    <w:rsid w:val="008F7ACD"/>
    <w:rsid w:val="008F7AEB"/>
    <w:rsid w:val="00900798"/>
    <w:rsid w:val="009028A8"/>
    <w:rsid w:val="009130E8"/>
    <w:rsid w:val="0091407F"/>
    <w:rsid w:val="009151B6"/>
    <w:rsid w:val="009158AB"/>
    <w:rsid w:val="009222C8"/>
    <w:rsid w:val="00923D5D"/>
    <w:rsid w:val="009244DA"/>
    <w:rsid w:val="00931645"/>
    <w:rsid w:val="00933E6C"/>
    <w:rsid w:val="0093447C"/>
    <w:rsid w:val="00937E4A"/>
    <w:rsid w:val="00940C8E"/>
    <w:rsid w:val="00942022"/>
    <w:rsid w:val="00944DCA"/>
    <w:rsid w:val="009453DB"/>
    <w:rsid w:val="00946B25"/>
    <w:rsid w:val="00946FEB"/>
    <w:rsid w:val="00947BB3"/>
    <w:rsid w:val="00951C56"/>
    <w:rsid w:val="009529EE"/>
    <w:rsid w:val="00952A6D"/>
    <w:rsid w:val="00953825"/>
    <w:rsid w:val="00953EBF"/>
    <w:rsid w:val="00954793"/>
    <w:rsid w:val="00954C61"/>
    <w:rsid w:val="00954DFA"/>
    <w:rsid w:val="00962247"/>
    <w:rsid w:val="00962578"/>
    <w:rsid w:val="00962F82"/>
    <w:rsid w:val="009634A1"/>
    <w:rsid w:val="00964DFC"/>
    <w:rsid w:val="00966C67"/>
    <w:rsid w:val="0096763D"/>
    <w:rsid w:val="00967E30"/>
    <w:rsid w:val="00971465"/>
    <w:rsid w:val="00971D0E"/>
    <w:rsid w:val="009724C0"/>
    <w:rsid w:val="00972AA0"/>
    <w:rsid w:val="009736C1"/>
    <w:rsid w:val="00973FBF"/>
    <w:rsid w:val="00975F84"/>
    <w:rsid w:val="00976CE4"/>
    <w:rsid w:val="009816BF"/>
    <w:rsid w:val="0098322C"/>
    <w:rsid w:val="00984035"/>
    <w:rsid w:val="00984A62"/>
    <w:rsid w:val="00984FF5"/>
    <w:rsid w:val="00985E80"/>
    <w:rsid w:val="0098766D"/>
    <w:rsid w:val="00993C3B"/>
    <w:rsid w:val="00996FDA"/>
    <w:rsid w:val="009A14B5"/>
    <w:rsid w:val="009A1800"/>
    <w:rsid w:val="009A3E6B"/>
    <w:rsid w:val="009A4BFD"/>
    <w:rsid w:val="009B0EEF"/>
    <w:rsid w:val="009B14FB"/>
    <w:rsid w:val="009B1884"/>
    <w:rsid w:val="009B2BF2"/>
    <w:rsid w:val="009B35C3"/>
    <w:rsid w:val="009B4BB2"/>
    <w:rsid w:val="009C278B"/>
    <w:rsid w:val="009C6951"/>
    <w:rsid w:val="009D17BC"/>
    <w:rsid w:val="009D17CE"/>
    <w:rsid w:val="009D1834"/>
    <w:rsid w:val="009D45CF"/>
    <w:rsid w:val="009D4AF8"/>
    <w:rsid w:val="009D4B60"/>
    <w:rsid w:val="009D4E13"/>
    <w:rsid w:val="009D68FF"/>
    <w:rsid w:val="009E0279"/>
    <w:rsid w:val="009E0BA4"/>
    <w:rsid w:val="009E1F7F"/>
    <w:rsid w:val="009E3851"/>
    <w:rsid w:val="009E470D"/>
    <w:rsid w:val="009E4CAA"/>
    <w:rsid w:val="009E51AB"/>
    <w:rsid w:val="009E54DB"/>
    <w:rsid w:val="009E7D6E"/>
    <w:rsid w:val="009F60FC"/>
    <w:rsid w:val="00A003F2"/>
    <w:rsid w:val="00A0181B"/>
    <w:rsid w:val="00A033B1"/>
    <w:rsid w:val="00A043FC"/>
    <w:rsid w:val="00A04B66"/>
    <w:rsid w:val="00A05BD3"/>
    <w:rsid w:val="00A05F1F"/>
    <w:rsid w:val="00A07FD9"/>
    <w:rsid w:val="00A1259C"/>
    <w:rsid w:val="00A12F4D"/>
    <w:rsid w:val="00A13CEC"/>
    <w:rsid w:val="00A13E13"/>
    <w:rsid w:val="00A2058E"/>
    <w:rsid w:val="00A2299D"/>
    <w:rsid w:val="00A23514"/>
    <w:rsid w:val="00A23CB1"/>
    <w:rsid w:val="00A24004"/>
    <w:rsid w:val="00A25DB2"/>
    <w:rsid w:val="00A26D8C"/>
    <w:rsid w:val="00A3134B"/>
    <w:rsid w:val="00A31D5B"/>
    <w:rsid w:val="00A33823"/>
    <w:rsid w:val="00A342D1"/>
    <w:rsid w:val="00A34510"/>
    <w:rsid w:val="00A35D5C"/>
    <w:rsid w:val="00A37817"/>
    <w:rsid w:val="00A4146F"/>
    <w:rsid w:val="00A417A5"/>
    <w:rsid w:val="00A45628"/>
    <w:rsid w:val="00A50328"/>
    <w:rsid w:val="00A51610"/>
    <w:rsid w:val="00A51EC8"/>
    <w:rsid w:val="00A6251F"/>
    <w:rsid w:val="00A633F9"/>
    <w:rsid w:val="00A66320"/>
    <w:rsid w:val="00A70AFD"/>
    <w:rsid w:val="00A70EB4"/>
    <w:rsid w:val="00A7336B"/>
    <w:rsid w:val="00A76528"/>
    <w:rsid w:val="00A76644"/>
    <w:rsid w:val="00A803DC"/>
    <w:rsid w:val="00A81060"/>
    <w:rsid w:val="00A82196"/>
    <w:rsid w:val="00A829C3"/>
    <w:rsid w:val="00A85258"/>
    <w:rsid w:val="00A90E0F"/>
    <w:rsid w:val="00A92C4F"/>
    <w:rsid w:val="00A93A81"/>
    <w:rsid w:val="00A94885"/>
    <w:rsid w:val="00A9588E"/>
    <w:rsid w:val="00A96539"/>
    <w:rsid w:val="00AA0FFE"/>
    <w:rsid w:val="00AA19B8"/>
    <w:rsid w:val="00AA2927"/>
    <w:rsid w:val="00AA49DC"/>
    <w:rsid w:val="00AA54E1"/>
    <w:rsid w:val="00AB0635"/>
    <w:rsid w:val="00AB116C"/>
    <w:rsid w:val="00AB1B61"/>
    <w:rsid w:val="00AB2B70"/>
    <w:rsid w:val="00AB35CE"/>
    <w:rsid w:val="00AB3BB2"/>
    <w:rsid w:val="00AB48A8"/>
    <w:rsid w:val="00AC08A6"/>
    <w:rsid w:val="00AC3465"/>
    <w:rsid w:val="00AC499A"/>
    <w:rsid w:val="00AC4DBF"/>
    <w:rsid w:val="00AC730F"/>
    <w:rsid w:val="00AD0321"/>
    <w:rsid w:val="00AD0E36"/>
    <w:rsid w:val="00AD2024"/>
    <w:rsid w:val="00AD2C48"/>
    <w:rsid w:val="00AD394D"/>
    <w:rsid w:val="00AD7565"/>
    <w:rsid w:val="00AE0F5E"/>
    <w:rsid w:val="00AE100C"/>
    <w:rsid w:val="00AE33E5"/>
    <w:rsid w:val="00AE4B72"/>
    <w:rsid w:val="00AE6434"/>
    <w:rsid w:val="00AF19A0"/>
    <w:rsid w:val="00AF405C"/>
    <w:rsid w:val="00AF62FC"/>
    <w:rsid w:val="00AF6A6B"/>
    <w:rsid w:val="00AF7645"/>
    <w:rsid w:val="00AF79C9"/>
    <w:rsid w:val="00B00EB4"/>
    <w:rsid w:val="00B03C75"/>
    <w:rsid w:val="00B04D90"/>
    <w:rsid w:val="00B04DD9"/>
    <w:rsid w:val="00B073AC"/>
    <w:rsid w:val="00B12BB7"/>
    <w:rsid w:val="00B14C5D"/>
    <w:rsid w:val="00B15EA5"/>
    <w:rsid w:val="00B22DDC"/>
    <w:rsid w:val="00B241B3"/>
    <w:rsid w:val="00B256F6"/>
    <w:rsid w:val="00B259DD"/>
    <w:rsid w:val="00B26C68"/>
    <w:rsid w:val="00B273D0"/>
    <w:rsid w:val="00B30763"/>
    <w:rsid w:val="00B30A5E"/>
    <w:rsid w:val="00B335EB"/>
    <w:rsid w:val="00B35378"/>
    <w:rsid w:val="00B365F9"/>
    <w:rsid w:val="00B3788B"/>
    <w:rsid w:val="00B40D8D"/>
    <w:rsid w:val="00B42BD4"/>
    <w:rsid w:val="00B431B1"/>
    <w:rsid w:val="00B4350C"/>
    <w:rsid w:val="00B5279D"/>
    <w:rsid w:val="00B53648"/>
    <w:rsid w:val="00B54909"/>
    <w:rsid w:val="00B57918"/>
    <w:rsid w:val="00B6044B"/>
    <w:rsid w:val="00B614E1"/>
    <w:rsid w:val="00B61ECA"/>
    <w:rsid w:val="00B62CED"/>
    <w:rsid w:val="00B63DD6"/>
    <w:rsid w:val="00B63F8A"/>
    <w:rsid w:val="00B643F8"/>
    <w:rsid w:val="00B65CC9"/>
    <w:rsid w:val="00B65E6B"/>
    <w:rsid w:val="00B67B8E"/>
    <w:rsid w:val="00B70721"/>
    <w:rsid w:val="00B70790"/>
    <w:rsid w:val="00B70C60"/>
    <w:rsid w:val="00B70C62"/>
    <w:rsid w:val="00B73475"/>
    <w:rsid w:val="00B73736"/>
    <w:rsid w:val="00B737F1"/>
    <w:rsid w:val="00B74C02"/>
    <w:rsid w:val="00B757EA"/>
    <w:rsid w:val="00B80A10"/>
    <w:rsid w:val="00B831EB"/>
    <w:rsid w:val="00B8774F"/>
    <w:rsid w:val="00B87FF1"/>
    <w:rsid w:val="00B9199F"/>
    <w:rsid w:val="00B94DAF"/>
    <w:rsid w:val="00B96754"/>
    <w:rsid w:val="00BA03A9"/>
    <w:rsid w:val="00BA27B2"/>
    <w:rsid w:val="00BA379D"/>
    <w:rsid w:val="00BA38B5"/>
    <w:rsid w:val="00BA7D22"/>
    <w:rsid w:val="00BB1CBF"/>
    <w:rsid w:val="00BB1FDE"/>
    <w:rsid w:val="00BB2313"/>
    <w:rsid w:val="00BB2C65"/>
    <w:rsid w:val="00BB7CCA"/>
    <w:rsid w:val="00BC0C0D"/>
    <w:rsid w:val="00BC1328"/>
    <w:rsid w:val="00BC20FE"/>
    <w:rsid w:val="00BC4F54"/>
    <w:rsid w:val="00BC66C4"/>
    <w:rsid w:val="00BC733F"/>
    <w:rsid w:val="00BC7AE6"/>
    <w:rsid w:val="00BC7EB6"/>
    <w:rsid w:val="00BD0642"/>
    <w:rsid w:val="00BD130C"/>
    <w:rsid w:val="00BD2CDC"/>
    <w:rsid w:val="00BD4376"/>
    <w:rsid w:val="00BD499F"/>
    <w:rsid w:val="00BD4C83"/>
    <w:rsid w:val="00BD5480"/>
    <w:rsid w:val="00BD5696"/>
    <w:rsid w:val="00BD5E16"/>
    <w:rsid w:val="00BD79EC"/>
    <w:rsid w:val="00BE2C93"/>
    <w:rsid w:val="00BE37F2"/>
    <w:rsid w:val="00BE5E13"/>
    <w:rsid w:val="00BE5F5D"/>
    <w:rsid w:val="00BF3B84"/>
    <w:rsid w:val="00BF3EF9"/>
    <w:rsid w:val="00BF5744"/>
    <w:rsid w:val="00BF5C2F"/>
    <w:rsid w:val="00BF79FD"/>
    <w:rsid w:val="00C02821"/>
    <w:rsid w:val="00C02E15"/>
    <w:rsid w:val="00C03C4B"/>
    <w:rsid w:val="00C12043"/>
    <w:rsid w:val="00C13779"/>
    <w:rsid w:val="00C13BC5"/>
    <w:rsid w:val="00C1440B"/>
    <w:rsid w:val="00C1711C"/>
    <w:rsid w:val="00C176E8"/>
    <w:rsid w:val="00C23051"/>
    <w:rsid w:val="00C23721"/>
    <w:rsid w:val="00C23C05"/>
    <w:rsid w:val="00C259B2"/>
    <w:rsid w:val="00C26554"/>
    <w:rsid w:val="00C26FFB"/>
    <w:rsid w:val="00C326CC"/>
    <w:rsid w:val="00C32DA1"/>
    <w:rsid w:val="00C33076"/>
    <w:rsid w:val="00C34467"/>
    <w:rsid w:val="00C370EF"/>
    <w:rsid w:val="00C37A9A"/>
    <w:rsid w:val="00C40E20"/>
    <w:rsid w:val="00C4211A"/>
    <w:rsid w:val="00C424F9"/>
    <w:rsid w:val="00C46FCC"/>
    <w:rsid w:val="00C510B6"/>
    <w:rsid w:val="00C51297"/>
    <w:rsid w:val="00C5172C"/>
    <w:rsid w:val="00C517D0"/>
    <w:rsid w:val="00C5333A"/>
    <w:rsid w:val="00C54CBB"/>
    <w:rsid w:val="00C56B9F"/>
    <w:rsid w:val="00C57162"/>
    <w:rsid w:val="00C60CB0"/>
    <w:rsid w:val="00C60F5A"/>
    <w:rsid w:val="00C63587"/>
    <w:rsid w:val="00C640A1"/>
    <w:rsid w:val="00C669D6"/>
    <w:rsid w:val="00C70BF1"/>
    <w:rsid w:val="00C713C8"/>
    <w:rsid w:val="00C716F0"/>
    <w:rsid w:val="00C721C9"/>
    <w:rsid w:val="00C74B84"/>
    <w:rsid w:val="00C81791"/>
    <w:rsid w:val="00C81AFD"/>
    <w:rsid w:val="00C82882"/>
    <w:rsid w:val="00C830BF"/>
    <w:rsid w:val="00C8681E"/>
    <w:rsid w:val="00C8784F"/>
    <w:rsid w:val="00C90250"/>
    <w:rsid w:val="00C90594"/>
    <w:rsid w:val="00C90F01"/>
    <w:rsid w:val="00C945CF"/>
    <w:rsid w:val="00C95AB0"/>
    <w:rsid w:val="00C97EF9"/>
    <w:rsid w:val="00CA0ECD"/>
    <w:rsid w:val="00CA0ED1"/>
    <w:rsid w:val="00CA1E3D"/>
    <w:rsid w:val="00CA449D"/>
    <w:rsid w:val="00CA48A5"/>
    <w:rsid w:val="00CA685B"/>
    <w:rsid w:val="00CA6917"/>
    <w:rsid w:val="00CA7B54"/>
    <w:rsid w:val="00CB025C"/>
    <w:rsid w:val="00CB176A"/>
    <w:rsid w:val="00CB2BB1"/>
    <w:rsid w:val="00CB2D67"/>
    <w:rsid w:val="00CB33DE"/>
    <w:rsid w:val="00CB343F"/>
    <w:rsid w:val="00CB6C8F"/>
    <w:rsid w:val="00CC18C8"/>
    <w:rsid w:val="00CC2D97"/>
    <w:rsid w:val="00CC38F5"/>
    <w:rsid w:val="00CC3F4F"/>
    <w:rsid w:val="00CC4329"/>
    <w:rsid w:val="00CC4333"/>
    <w:rsid w:val="00CC5A00"/>
    <w:rsid w:val="00CC5D3F"/>
    <w:rsid w:val="00CD03DC"/>
    <w:rsid w:val="00CD0537"/>
    <w:rsid w:val="00CD06F9"/>
    <w:rsid w:val="00CD1092"/>
    <w:rsid w:val="00CD4CE4"/>
    <w:rsid w:val="00CD56BF"/>
    <w:rsid w:val="00CD61FB"/>
    <w:rsid w:val="00CD733B"/>
    <w:rsid w:val="00CD7704"/>
    <w:rsid w:val="00CD7899"/>
    <w:rsid w:val="00CE4206"/>
    <w:rsid w:val="00CE432F"/>
    <w:rsid w:val="00CE50AF"/>
    <w:rsid w:val="00CE66D0"/>
    <w:rsid w:val="00CE7683"/>
    <w:rsid w:val="00CF496E"/>
    <w:rsid w:val="00D00950"/>
    <w:rsid w:val="00D01C00"/>
    <w:rsid w:val="00D0298C"/>
    <w:rsid w:val="00D043E6"/>
    <w:rsid w:val="00D05112"/>
    <w:rsid w:val="00D05B8E"/>
    <w:rsid w:val="00D10E83"/>
    <w:rsid w:val="00D11690"/>
    <w:rsid w:val="00D135E4"/>
    <w:rsid w:val="00D13DD2"/>
    <w:rsid w:val="00D14AF2"/>
    <w:rsid w:val="00D1627A"/>
    <w:rsid w:val="00D16418"/>
    <w:rsid w:val="00D16C0A"/>
    <w:rsid w:val="00D16C6E"/>
    <w:rsid w:val="00D17972"/>
    <w:rsid w:val="00D21E79"/>
    <w:rsid w:val="00D2428C"/>
    <w:rsid w:val="00D2603D"/>
    <w:rsid w:val="00D306E4"/>
    <w:rsid w:val="00D31CDE"/>
    <w:rsid w:val="00D31EF7"/>
    <w:rsid w:val="00D33FCD"/>
    <w:rsid w:val="00D34F26"/>
    <w:rsid w:val="00D35295"/>
    <w:rsid w:val="00D35E54"/>
    <w:rsid w:val="00D373C6"/>
    <w:rsid w:val="00D41931"/>
    <w:rsid w:val="00D4471C"/>
    <w:rsid w:val="00D4521A"/>
    <w:rsid w:val="00D4527E"/>
    <w:rsid w:val="00D45AC7"/>
    <w:rsid w:val="00D4689E"/>
    <w:rsid w:val="00D5313D"/>
    <w:rsid w:val="00D543F0"/>
    <w:rsid w:val="00D55688"/>
    <w:rsid w:val="00D60715"/>
    <w:rsid w:val="00D6138D"/>
    <w:rsid w:val="00D61965"/>
    <w:rsid w:val="00D65B71"/>
    <w:rsid w:val="00D6740A"/>
    <w:rsid w:val="00D67429"/>
    <w:rsid w:val="00D72D20"/>
    <w:rsid w:val="00D76C75"/>
    <w:rsid w:val="00D8292C"/>
    <w:rsid w:val="00D82B99"/>
    <w:rsid w:val="00D842B7"/>
    <w:rsid w:val="00D84765"/>
    <w:rsid w:val="00D8592C"/>
    <w:rsid w:val="00D87361"/>
    <w:rsid w:val="00D90444"/>
    <w:rsid w:val="00D91448"/>
    <w:rsid w:val="00D92108"/>
    <w:rsid w:val="00D934EA"/>
    <w:rsid w:val="00D95BFC"/>
    <w:rsid w:val="00D973C5"/>
    <w:rsid w:val="00DA0AB8"/>
    <w:rsid w:val="00DA15BC"/>
    <w:rsid w:val="00DA19F5"/>
    <w:rsid w:val="00DA1EAD"/>
    <w:rsid w:val="00DA4C03"/>
    <w:rsid w:val="00DA5225"/>
    <w:rsid w:val="00DA6467"/>
    <w:rsid w:val="00DA75BB"/>
    <w:rsid w:val="00DA76AE"/>
    <w:rsid w:val="00DB1225"/>
    <w:rsid w:val="00DB16DE"/>
    <w:rsid w:val="00DB2EDB"/>
    <w:rsid w:val="00DB7F39"/>
    <w:rsid w:val="00DB7F9F"/>
    <w:rsid w:val="00DC1C51"/>
    <w:rsid w:val="00DC1E3D"/>
    <w:rsid w:val="00DC2E3A"/>
    <w:rsid w:val="00DC3E66"/>
    <w:rsid w:val="00DC5517"/>
    <w:rsid w:val="00DC57DE"/>
    <w:rsid w:val="00DD1060"/>
    <w:rsid w:val="00DD150C"/>
    <w:rsid w:val="00DD641A"/>
    <w:rsid w:val="00DD6AB2"/>
    <w:rsid w:val="00DE4C68"/>
    <w:rsid w:val="00DE5E6A"/>
    <w:rsid w:val="00DE6CF9"/>
    <w:rsid w:val="00DF03BA"/>
    <w:rsid w:val="00DF0678"/>
    <w:rsid w:val="00DF0D89"/>
    <w:rsid w:val="00DF0E68"/>
    <w:rsid w:val="00DF1E95"/>
    <w:rsid w:val="00DF3AF6"/>
    <w:rsid w:val="00DF48B8"/>
    <w:rsid w:val="00DF4B62"/>
    <w:rsid w:val="00DF6CAD"/>
    <w:rsid w:val="00DF6CB8"/>
    <w:rsid w:val="00DF75B1"/>
    <w:rsid w:val="00E0051D"/>
    <w:rsid w:val="00E02692"/>
    <w:rsid w:val="00E10C9E"/>
    <w:rsid w:val="00E10DE4"/>
    <w:rsid w:val="00E11507"/>
    <w:rsid w:val="00E12B13"/>
    <w:rsid w:val="00E12DAC"/>
    <w:rsid w:val="00E165AC"/>
    <w:rsid w:val="00E20635"/>
    <w:rsid w:val="00E20B18"/>
    <w:rsid w:val="00E21C49"/>
    <w:rsid w:val="00E2203B"/>
    <w:rsid w:val="00E227BE"/>
    <w:rsid w:val="00E22BD6"/>
    <w:rsid w:val="00E2315C"/>
    <w:rsid w:val="00E262C0"/>
    <w:rsid w:val="00E33159"/>
    <w:rsid w:val="00E33B9C"/>
    <w:rsid w:val="00E342C5"/>
    <w:rsid w:val="00E36AA0"/>
    <w:rsid w:val="00E36AEE"/>
    <w:rsid w:val="00E37D52"/>
    <w:rsid w:val="00E405A7"/>
    <w:rsid w:val="00E41F2E"/>
    <w:rsid w:val="00E43CBC"/>
    <w:rsid w:val="00E44950"/>
    <w:rsid w:val="00E500F8"/>
    <w:rsid w:val="00E53D27"/>
    <w:rsid w:val="00E55698"/>
    <w:rsid w:val="00E5627D"/>
    <w:rsid w:val="00E57F89"/>
    <w:rsid w:val="00E62C9C"/>
    <w:rsid w:val="00E638AE"/>
    <w:rsid w:val="00E65062"/>
    <w:rsid w:val="00E661F0"/>
    <w:rsid w:val="00E67A64"/>
    <w:rsid w:val="00E70055"/>
    <w:rsid w:val="00E73FD1"/>
    <w:rsid w:val="00E75A1A"/>
    <w:rsid w:val="00E75D5C"/>
    <w:rsid w:val="00E75F40"/>
    <w:rsid w:val="00E774D6"/>
    <w:rsid w:val="00E806BF"/>
    <w:rsid w:val="00E80736"/>
    <w:rsid w:val="00E82A47"/>
    <w:rsid w:val="00E87FD0"/>
    <w:rsid w:val="00E925A3"/>
    <w:rsid w:val="00E96D78"/>
    <w:rsid w:val="00E97450"/>
    <w:rsid w:val="00E9779E"/>
    <w:rsid w:val="00EA4BA7"/>
    <w:rsid w:val="00EA4E90"/>
    <w:rsid w:val="00EA4FCF"/>
    <w:rsid w:val="00EA549C"/>
    <w:rsid w:val="00EA60D7"/>
    <w:rsid w:val="00EA7318"/>
    <w:rsid w:val="00EB29E2"/>
    <w:rsid w:val="00EB31A3"/>
    <w:rsid w:val="00EB77C9"/>
    <w:rsid w:val="00EC09F1"/>
    <w:rsid w:val="00EC3251"/>
    <w:rsid w:val="00EC3CF5"/>
    <w:rsid w:val="00EC4911"/>
    <w:rsid w:val="00EC670A"/>
    <w:rsid w:val="00ED017F"/>
    <w:rsid w:val="00ED4DE5"/>
    <w:rsid w:val="00ED6C95"/>
    <w:rsid w:val="00ED7F38"/>
    <w:rsid w:val="00EE02D5"/>
    <w:rsid w:val="00EE1FCA"/>
    <w:rsid w:val="00EE2AA3"/>
    <w:rsid w:val="00EF0654"/>
    <w:rsid w:val="00EF16FA"/>
    <w:rsid w:val="00EF184E"/>
    <w:rsid w:val="00EF24CB"/>
    <w:rsid w:val="00EF359E"/>
    <w:rsid w:val="00EF362C"/>
    <w:rsid w:val="00EF5675"/>
    <w:rsid w:val="00EF5DF0"/>
    <w:rsid w:val="00F016CA"/>
    <w:rsid w:val="00F02E4F"/>
    <w:rsid w:val="00F067AF"/>
    <w:rsid w:val="00F07B1B"/>
    <w:rsid w:val="00F07CE4"/>
    <w:rsid w:val="00F10FD5"/>
    <w:rsid w:val="00F11376"/>
    <w:rsid w:val="00F14696"/>
    <w:rsid w:val="00F14A81"/>
    <w:rsid w:val="00F16020"/>
    <w:rsid w:val="00F1629D"/>
    <w:rsid w:val="00F20BC6"/>
    <w:rsid w:val="00F21879"/>
    <w:rsid w:val="00F24CD9"/>
    <w:rsid w:val="00F2562E"/>
    <w:rsid w:val="00F30F82"/>
    <w:rsid w:val="00F32D5F"/>
    <w:rsid w:val="00F3309B"/>
    <w:rsid w:val="00F33355"/>
    <w:rsid w:val="00F33FA5"/>
    <w:rsid w:val="00F343CE"/>
    <w:rsid w:val="00F362E0"/>
    <w:rsid w:val="00F41B3A"/>
    <w:rsid w:val="00F42338"/>
    <w:rsid w:val="00F43FB6"/>
    <w:rsid w:val="00F45ABE"/>
    <w:rsid w:val="00F51C2D"/>
    <w:rsid w:val="00F51C7B"/>
    <w:rsid w:val="00F55834"/>
    <w:rsid w:val="00F56BAE"/>
    <w:rsid w:val="00F57438"/>
    <w:rsid w:val="00F5778B"/>
    <w:rsid w:val="00F60276"/>
    <w:rsid w:val="00F61DF1"/>
    <w:rsid w:val="00F63774"/>
    <w:rsid w:val="00F63F2A"/>
    <w:rsid w:val="00F6540B"/>
    <w:rsid w:val="00F664CB"/>
    <w:rsid w:val="00F66620"/>
    <w:rsid w:val="00F66D57"/>
    <w:rsid w:val="00F66EB6"/>
    <w:rsid w:val="00F678A3"/>
    <w:rsid w:val="00F6793D"/>
    <w:rsid w:val="00F70217"/>
    <w:rsid w:val="00F70631"/>
    <w:rsid w:val="00F707DB"/>
    <w:rsid w:val="00F715E4"/>
    <w:rsid w:val="00F734E9"/>
    <w:rsid w:val="00F77A66"/>
    <w:rsid w:val="00F825C1"/>
    <w:rsid w:val="00F82837"/>
    <w:rsid w:val="00F8327D"/>
    <w:rsid w:val="00F84689"/>
    <w:rsid w:val="00F87E50"/>
    <w:rsid w:val="00F87F35"/>
    <w:rsid w:val="00F9158A"/>
    <w:rsid w:val="00F92026"/>
    <w:rsid w:val="00F9288B"/>
    <w:rsid w:val="00F95641"/>
    <w:rsid w:val="00F97582"/>
    <w:rsid w:val="00F97A98"/>
    <w:rsid w:val="00FA29A3"/>
    <w:rsid w:val="00FA2DB5"/>
    <w:rsid w:val="00FA4922"/>
    <w:rsid w:val="00FA496A"/>
    <w:rsid w:val="00FA548D"/>
    <w:rsid w:val="00FA7A82"/>
    <w:rsid w:val="00FB21E3"/>
    <w:rsid w:val="00FB280B"/>
    <w:rsid w:val="00FB37E4"/>
    <w:rsid w:val="00FB3B60"/>
    <w:rsid w:val="00FB4A15"/>
    <w:rsid w:val="00FB62C6"/>
    <w:rsid w:val="00FC15FE"/>
    <w:rsid w:val="00FC360E"/>
    <w:rsid w:val="00FC439F"/>
    <w:rsid w:val="00FC53DA"/>
    <w:rsid w:val="00FD4EDC"/>
    <w:rsid w:val="00FD4FD8"/>
    <w:rsid w:val="00FD5C08"/>
    <w:rsid w:val="00FD78A8"/>
    <w:rsid w:val="00FE02E1"/>
    <w:rsid w:val="00FE1EDC"/>
    <w:rsid w:val="00FE36E8"/>
    <w:rsid w:val="00FE548F"/>
    <w:rsid w:val="00FE67B4"/>
    <w:rsid w:val="00FE79E4"/>
    <w:rsid w:val="00FE7DDA"/>
    <w:rsid w:val="00FF0ABF"/>
    <w:rsid w:val="00FF1F30"/>
    <w:rsid w:val="00FF505A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9D5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5D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DE9"/>
  </w:style>
  <w:style w:type="paragraph" w:styleId="Footer">
    <w:name w:val="footer"/>
    <w:basedOn w:val="Normal"/>
    <w:link w:val="FooterChar"/>
    <w:uiPriority w:val="99"/>
    <w:unhideWhenUsed/>
    <w:rsid w:val="00565D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DE9"/>
  </w:style>
  <w:style w:type="paragraph" w:customStyle="1" w:styleId="Default">
    <w:name w:val="Default"/>
    <w:rsid w:val="00CD77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C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30F03-FD15-EB44-A35E-0241C52F4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4351</TotalTime>
  <Pages>2</Pages>
  <Words>561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Vincent-JF</dc:creator>
  <cp:keywords/>
  <dc:description/>
  <cp:lastModifiedBy>zjf.mhc@gmail.com</cp:lastModifiedBy>
  <cp:revision>1162</cp:revision>
  <dcterms:created xsi:type="dcterms:W3CDTF">2018-07-05T06:44:00Z</dcterms:created>
  <dcterms:modified xsi:type="dcterms:W3CDTF">2019-09-05T14:51:00Z</dcterms:modified>
</cp:coreProperties>
</file>