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BA9" w:rsidRPr="009C20B3" w:rsidRDefault="00C06BA9" w:rsidP="00C06BA9">
      <w:pPr>
        <w:jc w:val="center"/>
        <w:rPr>
          <w:rFonts w:ascii="Century Gothic" w:hAnsi="Century Gothic" w:cs="Arial"/>
          <w:b/>
          <w:bCs/>
          <w:iCs/>
          <w:color w:val="0079A7"/>
          <w:sz w:val="48"/>
          <w:szCs w:val="48"/>
          <w:u w:val="single"/>
        </w:rPr>
      </w:pPr>
      <w:r w:rsidRPr="009C20B3">
        <w:rPr>
          <w:rFonts w:ascii="Century Gothic" w:hAnsi="Century Gothic" w:cs="Arial"/>
          <w:b/>
          <w:bCs/>
          <w:iCs/>
          <w:color w:val="0079A7"/>
          <w:sz w:val="48"/>
          <w:szCs w:val="48"/>
          <w:u w:val="single"/>
        </w:rPr>
        <w:t>PART III / FELLOWSHIP PROGRAM</w:t>
      </w:r>
      <w:r w:rsidRPr="009C20B3">
        <w:rPr>
          <w:rFonts w:ascii="Century Gothic" w:hAnsi="Century Gothic" w:cs="Arial"/>
          <w:b/>
          <w:bCs/>
          <w:iCs/>
          <w:color w:val="0079A7"/>
          <w:sz w:val="48"/>
          <w:szCs w:val="48"/>
          <w:u w:val="single"/>
        </w:rPr>
        <w:br/>
        <w:t>ASSIGNMENT COVER SHEET</w:t>
      </w:r>
    </w:p>
    <w:p w:rsidR="00C06BA9" w:rsidRPr="009C20B3" w:rsidRDefault="00C06BA9" w:rsidP="00C06BA9">
      <w:pPr>
        <w:pStyle w:val="BodyText"/>
        <w:jc w:val="center"/>
        <w:rPr>
          <w:rFonts w:ascii="Century Gothic" w:hAnsi="Century Gothic" w:cs="Arial"/>
          <w:color w:val="333333"/>
        </w:rPr>
      </w:pPr>
      <w:r>
        <w:rPr>
          <w:rFonts w:ascii="Century Gothic" w:hAnsi="Century Gothic" w:cs="Arial"/>
          <w:color w:val="333333"/>
          <w:sz w:val="24"/>
          <w:szCs w:val="18"/>
        </w:rPr>
        <w:br/>
      </w:r>
      <w:r w:rsidRPr="009C20B3">
        <w:rPr>
          <w:rFonts w:ascii="Century Gothic" w:hAnsi="Century Gothic" w:cs="Arial"/>
          <w:b/>
          <w:bCs/>
          <w:color w:val="333333"/>
          <w:sz w:val="28"/>
          <w:szCs w:val="36"/>
        </w:rPr>
        <w:t>THIS FORM MUST BE AT THE FRONT OF EACH ASSIGNMENT</w:t>
      </w:r>
    </w:p>
    <w:p w:rsidR="00C06BA9" w:rsidRPr="009C20B3" w:rsidRDefault="00C06BA9" w:rsidP="00C06BA9">
      <w:pPr>
        <w:pStyle w:val="BodyText"/>
        <w:jc w:val="center"/>
        <w:rPr>
          <w:rFonts w:ascii="Century Gothic" w:hAnsi="Century Gothic" w:cs="Arial"/>
          <w:color w:val="333333"/>
          <w:sz w:val="21"/>
          <w:szCs w:val="21"/>
        </w:rPr>
      </w:pPr>
    </w:p>
    <w:p w:rsidR="00C06BA9" w:rsidRPr="009C20B3" w:rsidRDefault="00C06BA9" w:rsidP="00C06BA9">
      <w:pPr>
        <w:pStyle w:val="BodyText"/>
        <w:jc w:val="center"/>
        <w:rPr>
          <w:rFonts w:ascii="Century Gothic" w:hAnsi="Century Gothic" w:cs="Arial"/>
          <w:b/>
          <w:bCs/>
          <w:color w:val="333333"/>
          <w:sz w:val="24"/>
          <w:szCs w:val="32"/>
        </w:rPr>
      </w:pPr>
      <w:r w:rsidRPr="009C20B3">
        <w:rPr>
          <w:rFonts w:ascii="Century Gothic" w:hAnsi="Century Gothic" w:cs="Arial"/>
          <w:b/>
          <w:bCs/>
          <w:color w:val="333333"/>
          <w:sz w:val="28"/>
          <w:szCs w:val="36"/>
        </w:rPr>
        <w:t>CANDIDATES MUST KEEP A COPY OF THEIR ASSIGNMENT</w:t>
      </w:r>
    </w:p>
    <w:p w:rsidR="00C06BA9" w:rsidRDefault="00C06BA9" w:rsidP="00C06BA9">
      <w:pPr>
        <w:rPr>
          <w:rFonts w:ascii="Century Gothic" w:hAnsi="Century Gothic"/>
          <w:color w:val="333333"/>
        </w:rPr>
      </w:pPr>
    </w:p>
    <w:p w:rsidR="00C06BA9" w:rsidRPr="004F1BAB" w:rsidRDefault="00C06BA9" w:rsidP="00C06BA9">
      <w:pPr>
        <w:rPr>
          <w:rFonts w:ascii="Century Gothic" w:hAnsi="Century Gothic"/>
          <w:color w:val="333333"/>
        </w:rPr>
      </w:pPr>
    </w:p>
    <w:p w:rsidR="00C06BA9" w:rsidRPr="00DC62E7" w:rsidRDefault="00C06BA9" w:rsidP="00C06BA9">
      <w:pPr>
        <w:rPr>
          <w:rFonts w:ascii="Century Gothic" w:hAnsi="Century Gothic" w:cs="Arial"/>
          <w:b/>
          <w:bCs/>
          <w:iCs/>
          <w:color w:val="0079A7"/>
        </w:rPr>
      </w:pPr>
      <w:r w:rsidRPr="00DC62E7">
        <w:rPr>
          <w:rFonts w:ascii="Century Gothic" w:hAnsi="Century Gothic" w:cs="Arial"/>
          <w:b/>
          <w:bCs/>
          <w:iCs/>
          <w:color w:val="0079A7"/>
        </w:rPr>
        <w:t>Candidate to complete the following section</w:t>
      </w:r>
      <w:r>
        <w:rPr>
          <w:rFonts w:ascii="Century Gothic" w:hAnsi="Century Gothic" w:cs="Arial"/>
          <w:b/>
          <w:bCs/>
          <w:iCs/>
          <w:color w:val="0079A7"/>
        </w:rPr>
        <w:t xml:space="preserve"> (and update details in header and footer)</w:t>
      </w:r>
      <w:r w:rsidRPr="00DC62E7">
        <w:rPr>
          <w:rFonts w:ascii="Century Gothic" w:hAnsi="Century Gothic" w:cs="Arial"/>
          <w:b/>
          <w:bCs/>
          <w:iCs/>
          <w:color w:val="0079A7"/>
        </w:rPr>
        <w:t>:</w:t>
      </w:r>
    </w:p>
    <w:p w:rsidR="00C06BA9" w:rsidRDefault="00C06BA9" w:rsidP="00C06BA9">
      <w:pPr>
        <w:tabs>
          <w:tab w:val="left" w:pos="6675"/>
        </w:tabs>
        <w:rPr>
          <w:rFonts w:ascii="Century Gothic" w:hAnsi="Century Gothic" w:cs="Arial"/>
          <w:b/>
          <w:bCs/>
          <w:color w:val="333333"/>
        </w:rPr>
      </w:pPr>
    </w:p>
    <w:p w:rsidR="00C06BA9" w:rsidRPr="004F1BAB" w:rsidRDefault="00C06BA9" w:rsidP="00C06BA9">
      <w:pPr>
        <w:tabs>
          <w:tab w:val="left" w:pos="6675"/>
        </w:tabs>
        <w:rPr>
          <w:rFonts w:ascii="Century Gothic" w:hAnsi="Century Gothic" w:cs="Arial"/>
          <w:b/>
          <w:bCs/>
          <w:color w:val="33333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9"/>
        <w:gridCol w:w="4301"/>
      </w:tblGrid>
      <w:tr w:rsidR="00C06BA9" w:rsidRPr="00953343" w:rsidTr="000D3F0C">
        <w:trPr>
          <w:trHeight w:val="608"/>
        </w:trPr>
        <w:tc>
          <w:tcPr>
            <w:tcW w:w="4621" w:type="dxa"/>
            <w:shd w:val="clear" w:color="auto" w:fill="auto"/>
          </w:tcPr>
          <w:p w:rsidR="00C06BA9" w:rsidRPr="00953343" w:rsidRDefault="00C06BA9" w:rsidP="000D3F0C">
            <w:pPr>
              <w:rPr>
                <w:rFonts w:ascii="Century Gothic" w:hAnsi="Century Gothic" w:cs="Arial"/>
                <w:b/>
                <w:bCs/>
                <w:color w:val="333333"/>
                <w:sz w:val="22"/>
                <w:szCs w:val="22"/>
              </w:rPr>
            </w:pPr>
            <w:r w:rsidRPr="00953343">
              <w:rPr>
                <w:rFonts w:ascii="Century Gothic" w:hAnsi="Century Gothic" w:cs="Arial"/>
                <w:b/>
                <w:bCs/>
                <w:color w:val="333333"/>
                <w:sz w:val="22"/>
                <w:szCs w:val="22"/>
              </w:rPr>
              <w:t>Candidate Number:</w:t>
            </w:r>
            <w:r w:rsidRPr="00953343">
              <w:rPr>
                <w:rFonts w:ascii="Century Gothic" w:hAnsi="Century Gothic"/>
                <w:b/>
                <w:bCs/>
                <w:color w:val="333333"/>
                <w:sz w:val="22"/>
                <w:szCs w:val="22"/>
              </w:rPr>
              <w:t xml:space="preserve">  </w:t>
            </w:r>
            <w:r w:rsidRPr="00C06BA9">
              <w:rPr>
                <w:rFonts w:ascii="Century Gothic" w:hAnsi="Century Gothic"/>
                <w:b/>
                <w:bCs/>
                <w:color w:val="333333"/>
                <w:sz w:val="22"/>
                <w:szCs w:val="22"/>
              </w:rPr>
              <w:t>201399</w:t>
            </w:r>
          </w:p>
        </w:tc>
        <w:tc>
          <w:tcPr>
            <w:tcW w:w="4622" w:type="dxa"/>
            <w:shd w:val="clear" w:color="auto" w:fill="auto"/>
          </w:tcPr>
          <w:p w:rsidR="00C06BA9" w:rsidRPr="00953343" w:rsidRDefault="00C06BA9" w:rsidP="000D3F0C">
            <w:pPr>
              <w:rPr>
                <w:rFonts w:ascii="Century Gothic" w:hAnsi="Century Gothic"/>
                <w:b/>
                <w:bCs/>
                <w:color w:val="333333"/>
                <w:sz w:val="22"/>
                <w:szCs w:val="22"/>
              </w:rPr>
            </w:pPr>
            <w:r w:rsidRPr="00953343">
              <w:rPr>
                <w:rFonts w:ascii="Century Gothic" w:hAnsi="Century Gothic" w:cs="Arial"/>
                <w:b/>
                <w:bCs/>
                <w:color w:val="333333"/>
                <w:sz w:val="22"/>
                <w:szCs w:val="22"/>
              </w:rPr>
              <w:t>Course:</w:t>
            </w:r>
            <w:r w:rsidRPr="00953343">
              <w:rPr>
                <w:rFonts w:ascii="Century Gothic" w:hAnsi="Century Gothic"/>
                <w:b/>
                <w:bCs/>
                <w:color w:val="333333"/>
                <w:sz w:val="22"/>
                <w:szCs w:val="22"/>
              </w:rPr>
              <w:t xml:space="preserve">  </w:t>
            </w:r>
            <w:r>
              <w:rPr>
                <w:rFonts w:ascii="Century Gothic" w:hAnsi="Century Gothic"/>
                <w:noProof/>
                <w:sz w:val="22"/>
                <w:szCs w:val="22"/>
                <w:lang w:eastAsia="en-AU"/>
              </w:rPr>
              <w:t>LIaRV</w:t>
            </w:r>
          </w:p>
          <w:p w:rsidR="00C06BA9" w:rsidRPr="00953343" w:rsidRDefault="00C06BA9" w:rsidP="000D3F0C">
            <w:pPr>
              <w:rPr>
                <w:rFonts w:ascii="Century Gothic" w:hAnsi="Century Gothic" w:cs="Arial"/>
                <w:b/>
                <w:bCs/>
                <w:color w:val="333333"/>
              </w:rPr>
            </w:pPr>
          </w:p>
        </w:tc>
      </w:tr>
      <w:tr w:rsidR="00C06BA9" w:rsidRPr="00953343" w:rsidTr="000D3F0C">
        <w:tc>
          <w:tcPr>
            <w:tcW w:w="9243" w:type="dxa"/>
            <w:gridSpan w:val="2"/>
            <w:shd w:val="clear" w:color="auto" w:fill="auto"/>
          </w:tcPr>
          <w:p w:rsidR="00C06BA9" w:rsidRPr="00953343" w:rsidRDefault="00C06BA9" w:rsidP="000D3F0C">
            <w:pPr>
              <w:rPr>
                <w:rFonts w:ascii="Century Gothic" w:hAnsi="Century Gothic" w:cs="Arial"/>
                <w:b/>
                <w:bCs/>
                <w:color w:val="333333"/>
                <w:sz w:val="22"/>
                <w:szCs w:val="22"/>
              </w:rPr>
            </w:pPr>
          </w:p>
          <w:p w:rsidR="00C06BA9" w:rsidRPr="00953343" w:rsidRDefault="00C06BA9" w:rsidP="000D3F0C">
            <w:pPr>
              <w:rPr>
                <w:rFonts w:ascii="Century Gothic" w:hAnsi="Century Gothic" w:cs="Arial"/>
                <w:b/>
                <w:bCs/>
                <w:color w:val="333333"/>
                <w:sz w:val="22"/>
                <w:szCs w:val="22"/>
              </w:rPr>
            </w:pPr>
            <w:r w:rsidRPr="00953343">
              <w:rPr>
                <w:rFonts w:ascii="Century Gothic" w:hAnsi="Century Gothic" w:cs="Arial"/>
                <w:b/>
                <w:bCs/>
                <w:color w:val="333333"/>
                <w:sz w:val="22"/>
                <w:szCs w:val="22"/>
              </w:rPr>
              <w:t xml:space="preserve">Date Due:  </w:t>
            </w:r>
            <w:r w:rsidRPr="00953343">
              <w:rPr>
                <w:rFonts w:ascii="Century Gothic" w:hAnsi="Century Gothic" w:cs="Arial"/>
                <w:color w:val="333333"/>
                <w:sz w:val="22"/>
                <w:szCs w:val="22"/>
              </w:rPr>
              <w:t xml:space="preserve">Monday </w:t>
            </w:r>
            <w:r>
              <w:rPr>
                <w:rFonts w:ascii="Century Gothic" w:hAnsi="Century Gothic" w:cs="Arial"/>
                <w:color w:val="333333"/>
                <w:sz w:val="22"/>
                <w:szCs w:val="22"/>
              </w:rPr>
              <w:t xml:space="preserve">2 March 2020 </w:t>
            </w:r>
            <w:r w:rsidRPr="00953343">
              <w:rPr>
                <w:rFonts w:ascii="Century Gothic" w:hAnsi="Century Gothic" w:cs="Arial"/>
                <w:color w:val="333333"/>
                <w:sz w:val="22"/>
                <w:szCs w:val="22"/>
              </w:rPr>
              <w:t>at 9.00am (AEST)</w:t>
            </w:r>
          </w:p>
          <w:p w:rsidR="00C06BA9" w:rsidRPr="00953343" w:rsidRDefault="00C06BA9" w:rsidP="000D3F0C">
            <w:pPr>
              <w:rPr>
                <w:rFonts w:ascii="Century Gothic" w:hAnsi="Century Gothic" w:cs="Arial"/>
                <w:b/>
                <w:bCs/>
                <w:color w:val="333333"/>
                <w:sz w:val="22"/>
                <w:szCs w:val="22"/>
              </w:rPr>
            </w:pPr>
          </w:p>
        </w:tc>
      </w:tr>
    </w:tbl>
    <w:p w:rsidR="00C06BA9" w:rsidRDefault="00C06BA9" w:rsidP="00C06BA9">
      <w:pPr>
        <w:rPr>
          <w:rFonts w:ascii="Century Gothic" w:hAnsi="Century Gothic" w:cs="Arial"/>
          <w:b/>
          <w:bCs/>
          <w:color w:val="333333"/>
        </w:rPr>
      </w:pPr>
    </w:p>
    <w:p w:rsidR="00C06BA9" w:rsidRPr="00170D29" w:rsidRDefault="00C06BA9" w:rsidP="00C06BA9">
      <w:pPr>
        <w:numPr>
          <w:ilvl w:val="0"/>
          <w:numId w:val="14"/>
        </w:numPr>
        <w:ind w:left="360"/>
        <w:rPr>
          <w:rFonts w:ascii="Century Gothic" w:hAnsi="Century Gothic" w:cs="Arial"/>
          <w:b/>
          <w:bCs/>
          <w:color w:val="333333"/>
        </w:rPr>
      </w:pPr>
      <w:r w:rsidRPr="00170D29">
        <w:rPr>
          <w:rFonts w:ascii="Century Gothic" w:hAnsi="Century Gothic" w:cs="Arial"/>
          <w:b/>
          <w:bCs/>
          <w:color w:val="333333"/>
        </w:rPr>
        <w:t>Please ensure that your candidate number and course name is located on the header and footers of each page of the assignment.</w:t>
      </w:r>
    </w:p>
    <w:p w:rsidR="00C06BA9" w:rsidRPr="00170D29" w:rsidRDefault="00C06BA9" w:rsidP="00C06BA9">
      <w:pPr>
        <w:rPr>
          <w:rFonts w:ascii="Century Gothic" w:hAnsi="Century Gothic" w:cs="Arial"/>
          <w:b/>
          <w:bCs/>
          <w:color w:val="333333"/>
        </w:rPr>
      </w:pPr>
    </w:p>
    <w:p w:rsidR="00C06BA9" w:rsidRPr="00170D29" w:rsidRDefault="00C06BA9" w:rsidP="00C06BA9">
      <w:pPr>
        <w:pStyle w:val="BodyText"/>
        <w:numPr>
          <w:ilvl w:val="0"/>
          <w:numId w:val="14"/>
        </w:numPr>
        <w:ind w:left="360"/>
        <w:jc w:val="left"/>
        <w:rPr>
          <w:rFonts w:ascii="Century Gothic" w:hAnsi="Century Gothic" w:cs="Arial"/>
          <w:b/>
          <w:bCs/>
          <w:color w:val="333333"/>
        </w:rPr>
      </w:pPr>
      <w:r w:rsidRPr="00170D29">
        <w:rPr>
          <w:rFonts w:ascii="Century Gothic" w:hAnsi="Century Gothic" w:cs="Arial"/>
          <w:b/>
          <w:bCs/>
          <w:color w:val="333333"/>
        </w:rPr>
        <w:t xml:space="preserve">By completing and submitting this cover sheet you are confirming that this assignment is your own work, and </w:t>
      </w:r>
      <w:smartTag w:uri="urn:schemas-microsoft-com:office:smarttags" w:element="PersonName">
        <w:r w:rsidRPr="00170D29">
          <w:rPr>
            <w:rFonts w:ascii="Century Gothic" w:hAnsi="Century Gothic" w:cs="Arial"/>
            <w:b/>
            <w:bCs/>
            <w:color w:val="333333"/>
          </w:rPr>
          <w:t>all</w:t>
        </w:r>
      </w:smartTag>
      <w:r w:rsidRPr="00170D29">
        <w:rPr>
          <w:rFonts w:ascii="Century Gothic" w:hAnsi="Century Gothic" w:cs="Arial"/>
          <w:b/>
          <w:bCs/>
          <w:color w:val="333333"/>
        </w:rPr>
        <w:t xml:space="preserve"> material that is used is correctly referenced and cited.</w:t>
      </w:r>
    </w:p>
    <w:p w:rsidR="00C06BA9" w:rsidRDefault="00C06BA9" w:rsidP="00C06BA9">
      <w:pPr>
        <w:rPr>
          <w:rFonts w:ascii="Century Gothic" w:hAnsi="Century Gothic" w:cs="Arial"/>
          <w:b/>
          <w:bCs/>
          <w:color w:val="333333"/>
        </w:rPr>
      </w:pPr>
    </w:p>
    <w:p w:rsidR="00C06BA9" w:rsidRDefault="00C06BA9" w:rsidP="00C06BA9">
      <w:pPr>
        <w:rPr>
          <w:rFonts w:ascii="Century Gothic" w:hAnsi="Century Gothic" w:cs="Arial"/>
          <w:b/>
          <w:bCs/>
          <w:color w:val="333333"/>
        </w:rPr>
      </w:pPr>
    </w:p>
    <w:p w:rsidR="00C06BA9" w:rsidRDefault="00C06BA9" w:rsidP="00C06BA9">
      <w:pPr>
        <w:rPr>
          <w:rFonts w:ascii="Century Gothic" w:hAnsi="Century Gothic" w:cs="Arial"/>
          <w:b/>
          <w:bCs/>
          <w:color w:val="333333"/>
        </w:rPr>
      </w:pPr>
    </w:p>
    <w:p w:rsidR="00C06BA9" w:rsidRDefault="00C06BA9" w:rsidP="00C06BA9">
      <w:pPr>
        <w:rPr>
          <w:rFonts w:ascii="Century Gothic" w:hAnsi="Century Gothic" w:cs="Arial"/>
          <w:b/>
          <w:bCs/>
          <w:color w:val="333333"/>
        </w:rPr>
      </w:pPr>
    </w:p>
    <w:p w:rsidR="00C06BA9" w:rsidRDefault="00C06BA9" w:rsidP="00C06BA9">
      <w:pPr>
        <w:rPr>
          <w:rFonts w:ascii="Century Gothic" w:hAnsi="Century Gothic" w:cs="Arial"/>
          <w:b/>
          <w:bCs/>
          <w:color w:val="333333"/>
        </w:rPr>
      </w:pPr>
    </w:p>
    <w:p w:rsidR="00C06BA9" w:rsidRDefault="00C06BA9" w:rsidP="00C06BA9">
      <w:pPr>
        <w:rPr>
          <w:rFonts w:ascii="Century Gothic" w:hAnsi="Century Gothic" w:cs="Arial"/>
          <w:b/>
          <w:bCs/>
          <w:color w:val="333333"/>
        </w:rPr>
      </w:pPr>
    </w:p>
    <w:p w:rsidR="00C06BA9" w:rsidRDefault="00C06BA9" w:rsidP="00C06BA9">
      <w:pPr>
        <w:tabs>
          <w:tab w:val="left" w:pos="6525"/>
        </w:tabs>
        <w:rPr>
          <w:rFonts w:ascii="Century Gothic" w:hAnsi="Century Gothic" w:cs="Arial"/>
          <w:b/>
          <w:bCs/>
          <w:color w:val="333333"/>
        </w:rPr>
      </w:pPr>
    </w:p>
    <w:p w:rsidR="00C06BA9" w:rsidRDefault="00C06BA9" w:rsidP="00C06BA9">
      <w:pPr>
        <w:rPr>
          <w:rFonts w:ascii="Century Gothic" w:hAnsi="Century Gothic" w:cs="Arial"/>
          <w:b/>
          <w:bCs/>
          <w:color w:val="333333"/>
          <w:sz w:val="24"/>
          <w:szCs w:val="24"/>
        </w:rPr>
      </w:pPr>
    </w:p>
    <w:p w:rsidR="00C06BA9" w:rsidRDefault="00C06BA9" w:rsidP="00C06BA9">
      <w:pPr>
        <w:rPr>
          <w:rFonts w:ascii="Century Gothic" w:hAnsi="Century Gothic" w:cs="Arial"/>
          <w:b/>
          <w:bCs/>
          <w:color w:val="333333"/>
          <w:sz w:val="24"/>
          <w:szCs w:val="24"/>
        </w:rPr>
      </w:pPr>
    </w:p>
    <w:p w:rsidR="00C06BA9" w:rsidRDefault="00C06BA9" w:rsidP="00C06BA9">
      <w:pPr>
        <w:rPr>
          <w:rFonts w:ascii="Century Gothic" w:hAnsi="Century Gothic" w:cs="Arial"/>
          <w:b/>
          <w:bCs/>
          <w:color w:val="333333"/>
          <w:sz w:val="24"/>
          <w:szCs w:val="24"/>
        </w:rPr>
      </w:pPr>
    </w:p>
    <w:p w:rsidR="00C06BA9" w:rsidRDefault="00C06BA9" w:rsidP="00C06BA9">
      <w:pPr>
        <w:rPr>
          <w:rFonts w:ascii="Century Gothic" w:hAnsi="Century Gothic" w:cs="Arial"/>
          <w:b/>
          <w:bCs/>
          <w:color w:val="0079A7"/>
        </w:rPr>
      </w:pPr>
    </w:p>
    <w:p w:rsidR="00C06BA9" w:rsidRPr="00DC62E7" w:rsidRDefault="00C06BA9" w:rsidP="00C06BA9">
      <w:pPr>
        <w:rPr>
          <w:rFonts w:ascii="Century Gothic" w:hAnsi="Century Gothic" w:cs="Arial"/>
          <w:b/>
          <w:bCs/>
          <w:color w:val="0079A7"/>
        </w:rPr>
      </w:pPr>
      <w:r>
        <w:rPr>
          <w:rFonts w:ascii="Century Gothic" w:hAnsi="Century Gothic" w:cs="Arial"/>
          <w:b/>
          <w:bCs/>
          <w:color w:val="0079A7"/>
        </w:rPr>
        <w:t xml:space="preserve">Assignment </w:t>
      </w:r>
      <w:r w:rsidRPr="00DC62E7">
        <w:rPr>
          <w:rFonts w:ascii="Century Gothic" w:hAnsi="Century Gothic" w:cs="Arial"/>
          <w:b/>
          <w:bCs/>
          <w:color w:val="0079A7"/>
        </w:rPr>
        <w:t>M</w:t>
      </w:r>
      <w:r>
        <w:rPr>
          <w:rFonts w:ascii="Century Gothic" w:hAnsi="Century Gothic" w:cs="Arial"/>
          <w:b/>
          <w:bCs/>
          <w:color w:val="0079A7"/>
        </w:rPr>
        <w:t>arker</w:t>
      </w:r>
      <w:r w:rsidRPr="00DC62E7">
        <w:rPr>
          <w:rFonts w:ascii="Century Gothic" w:hAnsi="Century Gothic" w:cs="Arial"/>
          <w:b/>
          <w:bCs/>
          <w:color w:val="0079A7"/>
        </w:rPr>
        <w:t xml:space="preserve"> to complete</w:t>
      </w:r>
      <w:r>
        <w:rPr>
          <w:rFonts w:ascii="Century Gothic" w:hAnsi="Century Gothic" w:cs="Arial"/>
          <w:b/>
          <w:bCs/>
          <w:color w:val="0079A7"/>
        </w:rPr>
        <w:t xml:space="preserve"> and update</w:t>
      </w:r>
      <w:r w:rsidRPr="00DC62E7">
        <w:rPr>
          <w:rFonts w:ascii="Century Gothic" w:hAnsi="Century Gothic" w:cs="Arial"/>
          <w:b/>
          <w:bCs/>
          <w:color w:val="0079A7"/>
        </w:rPr>
        <w:t xml:space="preserve"> the following section:</w:t>
      </w:r>
    </w:p>
    <w:p w:rsidR="00C06BA9" w:rsidRPr="004F1BAB" w:rsidRDefault="00C06BA9" w:rsidP="00C06BA9">
      <w:pPr>
        <w:rPr>
          <w:rFonts w:ascii="Century Gothic" w:hAnsi="Century Gothic" w:cs="Arial"/>
          <w:color w:val="333333"/>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4"/>
      </w:tblGrid>
      <w:tr w:rsidR="00C06BA9" w:rsidRPr="004F1BAB" w:rsidTr="000D3F0C">
        <w:trPr>
          <w:trHeight w:val="25"/>
        </w:trPr>
        <w:tc>
          <w:tcPr>
            <w:tcW w:w="9284" w:type="dxa"/>
            <w:vAlign w:val="center"/>
          </w:tcPr>
          <w:p w:rsidR="00C06BA9" w:rsidRPr="004F1BAB" w:rsidRDefault="00C06BA9" w:rsidP="000D3F0C">
            <w:pPr>
              <w:spacing w:before="40" w:after="40"/>
              <w:rPr>
                <w:rFonts w:ascii="Century Gothic" w:hAnsi="Century Gothic" w:cs="Arial"/>
                <w:b/>
                <w:color w:val="333333"/>
              </w:rPr>
            </w:pPr>
            <w:r w:rsidRPr="004F1BAB">
              <w:rPr>
                <w:rFonts w:ascii="Century Gothic" w:hAnsi="Century Gothic" w:cs="Arial"/>
                <w:b/>
                <w:color w:val="333333"/>
              </w:rPr>
              <w:t>Comments</w:t>
            </w:r>
            <w:r>
              <w:rPr>
                <w:rFonts w:ascii="Century Gothic" w:hAnsi="Century Gothic" w:cs="Arial"/>
                <w:b/>
                <w:color w:val="333333"/>
              </w:rPr>
              <w:t xml:space="preserve"> on Questions</w:t>
            </w:r>
          </w:p>
        </w:tc>
      </w:tr>
      <w:tr w:rsidR="00C06BA9" w:rsidRPr="004F1BAB" w:rsidTr="000D3F0C">
        <w:trPr>
          <w:trHeight w:val="751"/>
        </w:trPr>
        <w:tc>
          <w:tcPr>
            <w:tcW w:w="9284" w:type="dxa"/>
            <w:vAlign w:val="center"/>
          </w:tcPr>
          <w:p w:rsidR="00C06BA9" w:rsidRPr="004F1BAB" w:rsidRDefault="00C06BA9" w:rsidP="000D3F0C">
            <w:pPr>
              <w:spacing w:before="40" w:after="40"/>
              <w:rPr>
                <w:rFonts w:ascii="Century Gothic" w:hAnsi="Century Gothic" w:cs="Arial"/>
                <w:color w:val="333333"/>
              </w:rPr>
            </w:pPr>
          </w:p>
        </w:tc>
      </w:tr>
    </w:tbl>
    <w:p w:rsidR="00C06BA9" w:rsidRDefault="00C06BA9" w:rsidP="00C06BA9">
      <w:pPr>
        <w:spacing w:before="120" w:after="120"/>
        <w:rPr>
          <w:rFonts w:ascii="Century Gothic" w:hAnsi="Century Gothic" w:cs="Arial"/>
          <w:b/>
          <w:bCs/>
          <w:color w:val="333333"/>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4"/>
      </w:tblGrid>
      <w:tr w:rsidR="00C06BA9" w:rsidRPr="004F1BAB" w:rsidTr="000D3F0C">
        <w:trPr>
          <w:trHeight w:val="25"/>
        </w:trPr>
        <w:tc>
          <w:tcPr>
            <w:tcW w:w="9284" w:type="dxa"/>
            <w:vAlign w:val="center"/>
          </w:tcPr>
          <w:p w:rsidR="00C06BA9" w:rsidRPr="004F1BAB" w:rsidRDefault="00C06BA9" w:rsidP="000D3F0C">
            <w:pPr>
              <w:spacing w:before="40" w:after="40"/>
              <w:rPr>
                <w:rFonts w:ascii="Century Gothic" w:hAnsi="Century Gothic" w:cs="Arial"/>
                <w:b/>
                <w:color w:val="333333"/>
              </w:rPr>
            </w:pPr>
            <w:r>
              <w:rPr>
                <w:rFonts w:ascii="Century Gothic" w:hAnsi="Century Gothic" w:cs="Arial"/>
                <w:b/>
                <w:color w:val="333333"/>
              </w:rPr>
              <w:t>Overall Comments</w:t>
            </w:r>
          </w:p>
        </w:tc>
      </w:tr>
      <w:tr w:rsidR="00C06BA9" w:rsidRPr="004F1BAB" w:rsidTr="000D3F0C">
        <w:trPr>
          <w:trHeight w:val="751"/>
        </w:trPr>
        <w:tc>
          <w:tcPr>
            <w:tcW w:w="9284" w:type="dxa"/>
            <w:vAlign w:val="center"/>
          </w:tcPr>
          <w:p w:rsidR="00C06BA9" w:rsidRPr="004F1BAB" w:rsidRDefault="00C06BA9" w:rsidP="000D3F0C">
            <w:pPr>
              <w:spacing w:before="40" w:after="40"/>
              <w:rPr>
                <w:rFonts w:ascii="Century Gothic" w:hAnsi="Century Gothic" w:cs="Arial"/>
                <w:color w:val="333333"/>
              </w:rPr>
            </w:pPr>
          </w:p>
        </w:tc>
      </w:tr>
    </w:tbl>
    <w:p w:rsidR="00C06BA9" w:rsidRDefault="00C06BA9" w:rsidP="00C06BA9">
      <w:pPr>
        <w:spacing w:before="120" w:after="120"/>
        <w:rPr>
          <w:rFonts w:ascii="Century Gothic" w:hAnsi="Century Gothic" w:cs="Arial"/>
          <w:b/>
          <w:bCs/>
          <w:color w:val="333333"/>
        </w:rPr>
      </w:pPr>
    </w:p>
    <w:p w:rsidR="00C65EA8" w:rsidRPr="00503F8B" w:rsidRDefault="00C65EA8" w:rsidP="007C58B8">
      <w:pPr>
        <w:pStyle w:val="ListParagraph"/>
        <w:numPr>
          <w:ilvl w:val="0"/>
          <w:numId w:val="1"/>
        </w:numPr>
        <w:spacing w:before="60" w:after="60" w:line="276" w:lineRule="auto"/>
        <w:ind w:left="360"/>
        <w:jc w:val="both"/>
        <w:rPr>
          <w:rFonts w:ascii="Century Gothic" w:hAnsi="Century Gothic" w:cs="Arial"/>
          <w:b/>
          <w:bCs/>
          <w:sz w:val="22"/>
        </w:rPr>
      </w:pPr>
    </w:p>
    <w:p w:rsidR="009A12CA" w:rsidRPr="00503F8B" w:rsidRDefault="009A12CA" w:rsidP="007C58B8">
      <w:pPr>
        <w:pStyle w:val="ListParagraph"/>
        <w:numPr>
          <w:ilvl w:val="0"/>
          <w:numId w:val="2"/>
        </w:numPr>
        <w:spacing w:before="120" w:after="120" w:line="276" w:lineRule="auto"/>
        <w:jc w:val="both"/>
        <w:rPr>
          <w:rFonts w:ascii="Century Gothic" w:hAnsi="Century Gothic" w:cs="Arial"/>
          <w:bCs/>
          <w:sz w:val="22"/>
        </w:rPr>
      </w:pPr>
    </w:p>
    <w:tbl>
      <w:tblPr>
        <w:tblStyle w:val="GridTable4-Accent1"/>
        <w:tblW w:w="9360" w:type="dxa"/>
        <w:tblLook w:val="04A0" w:firstRow="1" w:lastRow="0" w:firstColumn="1" w:lastColumn="0" w:noHBand="0" w:noVBand="1"/>
      </w:tblPr>
      <w:tblGrid>
        <w:gridCol w:w="2001"/>
        <w:gridCol w:w="2127"/>
        <w:gridCol w:w="5232"/>
      </w:tblGrid>
      <w:tr w:rsidR="004E24AD" w:rsidRPr="00503F8B" w:rsidTr="00665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vAlign w:val="center"/>
          </w:tcPr>
          <w:p w:rsidR="009A12CA" w:rsidRPr="00824843" w:rsidRDefault="009A12CA" w:rsidP="00665114">
            <w:pPr>
              <w:spacing w:before="120" w:after="120" w:line="276" w:lineRule="auto"/>
              <w:jc w:val="center"/>
              <w:rPr>
                <w:rFonts w:ascii="Century Gothic" w:hAnsi="Century Gothic" w:cs="Arial"/>
                <w:b w:val="0"/>
                <w:bCs w:val="0"/>
                <w:szCs w:val="22"/>
              </w:rPr>
            </w:pPr>
            <w:r w:rsidRPr="00824843">
              <w:rPr>
                <w:rFonts w:ascii="Century Gothic" w:hAnsi="Century Gothic" w:cs="Arial"/>
                <w:szCs w:val="22"/>
              </w:rPr>
              <w:t>Common Assumptions for both methods</w:t>
            </w:r>
          </w:p>
        </w:tc>
        <w:tc>
          <w:tcPr>
            <w:tcW w:w="2127" w:type="dxa"/>
            <w:vAlign w:val="center"/>
          </w:tcPr>
          <w:p w:rsidR="009A12CA" w:rsidRPr="00824843" w:rsidRDefault="009A12CA" w:rsidP="00665114">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Cs w:val="22"/>
                <w:lang w:val="en-US"/>
              </w:rPr>
            </w:pPr>
            <w:r w:rsidRPr="00824843">
              <w:rPr>
                <w:rFonts w:ascii="Century Gothic" w:hAnsi="Century Gothic" w:cs="Arial"/>
                <w:szCs w:val="22"/>
                <w:lang w:val="en-US"/>
              </w:rPr>
              <w:t>Value</w:t>
            </w:r>
          </w:p>
        </w:tc>
        <w:tc>
          <w:tcPr>
            <w:tcW w:w="5232" w:type="dxa"/>
            <w:vAlign w:val="center"/>
          </w:tcPr>
          <w:p w:rsidR="009A12CA" w:rsidRPr="00824843" w:rsidRDefault="009A12CA" w:rsidP="007C58B8">
            <w:pPr>
              <w:spacing w:before="120" w:after="120" w:line="276" w:lineRule="auto"/>
              <w:jc w:val="both"/>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Cs w:val="22"/>
              </w:rPr>
            </w:pPr>
            <w:r w:rsidRPr="00824843">
              <w:rPr>
                <w:rFonts w:ascii="Century Gothic" w:hAnsi="Century Gothic" w:cs="Arial"/>
                <w:szCs w:val="22"/>
              </w:rPr>
              <w:t>Assumption explanations</w:t>
            </w:r>
          </w:p>
        </w:tc>
      </w:tr>
      <w:tr w:rsidR="00AF7A50" w:rsidRPr="00503F8B" w:rsidTr="00665114">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2001" w:type="dxa"/>
            <w:vAlign w:val="center"/>
          </w:tcPr>
          <w:p w:rsidR="00AF7A50" w:rsidRPr="00AF7A50" w:rsidRDefault="00AF7A50" w:rsidP="00665114">
            <w:pPr>
              <w:spacing w:before="120" w:after="120" w:line="276" w:lineRule="auto"/>
              <w:jc w:val="center"/>
              <w:rPr>
                <w:rFonts w:ascii="Century Gothic" w:hAnsi="Century Gothic" w:cs="Arial"/>
                <w:bCs w:val="0"/>
                <w:szCs w:val="22"/>
              </w:rPr>
            </w:pPr>
            <w:r w:rsidRPr="00AF7A50">
              <w:rPr>
                <w:rFonts w:ascii="Century Gothic" w:hAnsi="Century Gothic" w:cs="Arial"/>
                <w:bCs w:val="0"/>
                <w:szCs w:val="22"/>
              </w:rPr>
              <w:t>Past service definition</w:t>
            </w:r>
          </w:p>
        </w:tc>
        <w:tc>
          <w:tcPr>
            <w:tcW w:w="2127" w:type="dxa"/>
            <w:vAlign w:val="center"/>
          </w:tcPr>
          <w:p w:rsidR="00AF7A50" w:rsidRPr="00AF7A50" w:rsidRDefault="00AF7A50"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lang w:val="en-US"/>
              </w:rPr>
            </w:pPr>
            <w:r w:rsidRPr="00AF7A50">
              <w:rPr>
                <w:rFonts w:ascii="Century Gothic" w:hAnsi="Century Gothic" w:cs="Arial"/>
                <w:bCs/>
                <w:szCs w:val="22"/>
                <w:lang w:val="en-US"/>
              </w:rPr>
              <w:t>N/A</w:t>
            </w:r>
          </w:p>
        </w:tc>
        <w:tc>
          <w:tcPr>
            <w:tcW w:w="5232" w:type="dxa"/>
            <w:vAlign w:val="center"/>
          </w:tcPr>
          <w:p w:rsidR="00AF7A50" w:rsidRPr="00AF7A50" w:rsidRDefault="00AF7A50"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sidRPr="00AF7A50">
              <w:rPr>
                <w:rFonts w:ascii="Century Gothic" w:hAnsi="Century Gothic" w:cs="Arial"/>
                <w:bCs/>
                <w:szCs w:val="22"/>
              </w:rPr>
              <w:t xml:space="preserve">The scheme is a new scheme, benefits will only allow for service </w:t>
            </w:r>
            <w:r>
              <w:rPr>
                <w:rFonts w:ascii="Century Gothic" w:hAnsi="Century Gothic" w:cs="Arial"/>
                <w:bCs/>
                <w:szCs w:val="22"/>
              </w:rPr>
              <w:t xml:space="preserve">from the date </w:t>
            </w:r>
            <w:r w:rsidR="00C90E30">
              <w:rPr>
                <w:rFonts w:ascii="Century Gothic" w:hAnsi="Century Gothic" w:cs="Arial"/>
                <w:bCs/>
                <w:szCs w:val="22"/>
              </w:rPr>
              <w:t xml:space="preserve">when </w:t>
            </w:r>
            <w:r>
              <w:rPr>
                <w:rFonts w:ascii="Century Gothic" w:hAnsi="Century Gothic" w:cs="Arial"/>
                <w:bCs/>
                <w:szCs w:val="22"/>
              </w:rPr>
              <w:t>the scheme starts</w:t>
            </w:r>
            <w:r w:rsidRPr="00AF7A50">
              <w:rPr>
                <w:rFonts w:ascii="Century Gothic" w:hAnsi="Century Gothic" w:cs="Arial"/>
                <w:bCs/>
                <w:szCs w:val="22"/>
              </w:rPr>
              <w:t xml:space="preserve"> for all the current employees.</w:t>
            </w:r>
          </w:p>
        </w:tc>
      </w:tr>
      <w:tr w:rsidR="006166D8" w:rsidRPr="00503F8B" w:rsidTr="00665114">
        <w:trPr>
          <w:trHeight w:val="3473"/>
        </w:trPr>
        <w:tc>
          <w:tcPr>
            <w:cnfStyle w:val="001000000000" w:firstRow="0" w:lastRow="0" w:firstColumn="1" w:lastColumn="0" w:oddVBand="0" w:evenVBand="0" w:oddHBand="0" w:evenHBand="0" w:firstRowFirstColumn="0" w:firstRowLastColumn="0" w:lastRowFirstColumn="0" w:lastRowLastColumn="0"/>
            <w:tcW w:w="2001" w:type="dxa"/>
            <w:vAlign w:val="center"/>
          </w:tcPr>
          <w:p w:rsidR="00C73260" w:rsidRPr="00503F8B" w:rsidRDefault="00C73260" w:rsidP="00665114">
            <w:pPr>
              <w:spacing w:before="120" w:after="120" w:line="276" w:lineRule="auto"/>
              <w:jc w:val="center"/>
              <w:rPr>
                <w:rFonts w:ascii="Century Gothic" w:hAnsi="Century Gothic" w:cs="Arial"/>
                <w:bCs w:val="0"/>
              </w:rPr>
            </w:pPr>
            <w:r w:rsidRPr="00503F8B">
              <w:rPr>
                <w:rFonts w:ascii="Century Gothic" w:hAnsi="Century Gothic" w:cs="Arial"/>
              </w:rPr>
              <w:t>Investment return</w:t>
            </w:r>
          </w:p>
        </w:tc>
        <w:tc>
          <w:tcPr>
            <w:tcW w:w="2127" w:type="dxa"/>
            <w:vAlign w:val="center"/>
          </w:tcPr>
          <w:p w:rsidR="00C73260" w:rsidRPr="00503F8B" w:rsidRDefault="00C73260"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5%</w:t>
            </w:r>
            <w:r w:rsidR="00720362">
              <w:rPr>
                <w:rFonts w:ascii="Century Gothic" w:hAnsi="Century Gothic" w:cs="Arial"/>
                <w:bCs/>
              </w:rPr>
              <w:t xml:space="preserve"> p.a.</w:t>
            </w:r>
          </w:p>
        </w:tc>
        <w:tc>
          <w:tcPr>
            <w:tcW w:w="5232" w:type="dxa"/>
            <w:vAlign w:val="center"/>
          </w:tcPr>
          <w:p w:rsidR="002644FE" w:rsidRDefault="002644FE"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sidRPr="002644FE">
              <w:rPr>
                <w:rFonts w:ascii="Century Gothic" w:hAnsi="Century Gothic" w:cs="Arial"/>
                <w:bCs/>
              </w:rPr>
              <w:t>In general, a</w:t>
            </w:r>
            <w:r>
              <w:rPr>
                <w:rFonts w:ascii="Century Gothic" w:hAnsi="Century Gothic" w:cs="Arial"/>
                <w:bCs/>
              </w:rPr>
              <w:t xml:space="preserve">ssume the financial assumptions, e.g. the return of each asset class, </w:t>
            </w:r>
            <w:r w:rsidRPr="002644FE">
              <w:rPr>
                <w:rFonts w:ascii="Century Gothic" w:hAnsi="Century Gothic" w:cs="Arial"/>
                <w:bCs/>
              </w:rPr>
              <w:t>are similar to Australia.</w:t>
            </w:r>
          </w:p>
          <w:p w:rsidR="00C73260" w:rsidRDefault="00C73260"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Assume the majority of the underlying asset is fixed Interest bonds (e.g. government bond with less amount of g</w:t>
            </w:r>
            <w:r w:rsidRPr="0056399D">
              <w:rPr>
                <w:rFonts w:ascii="Century Gothic" w:hAnsi="Century Gothic" w:cs="Arial"/>
                <w:bCs/>
              </w:rPr>
              <w:t xml:space="preserve">rowth </w:t>
            </w:r>
            <w:r>
              <w:rPr>
                <w:rFonts w:ascii="Century Gothic" w:hAnsi="Century Gothic" w:cs="Arial"/>
                <w:bCs/>
              </w:rPr>
              <w:t>i</w:t>
            </w:r>
            <w:r w:rsidRPr="0056399D">
              <w:rPr>
                <w:rFonts w:ascii="Century Gothic" w:hAnsi="Century Gothic" w:cs="Arial"/>
                <w:bCs/>
              </w:rPr>
              <w:t>nvestments</w:t>
            </w:r>
            <w:r>
              <w:rPr>
                <w:rFonts w:ascii="Century Gothic" w:hAnsi="Century Gothic" w:cs="Arial"/>
                <w:bCs/>
              </w:rPr>
              <w:t xml:space="preserve"> such as shares and high-yield bonds.</w:t>
            </w:r>
          </w:p>
          <w:p w:rsidR="00C73260" w:rsidRDefault="00C73260"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Assume the performance of the investment portfolio will exceed</w:t>
            </w:r>
            <w:r w:rsidRPr="0056399D">
              <w:rPr>
                <w:rFonts w:ascii="Century Gothic" w:hAnsi="Century Gothic" w:cs="Arial"/>
                <w:bCs/>
              </w:rPr>
              <w:t xml:space="preserve"> </w:t>
            </w:r>
            <w:r>
              <w:rPr>
                <w:rFonts w:ascii="Century Gothic" w:hAnsi="Century Gothic" w:cs="Arial"/>
                <w:bCs/>
              </w:rPr>
              <w:t>inflation rate</w:t>
            </w:r>
            <w:r w:rsidRPr="0056399D">
              <w:rPr>
                <w:rFonts w:ascii="Century Gothic" w:hAnsi="Century Gothic" w:cs="Arial"/>
                <w:bCs/>
              </w:rPr>
              <w:t xml:space="preserve"> by </w:t>
            </w:r>
            <w:r>
              <w:rPr>
                <w:rFonts w:ascii="Century Gothic" w:hAnsi="Century Gothic" w:cs="Arial"/>
                <w:bCs/>
              </w:rPr>
              <w:t>5</w:t>
            </w:r>
            <w:r w:rsidRPr="0056399D">
              <w:rPr>
                <w:rFonts w:ascii="Century Gothic" w:hAnsi="Century Gothic" w:cs="Arial"/>
                <w:bCs/>
              </w:rPr>
              <w:t>%</w:t>
            </w:r>
            <w:r>
              <w:rPr>
                <w:rFonts w:ascii="Century Gothic" w:hAnsi="Century Gothic" w:cs="Arial"/>
                <w:bCs/>
              </w:rPr>
              <w:t>.</w:t>
            </w:r>
          </w:p>
          <w:p w:rsidR="00C73260" w:rsidRPr="00503F8B" w:rsidRDefault="00720362"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Hence, f</w:t>
            </w:r>
            <w:r w:rsidR="00C73260">
              <w:rPr>
                <w:rFonts w:ascii="Century Gothic" w:hAnsi="Century Gothic" w:cs="Arial"/>
                <w:bCs/>
              </w:rPr>
              <w:t>or simplification, the investment rate is 5%</w:t>
            </w:r>
            <w:r>
              <w:rPr>
                <w:rFonts w:ascii="Century Gothic" w:hAnsi="Century Gothic" w:cs="Arial"/>
                <w:bCs/>
              </w:rPr>
              <w:t xml:space="preserve"> p.a.</w:t>
            </w:r>
            <w:r w:rsidR="00C73260">
              <w:rPr>
                <w:rFonts w:ascii="Century Gothic" w:hAnsi="Century Gothic" w:cs="Arial"/>
                <w:bCs/>
              </w:rPr>
              <w:t>, ignoring any inflation.</w:t>
            </w:r>
          </w:p>
        </w:tc>
      </w:tr>
      <w:tr w:rsidR="006166D8" w:rsidRPr="00503F8B" w:rsidTr="00665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vAlign w:val="center"/>
          </w:tcPr>
          <w:p w:rsidR="00154F3C" w:rsidRPr="00503F8B" w:rsidRDefault="00154F3C" w:rsidP="00665114">
            <w:pPr>
              <w:spacing w:before="120" w:after="120" w:line="276" w:lineRule="auto"/>
              <w:jc w:val="center"/>
              <w:rPr>
                <w:rFonts w:ascii="Century Gothic" w:hAnsi="Century Gothic" w:cs="Arial"/>
                <w:bCs w:val="0"/>
              </w:rPr>
            </w:pPr>
            <w:r w:rsidRPr="00503F8B">
              <w:rPr>
                <w:rFonts w:ascii="Century Gothic" w:hAnsi="Century Gothic" w:cs="Arial"/>
              </w:rPr>
              <w:t>Withdraw</w:t>
            </w:r>
            <w:r w:rsidR="004E24AD">
              <w:rPr>
                <w:rFonts w:ascii="Century Gothic" w:hAnsi="Century Gothic" w:cs="Arial"/>
                <w:bCs w:val="0"/>
              </w:rPr>
              <w:t>al</w:t>
            </w:r>
            <w:r w:rsidRPr="00503F8B">
              <w:rPr>
                <w:rFonts w:ascii="Century Gothic" w:hAnsi="Century Gothic" w:cs="Arial"/>
              </w:rPr>
              <w:t xml:space="preserve"> rate</w:t>
            </w:r>
          </w:p>
        </w:tc>
        <w:tc>
          <w:tcPr>
            <w:tcW w:w="2127" w:type="dxa"/>
            <w:vAlign w:val="center"/>
          </w:tcPr>
          <w:p w:rsidR="00BE424C" w:rsidRDefault="00BE424C"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Grade A:</w:t>
            </w:r>
          </w:p>
          <w:p w:rsidR="00154F3C" w:rsidRDefault="00BE424C"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5</w:t>
            </w:r>
            <w:r w:rsidR="00154F3C">
              <w:rPr>
                <w:rFonts w:ascii="Century Gothic" w:hAnsi="Century Gothic" w:cs="Arial"/>
                <w:bCs/>
              </w:rPr>
              <w:t>%</w:t>
            </w:r>
            <w:r w:rsidR="00720362">
              <w:rPr>
                <w:rFonts w:ascii="Century Gothic" w:hAnsi="Century Gothic" w:cs="Arial"/>
                <w:bCs/>
              </w:rPr>
              <w:t xml:space="preserve"> p.a. for all ages</w:t>
            </w:r>
          </w:p>
          <w:p w:rsidR="00BE424C" w:rsidRDefault="00BE424C"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p>
          <w:p w:rsidR="00BE424C" w:rsidRDefault="00BE424C"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Grade B:</w:t>
            </w:r>
          </w:p>
          <w:p w:rsidR="00BE424C" w:rsidRDefault="00BE424C"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6% p.a. for all ages</w:t>
            </w:r>
          </w:p>
        </w:tc>
        <w:tc>
          <w:tcPr>
            <w:tcW w:w="5232" w:type="dxa"/>
            <w:vAlign w:val="center"/>
          </w:tcPr>
          <w:p w:rsidR="00154F3C" w:rsidRDefault="00154F3C"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According to a recent study</w:t>
            </w:r>
            <w:r w:rsidR="00664879">
              <w:rPr>
                <w:rStyle w:val="FootnoteReference"/>
                <w:rFonts w:ascii="Century Gothic" w:hAnsi="Century Gothic" w:cs="Arial"/>
                <w:bCs/>
              </w:rPr>
              <w:footnoteReference w:id="1"/>
            </w:r>
            <w:r>
              <w:rPr>
                <w:rFonts w:ascii="Century Gothic" w:hAnsi="Century Gothic" w:cs="Arial"/>
                <w:bCs/>
              </w:rPr>
              <w:t xml:space="preserve"> on l</w:t>
            </w:r>
            <w:r w:rsidRPr="00154F3C">
              <w:rPr>
                <w:rFonts w:ascii="Century Gothic" w:hAnsi="Century Gothic" w:cs="Arial"/>
                <w:bCs/>
              </w:rPr>
              <w:t xml:space="preserve">abour </w:t>
            </w:r>
            <w:r>
              <w:rPr>
                <w:rFonts w:ascii="Century Gothic" w:hAnsi="Century Gothic" w:cs="Arial"/>
                <w:bCs/>
              </w:rPr>
              <w:t xml:space="preserve">force </w:t>
            </w:r>
            <w:r w:rsidRPr="00154F3C">
              <w:rPr>
                <w:rFonts w:ascii="Century Gothic" w:hAnsi="Century Gothic" w:cs="Arial"/>
                <w:bCs/>
              </w:rPr>
              <w:t>turnover</w:t>
            </w:r>
            <w:r>
              <w:rPr>
                <w:rFonts w:ascii="Century Gothic" w:hAnsi="Century Gothic" w:cs="Arial"/>
                <w:bCs/>
              </w:rPr>
              <w:t xml:space="preserve"> rate, the e</w:t>
            </w:r>
            <w:r w:rsidRPr="00503F8B">
              <w:rPr>
                <w:rFonts w:ascii="Century Gothic" w:hAnsi="Century Gothic" w:cs="Arial"/>
                <w:bCs/>
              </w:rPr>
              <w:t>mployee turnover rate</w:t>
            </w:r>
            <w:r>
              <w:rPr>
                <w:rFonts w:ascii="Century Gothic" w:hAnsi="Century Gothic" w:cs="Arial"/>
                <w:bCs/>
              </w:rPr>
              <w:t xml:space="preserve"> is assumed to be similar to that of Australia, i.e. 8.5% of the employees </w:t>
            </w:r>
            <w:r w:rsidR="003A2D22">
              <w:rPr>
                <w:rFonts w:ascii="Century Gothic" w:hAnsi="Century Gothic" w:cs="Arial"/>
                <w:bCs/>
              </w:rPr>
              <w:t xml:space="preserve">will </w:t>
            </w:r>
            <w:r>
              <w:rPr>
                <w:rFonts w:ascii="Century Gothic" w:hAnsi="Century Gothic" w:cs="Arial"/>
                <w:bCs/>
              </w:rPr>
              <w:t>choose to leave the scheme</w:t>
            </w:r>
            <w:r w:rsidR="003A2D22">
              <w:rPr>
                <w:rFonts w:ascii="Century Gothic" w:hAnsi="Century Gothic" w:cs="Arial"/>
                <w:bCs/>
              </w:rPr>
              <w:t xml:space="preserve"> each year</w:t>
            </w:r>
            <w:r>
              <w:rPr>
                <w:rFonts w:ascii="Century Gothic" w:hAnsi="Century Gothic" w:cs="Arial"/>
                <w:bCs/>
              </w:rPr>
              <w:t>.</w:t>
            </w:r>
          </w:p>
          <w:p w:rsidR="00154F3C" w:rsidRDefault="00154F3C"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Considering the low interest rate environment worldwide, people</w:t>
            </w:r>
            <w:r w:rsidR="003A2D22">
              <w:rPr>
                <w:rFonts w:ascii="Century Gothic" w:hAnsi="Century Gothic" w:cs="Arial"/>
                <w:bCs/>
              </w:rPr>
              <w:t xml:space="preserve"> </w:t>
            </w:r>
            <w:r w:rsidR="004923A2">
              <w:rPr>
                <w:rFonts w:ascii="Century Gothic" w:hAnsi="Century Gothic" w:cs="Arial"/>
                <w:bCs/>
              </w:rPr>
              <w:t>become</w:t>
            </w:r>
            <w:r w:rsidR="003A2D22">
              <w:rPr>
                <w:rFonts w:ascii="Century Gothic" w:hAnsi="Century Gothic" w:cs="Arial"/>
                <w:bCs/>
              </w:rPr>
              <w:t xml:space="preserve"> more conservative </w:t>
            </w:r>
            <w:r w:rsidR="004923A2">
              <w:rPr>
                <w:rFonts w:ascii="Century Gothic" w:hAnsi="Century Gothic" w:cs="Arial"/>
                <w:bCs/>
              </w:rPr>
              <w:t>in terms of resigning from their work</w:t>
            </w:r>
            <w:r>
              <w:rPr>
                <w:rFonts w:ascii="Century Gothic" w:hAnsi="Century Gothic" w:cs="Arial"/>
                <w:bCs/>
              </w:rPr>
              <w:t>.</w:t>
            </w:r>
          </w:p>
          <w:p w:rsidR="00154F3C" w:rsidRDefault="00154F3C"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 xml:space="preserve">As a result, the </w:t>
            </w:r>
            <w:r w:rsidR="00BE424C">
              <w:rPr>
                <w:rFonts w:ascii="Century Gothic" w:hAnsi="Century Gothic" w:cs="Arial"/>
                <w:bCs/>
              </w:rPr>
              <w:t>withdrawal</w:t>
            </w:r>
            <w:r>
              <w:rPr>
                <w:rFonts w:ascii="Century Gothic" w:hAnsi="Century Gothic" w:cs="Arial"/>
                <w:bCs/>
              </w:rPr>
              <w:t xml:space="preserve"> rate is assumed to be lower than 8.5%.</w:t>
            </w:r>
          </w:p>
          <w:p w:rsidR="00BE424C" w:rsidRDefault="00BE424C"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 xml:space="preserve">Furthermore for Grade A, they have more </w:t>
            </w:r>
            <w:r w:rsidRPr="00BE424C">
              <w:rPr>
                <w:rFonts w:ascii="Century Gothic" w:hAnsi="Century Gothic" w:cs="Arial"/>
                <w:bCs/>
              </w:rPr>
              <w:t xml:space="preserve">incentive to stay </w:t>
            </w:r>
            <w:r>
              <w:rPr>
                <w:rFonts w:ascii="Century Gothic" w:hAnsi="Century Gothic" w:cs="Arial"/>
                <w:bCs/>
              </w:rPr>
              <w:t xml:space="preserve">as </w:t>
            </w:r>
            <w:r w:rsidRPr="00BE424C">
              <w:rPr>
                <w:rFonts w:ascii="Century Gothic" w:hAnsi="Century Gothic" w:cs="Arial"/>
                <w:bCs/>
              </w:rPr>
              <w:t>the</w:t>
            </w:r>
            <w:r>
              <w:rPr>
                <w:rFonts w:ascii="Century Gothic" w:hAnsi="Century Gothic" w:cs="Arial"/>
                <w:bCs/>
              </w:rPr>
              <w:t>ir</w:t>
            </w:r>
            <w:r w:rsidRPr="00BE424C">
              <w:rPr>
                <w:rFonts w:ascii="Century Gothic" w:hAnsi="Century Gothic" w:cs="Arial"/>
                <w:bCs/>
              </w:rPr>
              <w:t xml:space="preserve"> retirement benefit </w:t>
            </w:r>
            <w:r>
              <w:rPr>
                <w:rFonts w:ascii="Century Gothic" w:hAnsi="Century Gothic" w:cs="Arial"/>
                <w:bCs/>
              </w:rPr>
              <w:t>will</w:t>
            </w:r>
            <w:r w:rsidRPr="00BE424C">
              <w:rPr>
                <w:rFonts w:ascii="Century Gothic" w:hAnsi="Century Gothic" w:cs="Arial"/>
                <w:bCs/>
              </w:rPr>
              <w:t xml:space="preserve"> increase with further salary increases and continue to accrue for further completed service</w:t>
            </w:r>
            <w:r w:rsidR="004923A2">
              <w:rPr>
                <w:rFonts w:ascii="Century Gothic" w:hAnsi="Century Gothic" w:cs="Arial"/>
                <w:bCs/>
              </w:rPr>
              <w:t xml:space="preserve"> even after NRA</w:t>
            </w:r>
            <w:r w:rsidRPr="00BE424C">
              <w:rPr>
                <w:rFonts w:ascii="Century Gothic" w:hAnsi="Century Gothic" w:cs="Arial"/>
                <w:bCs/>
              </w:rPr>
              <w:t>.</w:t>
            </w:r>
          </w:p>
        </w:tc>
      </w:tr>
      <w:tr w:rsidR="006166D8" w:rsidRPr="00503F8B" w:rsidTr="00665114">
        <w:trPr>
          <w:trHeight w:val="2438"/>
        </w:trPr>
        <w:tc>
          <w:tcPr>
            <w:cnfStyle w:val="001000000000" w:firstRow="0" w:lastRow="0" w:firstColumn="1" w:lastColumn="0" w:oddVBand="0" w:evenVBand="0" w:oddHBand="0" w:evenHBand="0" w:firstRowFirstColumn="0" w:firstRowLastColumn="0" w:lastRowFirstColumn="0" w:lastRowLastColumn="0"/>
            <w:tcW w:w="2001" w:type="dxa"/>
            <w:vAlign w:val="center"/>
          </w:tcPr>
          <w:p w:rsidR="00154F3C" w:rsidRPr="00503F8B" w:rsidRDefault="00154F3C" w:rsidP="00665114">
            <w:pPr>
              <w:spacing w:before="120" w:after="120" w:line="276" w:lineRule="auto"/>
              <w:jc w:val="center"/>
              <w:rPr>
                <w:rFonts w:ascii="Century Gothic" w:hAnsi="Century Gothic" w:cs="Arial"/>
                <w:bCs w:val="0"/>
              </w:rPr>
            </w:pPr>
            <w:r w:rsidRPr="00503F8B">
              <w:rPr>
                <w:rFonts w:ascii="Century Gothic" w:hAnsi="Century Gothic" w:cs="Arial"/>
              </w:rPr>
              <w:lastRenderedPageBreak/>
              <w:t>Employee turnover rate</w:t>
            </w:r>
          </w:p>
        </w:tc>
        <w:tc>
          <w:tcPr>
            <w:tcW w:w="2127" w:type="dxa"/>
            <w:vAlign w:val="center"/>
          </w:tcPr>
          <w:p w:rsidR="00BE424C" w:rsidRDefault="00BE424C"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Grade A:</w:t>
            </w:r>
          </w:p>
          <w:p w:rsidR="00BE424C" w:rsidRDefault="00BE424C"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 xml:space="preserve">5% p.a. for </w:t>
            </w:r>
            <w:r w:rsidRPr="00891980">
              <w:rPr>
                <w:rFonts w:ascii="Century Gothic" w:hAnsi="Century Gothic" w:cs="Arial"/>
                <w:bCs/>
              </w:rPr>
              <w:t xml:space="preserve">age </w:t>
            </w:r>
            <w:r>
              <w:rPr>
                <w:rFonts w:ascii="Century Gothic" w:hAnsi="Century Gothic" w:cs="Arial"/>
                <w:bCs/>
              </w:rPr>
              <w:t>30, 40, 45, 50, 55</w:t>
            </w:r>
          </w:p>
          <w:p w:rsidR="00BE424C" w:rsidRDefault="00BE424C"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p>
          <w:p w:rsidR="00BE424C" w:rsidRDefault="00BE424C"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Grade B:</w:t>
            </w:r>
          </w:p>
          <w:p w:rsidR="00154F3C" w:rsidRPr="00503F8B" w:rsidRDefault="00BE424C"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 xml:space="preserve">6% p.a. for </w:t>
            </w:r>
            <w:r w:rsidRPr="00891980">
              <w:rPr>
                <w:rFonts w:ascii="Century Gothic" w:hAnsi="Century Gothic" w:cs="Arial"/>
                <w:bCs/>
              </w:rPr>
              <w:t xml:space="preserve">age </w:t>
            </w:r>
            <w:r>
              <w:rPr>
                <w:rFonts w:ascii="Century Gothic" w:hAnsi="Century Gothic" w:cs="Arial"/>
                <w:bCs/>
              </w:rPr>
              <w:t>30, 40, 45, 50, 55</w:t>
            </w:r>
          </w:p>
        </w:tc>
        <w:tc>
          <w:tcPr>
            <w:tcW w:w="5232" w:type="dxa"/>
            <w:vAlign w:val="center"/>
          </w:tcPr>
          <w:p w:rsidR="00154F3C" w:rsidRDefault="00154F3C"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Assume:</w:t>
            </w:r>
          </w:p>
          <w:p w:rsidR="00154F3C" w:rsidRDefault="00154F3C" w:rsidP="007C58B8">
            <w:pPr>
              <w:pStyle w:val="ListParagraph"/>
              <w:numPr>
                <w:ilvl w:val="0"/>
                <w:numId w:val="6"/>
              </w:num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sidRPr="00891980">
              <w:rPr>
                <w:rFonts w:ascii="Century Gothic" w:hAnsi="Century Gothic" w:cs="Arial"/>
                <w:bCs/>
              </w:rPr>
              <w:t xml:space="preserve">New entrants balance </w:t>
            </w:r>
            <w:r w:rsidR="004D33E9">
              <w:rPr>
                <w:rFonts w:ascii="Century Gothic" w:hAnsi="Century Gothic" w:cs="Arial"/>
                <w:bCs/>
              </w:rPr>
              <w:t xml:space="preserve">the number of </w:t>
            </w:r>
            <w:r w:rsidRPr="00891980">
              <w:rPr>
                <w:rFonts w:ascii="Century Gothic" w:hAnsi="Century Gothic" w:cs="Arial"/>
                <w:bCs/>
              </w:rPr>
              <w:t>exits (withdraw</w:t>
            </w:r>
            <w:r w:rsidR="004D33E9">
              <w:rPr>
                <w:rFonts w:ascii="Century Gothic" w:hAnsi="Century Gothic" w:cs="Arial"/>
                <w:bCs/>
              </w:rPr>
              <w:t>al</w:t>
            </w:r>
            <w:r w:rsidRPr="00891980">
              <w:rPr>
                <w:rFonts w:ascii="Century Gothic" w:hAnsi="Century Gothic" w:cs="Arial"/>
                <w:bCs/>
              </w:rPr>
              <w:t>s</w:t>
            </w:r>
            <w:r w:rsidR="004D33E9">
              <w:rPr>
                <w:rFonts w:ascii="Century Gothic" w:hAnsi="Century Gothic" w:cs="Arial"/>
                <w:bCs/>
              </w:rPr>
              <w:t>)</w:t>
            </w:r>
            <w:r w:rsidRPr="00891980">
              <w:rPr>
                <w:rFonts w:ascii="Century Gothic" w:hAnsi="Century Gothic" w:cs="Arial"/>
                <w:bCs/>
              </w:rPr>
              <w:t>.</w:t>
            </w:r>
          </w:p>
          <w:p w:rsidR="006B6125" w:rsidRDefault="004D33E9" w:rsidP="007C58B8">
            <w:pPr>
              <w:pStyle w:val="ListParagraph"/>
              <w:numPr>
                <w:ilvl w:val="0"/>
                <w:numId w:val="6"/>
              </w:num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N</w:t>
            </w:r>
            <w:r w:rsidR="006B6125" w:rsidRPr="00891980">
              <w:rPr>
                <w:rFonts w:ascii="Century Gothic" w:hAnsi="Century Gothic" w:cs="Arial"/>
                <w:bCs/>
              </w:rPr>
              <w:t>ew entrants</w:t>
            </w:r>
            <w:r w:rsidR="006B6125">
              <w:rPr>
                <w:rFonts w:ascii="Century Gothic" w:hAnsi="Century Gothic" w:cs="Arial"/>
                <w:bCs/>
              </w:rPr>
              <w:t xml:space="preserve"> only join the scheme at age 30, 40, 45, 50, 55 with the same average salary</w:t>
            </w:r>
            <w:r>
              <w:rPr>
                <w:rFonts w:ascii="Century Gothic" w:hAnsi="Century Gothic" w:cs="Arial"/>
                <w:bCs/>
              </w:rPr>
              <w:t>, same sex</w:t>
            </w:r>
            <w:r w:rsidR="006B6125">
              <w:rPr>
                <w:rFonts w:ascii="Century Gothic" w:hAnsi="Century Gothic" w:cs="Arial"/>
                <w:bCs/>
              </w:rPr>
              <w:t xml:space="preserve"> as currently defined for those ages.</w:t>
            </w:r>
          </w:p>
          <w:p w:rsidR="00D175EF" w:rsidRPr="00891980" w:rsidRDefault="00D175EF" w:rsidP="007C58B8">
            <w:pPr>
              <w:pStyle w:val="ListParagraph"/>
              <w:numPr>
                <w:ilvl w:val="0"/>
                <w:numId w:val="6"/>
              </w:num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They only join at the start of each calendar year.</w:t>
            </w:r>
          </w:p>
          <w:p w:rsidR="00154F3C" w:rsidRPr="002C46C5" w:rsidRDefault="004D33E9" w:rsidP="004D33E9">
            <w:pPr>
              <w:pStyle w:val="ListParagraph"/>
              <w:numPr>
                <w:ilvl w:val="0"/>
                <w:numId w:val="6"/>
              </w:num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So we assume the</w:t>
            </w:r>
            <w:r w:rsidR="00154F3C" w:rsidRPr="00891980">
              <w:rPr>
                <w:rFonts w:ascii="Century Gothic" w:hAnsi="Century Gothic" w:cs="Arial"/>
                <w:bCs/>
              </w:rPr>
              <w:t xml:space="preserve"> turnover rate equals to the withdraw</w:t>
            </w:r>
            <w:r w:rsidR="00BE424C">
              <w:rPr>
                <w:rFonts w:ascii="Century Gothic" w:hAnsi="Century Gothic" w:cs="Arial"/>
                <w:bCs/>
              </w:rPr>
              <w:t>al</w:t>
            </w:r>
            <w:r w:rsidR="00154F3C" w:rsidRPr="00891980">
              <w:rPr>
                <w:rFonts w:ascii="Century Gothic" w:hAnsi="Century Gothic" w:cs="Arial"/>
                <w:bCs/>
              </w:rPr>
              <w:t xml:space="preserve"> rate </w:t>
            </w:r>
            <w:r w:rsidR="006B6125">
              <w:rPr>
                <w:rFonts w:ascii="Century Gothic" w:hAnsi="Century Gothic" w:cs="Arial"/>
                <w:bCs/>
              </w:rPr>
              <w:t>as of</w:t>
            </w:r>
            <w:r w:rsidR="00154F3C" w:rsidRPr="00891980">
              <w:rPr>
                <w:rFonts w:ascii="Century Gothic" w:hAnsi="Century Gothic" w:cs="Arial"/>
                <w:bCs/>
              </w:rPr>
              <w:t xml:space="preserve"> age </w:t>
            </w:r>
            <w:r w:rsidR="006B6125">
              <w:rPr>
                <w:rFonts w:ascii="Century Gothic" w:hAnsi="Century Gothic" w:cs="Arial"/>
                <w:bCs/>
              </w:rPr>
              <w:t>30, 40, 45, 50, 55</w:t>
            </w:r>
            <w:r w:rsidR="00154F3C" w:rsidRPr="00891980">
              <w:rPr>
                <w:rFonts w:ascii="Century Gothic" w:hAnsi="Century Gothic" w:cs="Arial"/>
                <w:bCs/>
              </w:rPr>
              <w:t>.</w:t>
            </w:r>
          </w:p>
        </w:tc>
      </w:tr>
      <w:tr w:rsidR="006166D8" w:rsidRPr="00503F8B" w:rsidTr="00665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vAlign w:val="center"/>
          </w:tcPr>
          <w:p w:rsidR="00154F3C" w:rsidRPr="00503F8B" w:rsidRDefault="00154F3C" w:rsidP="00665114">
            <w:pPr>
              <w:spacing w:before="120" w:after="120" w:line="276" w:lineRule="auto"/>
              <w:jc w:val="center"/>
              <w:rPr>
                <w:rFonts w:ascii="Century Gothic" w:hAnsi="Century Gothic" w:cs="Arial"/>
                <w:bCs w:val="0"/>
              </w:rPr>
            </w:pPr>
            <w:r w:rsidRPr="00503F8B">
              <w:rPr>
                <w:rFonts w:ascii="Century Gothic" w:hAnsi="Century Gothic" w:cs="Arial"/>
              </w:rPr>
              <w:t>Expense</w:t>
            </w:r>
          </w:p>
        </w:tc>
        <w:tc>
          <w:tcPr>
            <w:tcW w:w="2127" w:type="dxa"/>
            <w:vAlign w:val="center"/>
          </w:tcPr>
          <w:p w:rsidR="00154F3C" w:rsidRPr="00503F8B" w:rsidRDefault="00154F3C"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sidRPr="00503F8B">
              <w:rPr>
                <w:rFonts w:ascii="Century Gothic" w:hAnsi="Century Gothic" w:cs="Arial"/>
                <w:bCs/>
              </w:rPr>
              <w:t>$0</w:t>
            </w:r>
          </w:p>
        </w:tc>
        <w:tc>
          <w:tcPr>
            <w:tcW w:w="5232" w:type="dxa"/>
            <w:vAlign w:val="center"/>
          </w:tcPr>
          <w:p w:rsidR="00154F3C" w:rsidRPr="00503F8B" w:rsidRDefault="00154F3C"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lang w:val="en-US" w:eastAsia="zh-CN"/>
              </w:rPr>
            </w:pPr>
            <w:r w:rsidRPr="00503F8B">
              <w:rPr>
                <w:rFonts w:ascii="Century Gothic" w:eastAsia="Times New Roman" w:hAnsi="Century Gothic" w:cs="Calibri"/>
                <w:lang w:val="en-US" w:eastAsia="zh-CN"/>
              </w:rPr>
              <w:t>The scheme's operating expenses are likely independent of the funding method selected.</w:t>
            </w:r>
          </w:p>
          <w:p w:rsidR="00154F3C" w:rsidRPr="00503F8B" w:rsidRDefault="00154F3C"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sidRPr="00503F8B">
              <w:rPr>
                <w:rFonts w:ascii="Century Gothic" w:eastAsia="Times New Roman" w:hAnsi="Century Gothic" w:cs="Calibri"/>
                <w:lang w:val="en-US" w:eastAsia="zh-CN"/>
              </w:rPr>
              <w:t xml:space="preserve">Given the fact that there is no mortality/morbidity decrements and related </w:t>
            </w:r>
            <w:r w:rsidRPr="00503F8B">
              <w:rPr>
                <w:rFonts w:ascii="Century Gothic" w:eastAsia="Times New Roman" w:hAnsi="Century Gothic" w:cs="Calibri" w:hint="eastAsia"/>
                <w:lang w:val="en-US" w:eastAsia="zh-CN"/>
              </w:rPr>
              <w:t>benefits</w:t>
            </w:r>
            <w:r w:rsidRPr="00503F8B">
              <w:rPr>
                <w:rFonts w:ascii="Century Gothic" w:eastAsia="Times New Roman" w:hAnsi="Century Gothic" w:cs="Calibri"/>
                <w:lang w:val="en-US" w:eastAsia="zh-CN"/>
              </w:rPr>
              <w:t xml:space="preserve"> that need to be managed</w:t>
            </w:r>
            <w:r w:rsidR="004D33E9">
              <w:rPr>
                <w:rFonts w:ascii="Century Gothic" w:eastAsia="Times New Roman" w:hAnsi="Century Gothic" w:cs="Calibri"/>
                <w:lang w:val="en-US" w:eastAsia="zh-CN"/>
              </w:rPr>
              <w:t xml:space="preserve"> by the scheme</w:t>
            </w:r>
            <w:r w:rsidRPr="00503F8B">
              <w:rPr>
                <w:rFonts w:ascii="Century Gothic" w:eastAsia="Times New Roman" w:hAnsi="Century Gothic" w:cs="Calibri"/>
                <w:lang w:val="en-US" w:eastAsia="zh-CN"/>
              </w:rPr>
              <w:t xml:space="preserve">, it is reasonable to </w:t>
            </w:r>
            <w:r w:rsidR="005205CF">
              <w:rPr>
                <w:rFonts w:ascii="Century Gothic" w:eastAsia="Times New Roman" w:hAnsi="Century Gothic" w:cs="Calibri"/>
                <w:lang w:val="en-US" w:eastAsia="zh-CN"/>
              </w:rPr>
              <w:t xml:space="preserve">simply </w:t>
            </w:r>
            <w:r w:rsidRPr="00503F8B">
              <w:rPr>
                <w:rFonts w:ascii="Century Gothic" w:eastAsia="Times New Roman" w:hAnsi="Century Gothic" w:cs="Calibri"/>
                <w:lang w:val="en-US" w:eastAsia="zh-CN"/>
              </w:rPr>
              <w:t>assume that administrative/managing expense could be immaterial.</w:t>
            </w:r>
          </w:p>
        </w:tc>
      </w:tr>
      <w:tr w:rsidR="006166D8" w:rsidRPr="00503F8B" w:rsidTr="00665114">
        <w:trPr>
          <w:trHeight w:val="908"/>
        </w:trPr>
        <w:tc>
          <w:tcPr>
            <w:cnfStyle w:val="001000000000" w:firstRow="0" w:lastRow="0" w:firstColumn="1" w:lastColumn="0" w:oddVBand="0" w:evenVBand="0" w:oddHBand="0" w:evenHBand="0" w:firstRowFirstColumn="0" w:firstRowLastColumn="0" w:lastRowFirstColumn="0" w:lastRowLastColumn="0"/>
            <w:tcW w:w="2001" w:type="dxa"/>
            <w:vAlign w:val="center"/>
          </w:tcPr>
          <w:p w:rsidR="00154F3C" w:rsidRPr="00503F8B" w:rsidRDefault="00154F3C" w:rsidP="00665114">
            <w:pPr>
              <w:spacing w:before="120" w:after="120" w:line="276" w:lineRule="auto"/>
              <w:jc w:val="center"/>
              <w:rPr>
                <w:rFonts w:ascii="Century Gothic" w:hAnsi="Century Gothic" w:cs="Arial"/>
                <w:bCs w:val="0"/>
              </w:rPr>
            </w:pPr>
            <w:r w:rsidRPr="00503F8B">
              <w:rPr>
                <w:rFonts w:ascii="Century Gothic" w:hAnsi="Century Gothic" w:cs="Arial"/>
              </w:rPr>
              <w:t>Salary inflation</w:t>
            </w:r>
          </w:p>
        </w:tc>
        <w:tc>
          <w:tcPr>
            <w:tcW w:w="2127" w:type="dxa"/>
            <w:vAlign w:val="center"/>
          </w:tcPr>
          <w:tbl>
            <w:tblPr>
              <w:tblW w:w="1872" w:type="dxa"/>
              <w:tblLook w:val="04A0" w:firstRow="1" w:lastRow="0" w:firstColumn="1" w:lastColumn="0" w:noHBand="0" w:noVBand="1"/>
            </w:tblPr>
            <w:tblGrid>
              <w:gridCol w:w="1152"/>
              <w:gridCol w:w="759"/>
            </w:tblGrid>
            <w:tr w:rsidR="00472B74" w:rsidRPr="00472B74" w:rsidTr="00F53AC2">
              <w:trPr>
                <w:trHeight w:val="330"/>
              </w:trPr>
              <w:tc>
                <w:tcPr>
                  <w:tcW w:w="1152" w:type="dxa"/>
                  <w:shd w:val="clear" w:color="auto" w:fill="auto"/>
                  <w:noWrap/>
                  <w:vAlign w:val="center"/>
                  <w:hideMark/>
                </w:tcPr>
                <w:p w:rsidR="00472B74" w:rsidRPr="00472B74" w:rsidRDefault="00472B74" w:rsidP="004D33E9">
                  <w:pPr>
                    <w:spacing w:line="276" w:lineRule="auto"/>
                    <w:rPr>
                      <w:rFonts w:ascii="Century Gothic" w:eastAsia="Times New Roman" w:hAnsi="Century Gothic" w:cs="Calibri"/>
                      <w:color w:val="000000"/>
                      <w:lang w:val="en-US" w:eastAsia="zh-CN"/>
                    </w:rPr>
                  </w:pPr>
                  <w:r w:rsidRPr="00472B74">
                    <w:rPr>
                      <w:rFonts w:ascii="Century Gothic" w:eastAsia="Times New Roman" w:hAnsi="Century Gothic" w:cs="Calibri"/>
                      <w:color w:val="000000"/>
                      <w:lang w:val="en-US" w:eastAsia="zh-CN"/>
                    </w:rPr>
                    <w:t>Grade A</w:t>
                  </w:r>
                </w:p>
              </w:tc>
              <w:tc>
                <w:tcPr>
                  <w:tcW w:w="720" w:type="dxa"/>
                  <w:shd w:val="clear" w:color="auto" w:fill="auto"/>
                  <w:noWrap/>
                  <w:vAlign w:val="center"/>
                  <w:hideMark/>
                </w:tcPr>
                <w:p w:rsidR="00472B74" w:rsidRPr="00472B74" w:rsidRDefault="00472B74" w:rsidP="00665114">
                  <w:pPr>
                    <w:spacing w:line="276" w:lineRule="auto"/>
                    <w:jc w:val="center"/>
                    <w:rPr>
                      <w:rFonts w:ascii="Century Gothic" w:eastAsia="Times New Roman" w:hAnsi="Century Gothic" w:cs="Calibri"/>
                      <w:color w:val="000000"/>
                      <w:lang w:val="en-US" w:eastAsia="zh-CN"/>
                    </w:rPr>
                  </w:pPr>
                  <w:bookmarkStart w:id="0" w:name="RANGE!B25"/>
                  <w:r w:rsidRPr="00472B74">
                    <w:rPr>
                      <w:rFonts w:ascii="Century Gothic" w:eastAsia="Times New Roman" w:hAnsi="Century Gothic" w:cs="Calibri"/>
                      <w:color w:val="000000"/>
                      <w:lang w:val="en-US" w:eastAsia="zh-CN"/>
                    </w:rPr>
                    <w:t>3.65%</w:t>
                  </w:r>
                  <w:bookmarkEnd w:id="0"/>
                </w:p>
              </w:tc>
            </w:tr>
            <w:tr w:rsidR="00472B74" w:rsidRPr="00472B74" w:rsidTr="006166D8">
              <w:trPr>
                <w:trHeight w:val="330"/>
              </w:trPr>
              <w:tc>
                <w:tcPr>
                  <w:tcW w:w="1152" w:type="dxa"/>
                  <w:shd w:val="clear" w:color="auto" w:fill="auto"/>
                  <w:noWrap/>
                  <w:vAlign w:val="center"/>
                  <w:hideMark/>
                </w:tcPr>
                <w:p w:rsidR="00472B74" w:rsidRPr="00472B74" w:rsidRDefault="00472B74" w:rsidP="004D33E9">
                  <w:pPr>
                    <w:spacing w:line="276" w:lineRule="auto"/>
                    <w:ind w:right="100"/>
                    <w:rPr>
                      <w:rFonts w:ascii="Century Gothic" w:eastAsia="Times New Roman" w:hAnsi="Century Gothic" w:cs="Calibri"/>
                      <w:color w:val="000000"/>
                      <w:lang w:val="en-US" w:eastAsia="zh-CN"/>
                    </w:rPr>
                  </w:pPr>
                  <w:r w:rsidRPr="00472B74">
                    <w:rPr>
                      <w:rFonts w:ascii="Century Gothic" w:eastAsia="Times New Roman" w:hAnsi="Century Gothic" w:cs="Calibri"/>
                      <w:color w:val="000000"/>
                      <w:lang w:val="en-US" w:eastAsia="zh-CN"/>
                    </w:rPr>
                    <w:t>Grade B</w:t>
                  </w:r>
                </w:p>
              </w:tc>
              <w:tc>
                <w:tcPr>
                  <w:tcW w:w="720" w:type="dxa"/>
                  <w:shd w:val="clear" w:color="auto" w:fill="auto"/>
                  <w:noWrap/>
                  <w:vAlign w:val="center"/>
                  <w:hideMark/>
                </w:tcPr>
                <w:p w:rsidR="00472B74" w:rsidRPr="00472B74" w:rsidRDefault="00472B74" w:rsidP="00665114">
                  <w:pPr>
                    <w:spacing w:line="276" w:lineRule="auto"/>
                    <w:jc w:val="center"/>
                    <w:rPr>
                      <w:rFonts w:ascii="Century Gothic" w:eastAsia="Times New Roman" w:hAnsi="Century Gothic" w:cs="Calibri"/>
                      <w:color w:val="000000"/>
                      <w:lang w:val="en-US" w:eastAsia="zh-CN"/>
                    </w:rPr>
                  </w:pPr>
                  <w:bookmarkStart w:id="1" w:name="RANGE!B26"/>
                  <w:r w:rsidRPr="00472B74">
                    <w:rPr>
                      <w:rFonts w:ascii="Century Gothic" w:eastAsia="Times New Roman" w:hAnsi="Century Gothic" w:cs="Calibri"/>
                      <w:color w:val="000000"/>
                      <w:lang w:val="en-US" w:eastAsia="zh-CN"/>
                    </w:rPr>
                    <w:t>1.13%</w:t>
                  </w:r>
                  <w:bookmarkEnd w:id="1"/>
                </w:p>
              </w:tc>
            </w:tr>
          </w:tbl>
          <w:p w:rsidR="00154F3C" w:rsidRPr="00503F8B" w:rsidRDefault="00154F3C"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p>
        </w:tc>
        <w:tc>
          <w:tcPr>
            <w:tcW w:w="5232" w:type="dxa"/>
            <w:vAlign w:val="center"/>
          </w:tcPr>
          <w:p w:rsidR="00154F3C" w:rsidRDefault="006166D8"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 xml:space="preserve">Weighted average salary inflation is derived from the </w:t>
            </w:r>
            <w:r w:rsidR="00FB5AD1">
              <w:rPr>
                <w:rFonts w:ascii="Century Gothic" w:hAnsi="Century Gothic" w:cs="Arial"/>
                <w:bCs/>
              </w:rPr>
              <w:t xml:space="preserve">internal experience (i.e. </w:t>
            </w:r>
            <w:r w:rsidRPr="006166D8">
              <w:rPr>
                <w:rFonts w:ascii="Century Gothic" w:hAnsi="Century Gothic" w:cs="Arial"/>
                <w:bCs/>
              </w:rPr>
              <w:t>opening demographics</w:t>
            </w:r>
            <w:r>
              <w:rPr>
                <w:rFonts w:ascii="Century Gothic" w:hAnsi="Century Gothic" w:cs="Arial"/>
                <w:bCs/>
              </w:rPr>
              <w:t xml:space="preserve"> data</w:t>
            </w:r>
            <w:r w:rsidR="00FB5AD1">
              <w:rPr>
                <w:rFonts w:ascii="Century Gothic" w:hAnsi="Century Gothic" w:cs="Arial"/>
                <w:bCs/>
              </w:rPr>
              <w:t>)</w:t>
            </w:r>
            <w:r>
              <w:rPr>
                <w:rFonts w:ascii="Century Gothic" w:hAnsi="Century Gothic" w:cs="Arial"/>
                <w:bCs/>
              </w:rPr>
              <w:t>.</w:t>
            </w:r>
          </w:p>
          <w:p w:rsidR="003161E3" w:rsidRPr="00503F8B" w:rsidRDefault="003161E3"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 xml:space="preserve">For </w:t>
            </w:r>
            <w:r w:rsidRPr="003161E3">
              <w:rPr>
                <w:rFonts w:ascii="Century Gothic" w:hAnsi="Century Gothic" w:cs="Arial"/>
                <w:bCs/>
              </w:rPr>
              <w:t>simplification</w:t>
            </w:r>
            <w:r>
              <w:rPr>
                <w:rFonts w:ascii="Century Gothic" w:hAnsi="Century Gothic" w:cs="Arial"/>
                <w:bCs/>
              </w:rPr>
              <w:t>, the average period is across all ages, although the salary inflation seems to be 0% above age 50 for Grade B employees.</w:t>
            </w:r>
          </w:p>
        </w:tc>
      </w:tr>
      <w:tr w:rsidR="006166D8" w:rsidRPr="00503F8B" w:rsidTr="00665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vAlign w:val="center"/>
          </w:tcPr>
          <w:p w:rsidR="00154F3C" w:rsidRPr="00503F8B" w:rsidRDefault="005E2A32" w:rsidP="00665114">
            <w:pPr>
              <w:spacing w:before="120" w:after="120" w:line="276" w:lineRule="auto"/>
              <w:jc w:val="center"/>
              <w:rPr>
                <w:rFonts w:ascii="Century Gothic" w:hAnsi="Century Gothic" w:cs="Arial"/>
                <w:bCs w:val="0"/>
              </w:rPr>
            </w:pPr>
            <w:r>
              <w:rPr>
                <w:rFonts w:ascii="Century Gothic" w:hAnsi="Century Gothic" w:cs="Arial"/>
                <w:bCs w:val="0"/>
              </w:rPr>
              <w:t>Decrement timing</w:t>
            </w:r>
          </w:p>
        </w:tc>
        <w:tc>
          <w:tcPr>
            <w:tcW w:w="2127" w:type="dxa"/>
            <w:vAlign w:val="center"/>
          </w:tcPr>
          <w:p w:rsidR="00154F3C" w:rsidRPr="00503F8B" w:rsidRDefault="005E2A32"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N/A</w:t>
            </w:r>
          </w:p>
        </w:tc>
        <w:tc>
          <w:tcPr>
            <w:tcW w:w="5232" w:type="dxa"/>
            <w:vAlign w:val="center"/>
          </w:tcPr>
          <w:p w:rsidR="005E2A32" w:rsidRDefault="005E2A32"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lang w:val="en-US"/>
              </w:rPr>
            </w:pPr>
            <w:r w:rsidRPr="00503F8B">
              <w:rPr>
                <w:rFonts w:ascii="Century Gothic" w:hAnsi="Century Gothic" w:cs="Arial"/>
                <w:bCs/>
                <w:lang w:val="en-US"/>
              </w:rPr>
              <w:t>Dea</w:t>
            </w:r>
            <w:r>
              <w:rPr>
                <w:rFonts w:ascii="Century Gothic" w:hAnsi="Century Gothic" w:cs="Arial"/>
                <w:bCs/>
                <w:lang w:val="en-US"/>
              </w:rPr>
              <w:t>ths uniform throughout the year.</w:t>
            </w:r>
          </w:p>
          <w:p w:rsidR="00154F3C" w:rsidRPr="00503F8B" w:rsidRDefault="005E2A32"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sidRPr="00503F8B">
              <w:rPr>
                <w:rFonts w:ascii="Century Gothic" w:hAnsi="Century Gothic" w:cs="Arial"/>
                <w:bCs/>
                <w:lang w:val="en-US"/>
              </w:rPr>
              <w:t>Withdrawals/Retirement at end of year</w:t>
            </w:r>
            <w:r>
              <w:rPr>
                <w:rFonts w:ascii="Century Gothic" w:hAnsi="Century Gothic" w:cs="Arial"/>
                <w:bCs/>
                <w:lang w:val="en-US"/>
              </w:rPr>
              <w:t>.</w:t>
            </w:r>
          </w:p>
        </w:tc>
      </w:tr>
      <w:tr w:rsidR="00775035" w:rsidRPr="00503F8B" w:rsidTr="00665114">
        <w:tc>
          <w:tcPr>
            <w:cnfStyle w:val="001000000000" w:firstRow="0" w:lastRow="0" w:firstColumn="1" w:lastColumn="0" w:oddVBand="0" w:evenVBand="0" w:oddHBand="0" w:evenHBand="0" w:firstRowFirstColumn="0" w:firstRowLastColumn="0" w:lastRowFirstColumn="0" w:lastRowLastColumn="0"/>
            <w:tcW w:w="2001" w:type="dxa"/>
            <w:vAlign w:val="center"/>
          </w:tcPr>
          <w:p w:rsidR="00775035" w:rsidRDefault="00775035" w:rsidP="00665114">
            <w:pPr>
              <w:spacing w:before="120" w:after="120" w:line="276" w:lineRule="auto"/>
              <w:jc w:val="center"/>
              <w:rPr>
                <w:rFonts w:ascii="Century Gothic" w:hAnsi="Century Gothic" w:cs="Arial"/>
                <w:bCs w:val="0"/>
              </w:rPr>
            </w:pPr>
            <w:r>
              <w:rPr>
                <w:rFonts w:ascii="Century Gothic" w:hAnsi="Century Gothic" w:cs="Arial"/>
                <w:bCs w:val="0"/>
              </w:rPr>
              <w:t>Timing of withdrawal benefit</w:t>
            </w:r>
          </w:p>
        </w:tc>
        <w:tc>
          <w:tcPr>
            <w:tcW w:w="2127" w:type="dxa"/>
            <w:vAlign w:val="center"/>
          </w:tcPr>
          <w:p w:rsidR="00775035" w:rsidRDefault="00775035"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N/A</w:t>
            </w:r>
          </w:p>
        </w:tc>
        <w:tc>
          <w:tcPr>
            <w:tcW w:w="5232" w:type="dxa"/>
            <w:vAlign w:val="center"/>
          </w:tcPr>
          <w:p w:rsidR="00775035" w:rsidRPr="00503F8B" w:rsidRDefault="00775035"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lang w:val="en-US"/>
              </w:rPr>
            </w:pPr>
            <w:r>
              <w:rPr>
                <w:rFonts w:ascii="Century Gothic" w:hAnsi="Century Gothic" w:cs="Arial"/>
                <w:bCs/>
                <w:lang w:val="en-US"/>
              </w:rPr>
              <w:t xml:space="preserve">Assume </w:t>
            </w:r>
            <w:r>
              <w:rPr>
                <w:rFonts w:ascii="Century Gothic" w:hAnsi="Century Gothic" w:cs="Arial"/>
                <w:bCs/>
              </w:rPr>
              <w:t>withdrawal benefit is only paid at the end of year, which may slightly increase the value of existing asset by gaining more interest while holding the withdrawal benefit from being paid.</w:t>
            </w:r>
          </w:p>
        </w:tc>
      </w:tr>
      <w:tr w:rsidR="004E24AD" w:rsidRPr="00503F8B" w:rsidTr="00665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vAlign w:val="center"/>
          </w:tcPr>
          <w:p w:rsidR="004E24AD" w:rsidRDefault="004E24AD" w:rsidP="00665114">
            <w:pPr>
              <w:spacing w:before="120" w:after="120" w:line="276" w:lineRule="auto"/>
              <w:jc w:val="center"/>
              <w:rPr>
                <w:rFonts w:ascii="Century Gothic" w:hAnsi="Century Gothic" w:cs="Arial"/>
                <w:bCs w:val="0"/>
              </w:rPr>
            </w:pPr>
            <w:r w:rsidRPr="00503F8B">
              <w:rPr>
                <w:rFonts w:ascii="Century Gothic" w:hAnsi="Century Gothic" w:cs="Arial"/>
              </w:rPr>
              <w:t xml:space="preserve">Retirement </w:t>
            </w:r>
            <w:r>
              <w:rPr>
                <w:rFonts w:ascii="Century Gothic" w:hAnsi="Century Gothic" w:cs="Arial"/>
                <w:bCs w:val="0"/>
              </w:rPr>
              <w:t xml:space="preserve">rate </w:t>
            </w:r>
            <w:r w:rsidRPr="00503F8B">
              <w:rPr>
                <w:rFonts w:ascii="Century Gothic" w:hAnsi="Century Gothic" w:cs="Arial"/>
              </w:rPr>
              <w:t>post-NRA for Grade A</w:t>
            </w:r>
          </w:p>
        </w:tc>
        <w:tc>
          <w:tcPr>
            <w:tcW w:w="2127" w:type="dxa"/>
            <w:vAlign w:val="center"/>
          </w:tcPr>
          <w:p w:rsidR="004E24AD" w:rsidRDefault="007B4EA4" w:rsidP="007B4EA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F</w:t>
            </w:r>
            <w:r>
              <w:rPr>
                <w:rFonts w:ascii="Century Gothic" w:hAnsi="Century Gothic" w:cs="Arial"/>
                <w:bCs/>
              </w:rPr>
              <w:t>rom 25%</w:t>
            </w:r>
            <w:r>
              <w:rPr>
                <w:rFonts w:ascii="Century Gothic" w:hAnsi="Century Gothic" w:cs="Arial"/>
                <w:bCs/>
              </w:rPr>
              <w:t xml:space="preserve"> p.a.</w:t>
            </w:r>
            <w:r>
              <w:rPr>
                <w:rFonts w:ascii="Century Gothic" w:hAnsi="Century Gothic" w:cs="Arial"/>
                <w:bCs/>
              </w:rPr>
              <w:t xml:space="preserve"> for age</w:t>
            </w:r>
            <w:r>
              <w:rPr>
                <w:rFonts w:ascii="Century Gothic" w:hAnsi="Century Gothic" w:cs="Arial"/>
                <w:bCs/>
              </w:rPr>
              <w:t xml:space="preserve"> 49</w:t>
            </w:r>
            <w:r>
              <w:rPr>
                <w:rFonts w:ascii="Century Gothic" w:hAnsi="Century Gothic" w:cs="Arial"/>
                <w:bCs/>
              </w:rPr>
              <w:t xml:space="preserve"> </w:t>
            </w:r>
            <w:r>
              <w:rPr>
                <w:rFonts w:ascii="Century Gothic" w:hAnsi="Century Gothic" w:cs="Arial"/>
                <w:bCs/>
              </w:rPr>
              <w:t xml:space="preserve">and increases 5% each </w:t>
            </w:r>
            <w:r>
              <w:rPr>
                <w:rFonts w:ascii="Century Gothic" w:hAnsi="Century Gothic" w:cs="Arial"/>
                <w:bCs/>
              </w:rPr>
              <w:t>to</w:t>
            </w:r>
            <w:r>
              <w:rPr>
                <w:rFonts w:ascii="Century Gothic" w:hAnsi="Century Gothic" w:cs="Arial"/>
                <w:bCs/>
              </w:rPr>
              <w:t xml:space="preserve"> 100% for age 65.</w:t>
            </w:r>
          </w:p>
        </w:tc>
        <w:tc>
          <w:tcPr>
            <w:tcW w:w="5232" w:type="dxa"/>
            <w:vAlign w:val="center"/>
          </w:tcPr>
          <w:p w:rsidR="004E24AD" w:rsidRPr="00503F8B" w:rsidRDefault="004E24AD" w:rsidP="007B4EA4">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lang w:val="en-US"/>
              </w:rPr>
            </w:pPr>
            <w:r w:rsidRPr="00503F8B">
              <w:rPr>
                <w:rFonts w:ascii="Century Gothic" w:hAnsi="Century Gothic" w:cs="Arial"/>
                <w:bCs/>
              </w:rPr>
              <w:t xml:space="preserve">Retirement </w:t>
            </w:r>
            <w:r>
              <w:rPr>
                <w:rFonts w:ascii="Century Gothic" w:hAnsi="Century Gothic" w:cs="Arial"/>
                <w:bCs/>
              </w:rPr>
              <w:t xml:space="preserve">rate </w:t>
            </w:r>
            <w:r w:rsidRPr="00503F8B">
              <w:rPr>
                <w:rFonts w:ascii="Century Gothic" w:hAnsi="Century Gothic" w:cs="Arial"/>
                <w:bCs/>
              </w:rPr>
              <w:t>post-NRA for Grade A</w:t>
            </w:r>
            <w:r>
              <w:rPr>
                <w:rFonts w:ascii="Century Gothic" w:hAnsi="Century Gothic" w:cs="Arial"/>
                <w:bCs/>
              </w:rPr>
              <w:t xml:space="preserve"> is assumed to be higher than the normal withdrawal rate</w:t>
            </w:r>
            <w:r w:rsidR="007B4EA4">
              <w:rPr>
                <w:rFonts w:ascii="Century Gothic" w:hAnsi="Century Gothic" w:cs="Arial"/>
                <w:bCs/>
              </w:rPr>
              <w:t xml:space="preserve"> and increases with age. Al</w:t>
            </w:r>
            <w:r>
              <w:rPr>
                <w:rFonts w:ascii="Century Gothic" w:hAnsi="Century Gothic" w:cs="Arial"/>
                <w:bCs/>
              </w:rPr>
              <w:t>l members have retired from the scheme</w:t>
            </w:r>
            <w:r w:rsidR="007B4EA4">
              <w:rPr>
                <w:rFonts w:ascii="Century Gothic" w:hAnsi="Century Gothic" w:cs="Arial"/>
                <w:bCs/>
              </w:rPr>
              <w:t xml:space="preserve"> before age 65</w:t>
            </w:r>
            <w:r>
              <w:rPr>
                <w:rFonts w:ascii="Century Gothic" w:hAnsi="Century Gothic" w:cs="Arial"/>
                <w:bCs/>
              </w:rPr>
              <w:t>.</w:t>
            </w:r>
          </w:p>
        </w:tc>
      </w:tr>
      <w:tr w:rsidR="004E24AD" w:rsidRPr="00503F8B" w:rsidTr="00665114">
        <w:trPr>
          <w:trHeight w:val="2042"/>
        </w:trPr>
        <w:tc>
          <w:tcPr>
            <w:cnfStyle w:val="001000000000" w:firstRow="0" w:lastRow="0" w:firstColumn="1" w:lastColumn="0" w:oddVBand="0" w:evenVBand="0" w:oddHBand="0" w:evenHBand="0" w:firstRowFirstColumn="0" w:firstRowLastColumn="0" w:lastRowFirstColumn="0" w:lastRowLastColumn="0"/>
            <w:tcW w:w="2001" w:type="dxa"/>
            <w:vAlign w:val="center"/>
          </w:tcPr>
          <w:p w:rsidR="004E24AD" w:rsidRPr="00503F8B" w:rsidRDefault="004E24AD" w:rsidP="00665114">
            <w:pPr>
              <w:spacing w:before="120" w:after="120" w:line="276" w:lineRule="auto"/>
              <w:jc w:val="center"/>
              <w:rPr>
                <w:rFonts w:ascii="Century Gothic" w:hAnsi="Century Gothic" w:cs="Arial"/>
                <w:bCs w:val="0"/>
              </w:rPr>
            </w:pPr>
            <w:r>
              <w:rPr>
                <w:rFonts w:ascii="Century Gothic" w:hAnsi="Century Gothic" w:cs="Arial"/>
                <w:bCs w:val="0"/>
              </w:rPr>
              <w:lastRenderedPageBreak/>
              <w:t>M</w:t>
            </w:r>
            <w:r w:rsidRPr="00503F8B">
              <w:rPr>
                <w:rFonts w:ascii="Century Gothic" w:hAnsi="Century Gothic" w:cs="Arial"/>
              </w:rPr>
              <w:t xml:space="preserve">ortality </w:t>
            </w:r>
            <w:r>
              <w:rPr>
                <w:rFonts w:ascii="Century Gothic" w:hAnsi="Century Gothic" w:cs="Arial"/>
                <w:bCs w:val="0"/>
              </w:rPr>
              <w:t xml:space="preserve">rate </w:t>
            </w:r>
            <w:r w:rsidRPr="00503F8B">
              <w:rPr>
                <w:rFonts w:ascii="Century Gothic" w:hAnsi="Century Gothic" w:cs="Arial"/>
              </w:rPr>
              <w:t>post-NRA for Grade A</w:t>
            </w:r>
          </w:p>
        </w:tc>
        <w:tc>
          <w:tcPr>
            <w:tcW w:w="2127" w:type="dxa"/>
            <w:vAlign w:val="center"/>
          </w:tcPr>
          <w:p w:rsidR="004E24AD" w:rsidRDefault="00E3676D"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sidRPr="00E3676D">
              <w:rPr>
                <w:rFonts w:ascii="Century Gothic" w:hAnsi="Century Gothic" w:cs="Arial"/>
                <w:bCs/>
              </w:rPr>
              <w:t>RP-2014 Rates-White Collar</w:t>
            </w:r>
            <w:r>
              <w:rPr>
                <w:rFonts w:ascii="Century Gothic" w:hAnsi="Century Gothic" w:cs="Arial"/>
                <w:bCs/>
              </w:rPr>
              <w:t xml:space="preserve"> table</w:t>
            </w:r>
            <w:r>
              <w:rPr>
                <w:rStyle w:val="FootnoteReference"/>
                <w:rFonts w:ascii="Century Gothic" w:hAnsi="Century Gothic" w:cs="Arial"/>
                <w:bCs/>
                <w:lang w:val="en-US"/>
              </w:rPr>
              <w:footnoteReference w:id="2"/>
            </w:r>
          </w:p>
        </w:tc>
        <w:tc>
          <w:tcPr>
            <w:tcW w:w="5232" w:type="dxa"/>
            <w:vAlign w:val="center"/>
          </w:tcPr>
          <w:p w:rsidR="004E24AD" w:rsidRDefault="00E3676D"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lang w:val="en-US"/>
              </w:rPr>
            </w:pPr>
            <w:r>
              <w:rPr>
                <w:rFonts w:ascii="Century Gothic" w:hAnsi="Century Gothic" w:cs="Arial"/>
                <w:bCs/>
                <w:lang w:val="en-US"/>
              </w:rPr>
              <w:t xml:space="preserve">Considering the profile of Grade </w:t>
            </w:r>
            <w:proofErr w:type="gramStart"/>
            <w:r>
              <w:rPr>
                <w:rFonts w:ascii="Century Gothic" w:hAnsi="Century Gothic" w:cs="Arial"/>
                <w:bCs/>
                <w:lang w:val="en-US"/>
              </w:rPr>
              <w:t>A</w:t>
            </w:r>
            <w:proofErr w:type="gramEnd"/>
            <w:r>
              <w:rPr>
                <w:rFonts w:ascii="Century Gothic" w:hAnsi="Century Gothic" w:cs="Arial"/>
                <w:bCs/>
                <w:lang w:val="en-US"/>
              </w:rPr>
              <w:t xml:space="preserve"> </w:t>
            </w:r>
            <w:r w:rsidRPr="00E3676D">
              <w:rPr>
                <w:rFonts w:ascii="Century Gothic" w:hAnsi="Century Gothic" w:cs="Arial"/>
                <w:bCs/>
                <w:lang w:val="en-US"/>
              </w:rPr>
              <w:t>employees</w:t>
            </w:r>
            <w:r>
              <w:rPr>
                <w:rFonts w:ascii="Century Gothic" w:hAnsi="Century Gothic" w:cs="Arial"/>
                <w:bCs/>
                <w:lang w:val="en-US"/>
              </w:rPr>
              <w:t>, (small number with high average salary), their mortality experience is assumed to follow the “</w:t>
            </w:r>
            <w:r w:rsidRPr="00E3676D">
              <w:rPr>
                <w:rFonts w:ascii="Century Gothic" w:hAnsi="Century Gothic" w:cs="Arial"/>
                <w:bCs/>
                <w:lang w:val="en-US"/>
              </w:rPr>
              <w:t>White Collar Employee mortality rate</w:t>
            </w:r>
            <w:r>
              <w:rPr>
                <w:rFonts w:ascii="Century Gothic" w:hAnsi="Century Gothic" w:cs="Arial"/>
                <w:bCs/>
                <w:lang w:val="en-US"/>
              </w:rPr>
              <w:t>”.</w:t>
            </w:r>
          </w:p>
          <w:p w:rsidR="00E3676D" w:rsidRPr="00503F8B" w:rsidRDefault="00E3676D"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lang w:val="en-US"/>
              </w:rPr>
            </w:pPr>
            <w:r>
              <w:rPr>
                <w:rFonts w:ascii="Century Gothic" w:hAnsi="Century Gothic" w:cs="Arial"/>
                <w:bCs/>
                <w:lang w:val="en-US"/>
              </w:rPr>
              <w:t>A unisex table will be used which is the average of male and female tables.</w:t>
            </w:r>
          </w:p>
        </w:tc>
      </w:tr>
      <w:tr w:rsidR="00BE424C" w:rsidRPr="00503F8B" w:rsidTr="00665114">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2001" w:type="dxa"/>
            <w:vAlign w:val="center"/>
          </w:tcPr>
          <w:p w:rsidR="00BE424C" w:rsidRDefault="00BE424C" w:rsidP="00665114">
            <w:pPr>
              <w:spacing w:before="120" w:after="120" w:line="276" w:lineRule="auto"/>
              <w:jc w:val="center"/>
              <w:rPr>
                <w:rFonts w:ascii="Century Gothic" w:hAnsi="Century Gothic" w:cs="Arial"/>
                <w:bCs w:val="0"/>
              </w:rPr>
            </w:pPr>
            <w:r>
              <w:rPr>
                <w:rFonts w:ascii="Century Gothic" w:hAnsi="Century Gothic" w:cs="Arial"/>
                <w:bCs w:val="0"/>
              </w:rPr>
              <w:t>Retirement</w:t>
            </w:r>
            <w:r w:rsidRPr="00503F8B">
              <w:rPr>
                <w:rFonts w:ascii="Century Gothic" w:hAnsi="Century Gothic" w:cs="Arial"/>
              </w:rPr>
              <w:t xml:space="preserve"> </w:t>
            </w:r>
            <w:r>
              <w:rPr>
                <w:rFonts w:ascii="Century Gothic" w:hAnsi="Century Gothic" w:cs="Arial"/>
                <w:bCs w:val="0"/>
              </w:rPr>
              <w:t xml:space="preserve">benefit </w:t>
            </w:r>
            <w:r w:rsidRPr="00503F8B">
              <w:rPr>
                <w:rFonts w:ascii="Century Gothic" w:hAnsi="Century Gothic" w:cs="Arial"/>
              </w:rPr>
              <w:t>post-NRA for Grade A</w:t>
            </w:r>
          </w:p>
        </w:tc>
        <w:tc>
          <w:tcPr>
            <w:tcW w:w="2127" w:type="dxa"/>
            <w:vAlign w:val="center"/>
          </w:tcPr>
          <w:p w:rsidR="00BE424C" w:rsidRDefault="00BE424C"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N/A</w:t>
            </w:r>
          </w:p>
        </w:tc>
        <w:tc>
          <w:tcPr>
            <w:tcW w:w="5232" w:type="dxa"/>
            <w:vAlign w:val="center"/>
          </w:tcPr>
          <w:p w:rsidR="00BE424C" w:rsidRPr="00503F8B" w:rsidRDefault="00BE424C"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lang w:val="en-US"/>
              </w:rPr>
            </w:pPr>
            <w:r>
              <w:rPr>
                <w:rFonts w:ascii="Century Gothic" w:hAnsi="Century Gothic" w:cs="Arial"/>
                <w:bCs/>
                <w:lang w:val="en-US"/>
              </w:rPr>
              <w:t xml:space="preserve">The </w:t>
            </w:r>
            <w:r w:rsidRPr="00BE424C">
              <w:rPr>
                <w:rFonts w:ascii="Century Gothic" w:hAnsi="Century Gothic" w:cs="Arial"/>
                <w:bCs/>
                <w:lang w:val="en-US"/>
              </w:rPr>
              <w:t xml:space="preserve">retirement benefit </w:t>
            </w:r>
            <w:r>
              <w:rPr>
                <w:rFonts w:ascii="Century Gothic" w:hAnsi="Century Gothic" w:cs="Arial"/>
                <w:bCs/>
                <w:lang w:val="en-US"/>
              </w:rPr>
              <w:t>will</w:t>
            </w:r>
            <w:r w:rsidRPr="00BE424C">
              <w:rPr>
                <w:rFonts w:ascii="Century Gothic" w:hAnsi="Century Gothic" w:cs="Arial"/>
                <w:bCs/>
                <w:lang w:val="en-US"/>
              </w:rPr>
              <w:t xml:space="preserve"> increase with further salary increases and continue to accrue for further completed service.</w:t>
            </w:r>
          </w:p>
        </w:tc>
      </w:tr>
      <w:tr w:rsidR="006166D8" w:rsidRPr="00503F8B" w:rsidTr="00665114">
        <w:trPr>
          <w:trHeight w:val="1160"/>
        </w:trPr>
        <w:tc>
          <w:tcPr>
            <w:cnfStyle w:val="001000000000" w:firstRow="0" w:lastRow="0" w:firstColumn="1" w:lastColumn="0" w:oddVBand="0" w:evenVBand="0" w:oddHBand="0" w:evenHBand="0" w:firstRowFirstColumn="0" w:firstRowLastColumn="0" w:lastRowFirstColumn="0" w:lastRowLastColumn="0"/>
            <w:tcW w:w="2001" w:type="dxa"/>
            <w:vAlign w:val="center"/>
          </w:tcPr>
          <w:p w:rsidR="00154F3C" w:rsidRPr="00503F8B" w:rsidRDefault="00A052EB" w:rsidP="00665114">
            <w:pPr>
              <w:spacing w:before="120" w:after="120" w:line="276" w:lineRule="auto"/>
              <w:jc w:val="center"/>
              <w:rPr>
                <w:rFonts w:ascii="Century Gothic" w:hAnsi="Century Gothic" w:cs="Arial"/>
                <w:bCs w:val="0"/>
              </w:rPr>
            </w:pPr>
            <w:r>
              <w:rPr>
                <w:rFonts w:ascii="Century Gothic" w:hAnsi="Century Gothic" w:cs="Arial"/>
                <w:bCs w:val="0"/>
              </w:rPr>
              <w:t>M</w:t>
            </w:r>
            <w:r w:rsidRPr="00503F8B">
              <w:rPr>
                <w:rFonts w:ascii="Century Gothic" w:hAnsi="Century Gothic" w:cs="Arial"/>
              </w:rPr>
              <w:t xml:space="preserve">ortality </w:t>
            </w:r>
            <w:r>
              <w:rPr>
                <w:rFonts w:ascii="Century Gothic" w:hAnsi="Century Gothic" w:cs="Arial"/>
                <w:bCs w:val="0"/>
              </w:rPr>
              <w:t xml:space="preserve">benefit </w:t>
            </w:r>
            <w:r w:rsidRPr="00503F8B">
              <w:rPr>
                <w:rFonts w:ascii="Century Gothic" w:hAnsi="Century Gothic" w:cs="Arial"/>
              </w:rPr>
              <w:t>post-NRA for Grade A</w:t>
            </w:r>
          </w:p>
        </w:tc>
        <w:tc>
          <w:tcPr>
            <w:tcW w:w="2127" w:type="dxa"/>
            <w:vAlign w:val="center"/>
          </w:tcPr>
          <w:p w:rsidR="00154F3C" w:rsidRPr="00503F8B" w:rsidRDefault="00A052EB"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N/A</w:t>
            </w:r>
          </w:p>
        </w:tc>
        <w:tc>
          <w:tcPr>
            <w:tcW w:w="5232" w:type="dxa"/>
            <w:vAlign w:val="center"/>
          </w:tcPr>
          <w:p w:rsidR="00154F3C" w:rsidRPr="00503F8B" w:rsidRDefault="00A052EB"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lang w:val="en-US"/>
              </w:rPr>
            </w:pPr>
            <w:r w:rsidRPr="005E2A32">
              <w:rPr>
                <w:rFonts w:ascii="Century Gothic" w:hAnsi="Century Gothic" w:cs="Arial"/>
                <w:bCs/>
                <w:lang w:val="en-US"/>
              </w:rPr>
              <w:t>For Grade A, members who die after normal retirement age will be treated as normal retirement, receiving the</w:t>
            </w:r>
            <w:r>
              <w:rPr>
                <w:rFonts w:ascii="Century Gothic" w:hAnsi="Century Gothic" w:cs="Arial"/>
                <w:bCs/>
                <w:lang w:val="en-US"/>
              </w:rPr>
              <w:t xml:space="preserve"> </w:t>
            </w:r>
            <w:r w:rsidRPr="005E2A32">
              <w:rPr>
                <w:rFonts w:ascii="Century Gothic" w:hAnsi="Century Gothic" w:cs="Arial"/>
                <w:bCs/>
                <w:lang w:val="en-US"/>
              </w:rPr>
              <w:t>normal retirement lump-sum benefit.</w:t>
            </w:r>
          </w:p>
        </w:tc>
      </w:tr>
    </w:tbl>
    <w:p w:rsidR="009A12CA" w:rsidRDefault="009A12CA" w:rsidP="007C58B8">
      <w:pPr>
        <w:spacing w:before="120" w:after="120" w:line="276" w:lineRule="auto"/>
        <w:jc w:val="both"/>
        <w:rPr>
          <w:rFonts w:ascii="Century Gothic" w:hAnsi="Century Gothic" w:cs="Arial"/>
          <w:bCs/>
        </w:rPr>
      </w:pPr>
    </w:p>
    <w:tbl>
      <w:tblPr>
        <w:tblStyle w:val="GridTable4-Accent1"/>
        <w:tblW w:w="9355" w:type="dxa"/>
        <w:tblLook w:val="04A0" w:firstRow="1" w:lastRow="0" w:firstColumn="1" w:lastColumn="0" w:noHBand="0" w:noVBand="1"/>
      </w:tblPr>
      <w:tblGrid>
        <w:gridCol w:w="1975"/>
        <w:gridCol w:w="2160"/>
        <w:gridCol w:w="5220"/>
      </w:tblGrid>
      <w:tr w:rsidR="00503F8B" w:rsidRPr="00503F8B" w:rsidTr="00665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rsidR="00190331" w:rsidRPr="00E3676D" w:rsidRDefault="00190331" w:rsidP="00665114">
            <w:pPr>
              <w:spacing w:before="120" w:after="120" w:line="276" w:lineRule="auto"/>
              <w:jc w:val="center"/>
              <w:rPr>
                <w:rFonts w:ascii="Century Gothic" w:hAnsi="Century Gothic" w:cs="Arial"/>
                <w:bCs w:val="0"/>
                <w:szCs w:val="22"/>
              </w:rPr>
            </w:pPr>
            <w:r w:rsidRPr="00E3676D">
              <w:rPr>
                <w:rFonts w:ascii="Century Gothic" w:hAnsi="Century Gothic" w:cs="Arial"/>
                <w:szCs w:val="22"/>
              </w:rPr>
              <w:t>Additional Assumptions for EAN</w:t>
            </w:r>
          </w:p>
        </w:tc>
        <w:tc>
          <w:tcPr>
            <w:tcW w:w="2160" w:type="dxa"/>
            <w:vAlign w:val="center"/>
          </w:tcPr>
          <w:p w:rsidR="00190331" w:rsidRPr="00E3676D" w:rsidRDefault="00190331" w:rsidP="00665114">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lang w:val="en-US"/>
              </w:rPr>
            </w:pPr>
            <w:r w:rsidRPr="00E3676D">
              <w:rPr>
                <w:rFonts w:ascii="Century Gothic" w:hAnsi="Century Gothic" w:cs="Arial"/>
                <w:szCs w:val="22"/>
                <w:lang w:val="en-US"/>
              </w:rPr>
              <w:t>Value</w:t>
            </w:r>
          </w:p>
        </w:tc>
        <w:tc>
          <w:tcPr>
            <w:tcW w:w="5220" w:type="dxa"/>
            <w:vAlign w:val="center"/>
          </w:tcPr>
          <w:p w:rsidR="00190331" w:rsidRPr="00E3676D" w:rsidRDefault="00190331" w:rsidP="007C58B8">
            <w:pPr>
              <w:spacing w:before="120" w:after="120" w:line="276" w:lineRule="auto"/>
              <w:jc w:val="both"/>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rPr>
            </w:pPr>
            <w:r w:rsidRPr="00E3676D">
              <w:rPr>
                <w:rFonts w:ascii="Century Gothic" w:hAnsi="Century Gothic" w:cs="Arial"/>
                <w:szCs w:val="22"/>
              </w:rPr>
              <w:t>Assumption explanations</w:t>
            </w:r>
          </w:p>
        </w:tc>
      </w:tr>
      <w:tr w:rsidR="00503F8B" w:rsidRPr="00503F8B" w:rsidTr="00665114">
        <w:trPr>
          <w:cnfStyle w:val="000000100000" w:firstRow="0" w:lastRow="0" w:firstColumn="0" w:lastColumn="0" w:oddVBand="0" w:evenVBand="0" w:oddHBand="1" w:evenHBand="0" w:firstRowFirstColumn="0" w:firstRowLastColumn="0" w:lastRowFirstColumn="0" w:lastRowLastColumn="0"/>
          <w:trHeight w:val="1808"/>
        </w:trPr>
        <w:tc>
          <w:tcPr>
            <w:cnfStyle w:val="001000000000" w:firstRow="0" w:lastRow="0" w:firstColumn="1" w:lastColumn="0" w:oddVBand="0" w:evenVBand="0" w:oddHBand="0" w:evenHBand="0" w:firstRowFirstColumn="0" w:firstRowLastColumn="0" w:lastRowFirstColumn="0" w:lastRowLastColumn="0"/>
            <w:tcW w:w="1975" w:type="dxa"/>
            <w:vAlign w:val="center"/>
          </w:tcPr>
          <w:p w:rsidR="00190331" w:rsidRPr="00503F8B" w:rsidRDefault="00190331" w:rsidP="00665114">
            <w:pPr>
              <w:spacing w:before="120" w:after="120" w:line="276" w:lineRule="auto"/>
              <w:jc w:val="center"/>
              <w:rPr>
                <w:rFonts w:ascii="Century Gothic" w:hAnsi="Century Gothic" w:cs="Arial"/>
                <w:bCs w:val="0"/>
              </w:rPr>
            </w:pPr>
            <w:r w:rsidRPr="00503F8B">
              <w:rPr>
                <w:rFonts w:ascii="Century Gothic" w:hAnsi="Century Gothic" w:cs="Arial"/>
              </w:rPr>
              <w:t>Average entry age for the scheme</w:t>
            </w:r>
          </w:p>
        </w:tc>
        <w:tc>
          <w:tcPr>
            <w:tcW w:w="2160" w:type="dxa"/>
            <w:vAlign w:val="center"/>
          </w:tcPr>
          <w:p w:rsidR="000A3762" w:rsidRPr="000A3762" w:rsidRDefault="000A3762"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sidRPr="000A3762">
              <w:rPr>
                <w:rFonts w:ascii="Century Gothic" w:hAnsi="Century Gothic" w:cs="Arial"/>
                <w:bCs/>
              </w:rPr>
              <w:t>Grade A</w:t>
            </w:r>
            <w:r w:rsidRPr="000A3762">
              <w:rPr>
                <w:rFonts w:ascii="Century Gothic" w:hAnsi="Century Gothic" w:cs="Arial"/>
                <w:bCs/>
              </w:rPr>
              <w:tab/>
            </w:r>
            <w:r>
              <w:rPr>
                <w:rFonts w:ascii="Century Gothic" w:hAnsi="Century Gothic" w:cs="Arial"/>
                <w:bCs/>
              </w:rPr>
              <w:t xml:space="preserve">  </w:t>
            </w:r>
            <w:r w:rsidRPr="000A3762">
              <w:rPr>
                <w:rFonts w:ascii="Century Gothic" w:hAnsi="Century Gothic" w:cs="Arial"/>
                <w:bCs/>
              </w:rPr>
              <w:t xml:space="preserve"> 43.50</w:t>
            </w:r>
          </w:p>
          <w:p w:rsidR="00190331" w:rsidRPr="00503F8B" w:rsidRDefault="000A3762"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sidRPr="000A3762">
              <w:rPr>
                <w:rFonts w:ascii="Century Gothic" w:hAnsi="Century Gothic" w:cs="Arial"/>
                <w:bCs/>
              </w:rPr>
              <w:t>Grade B</w:t>
            </w:r>
            <w:r w:rsidRPr="000A3762">
              <w:rPr>
                <w:rFonts w:ascii="Century Gothic" w:hAnsi="Century Gothic" w:cs="Arial"/>
                <w:bCs/>
              </w:rPr>
              <w:tab/>
              <w:t xml:space="preserve"> </w:t>
            </w:r>
            <w:r>
              <w:rPr>
                <w:rFonts w:ascii="Century Gothic" w:hAnsi="Century Gothic" w:cs="Arial"/>
                <w:bCs/>
              </w:rPr>
              <w:t xml:space="preserve">  </w:t>
            </w:r>
            <w:r w:rsidRPr="000A3762">
              <w:rPr>
                <w:rFonts w:ascii="Century Gothic" w:hAnsi="Century Gothic" w:cs="Arial"/>
                <w:bCs/>
              </w:rPr>
              <w:t>41.83</w:t>
            </w:r>
          </w:p>
        </w:tc>
        <w:tc>
          <w:tcPr>
            <w:tcW w:w="5220" w:type="dxa"/>
            <w:vAlign w:val="center"/>
          </w:tcPr>
          <w:p w:rsidR="00190331" w:rsidRPr="00503F8B" w:rsidRDefault="000A3762" w:rsidP="00FB5AD1">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Given having assumed that</w:t>
            </w:r>
            <w:r w:rsidR="0049462F">
              <w:rPr>
                <w:rFonts w:ascii="Century Gothic" w:hAnsi="Century Gothic" w:cs="Arial"/>
                <w:bCs/>
              </w:rPr>
              <w:t xml:space="preserve"> n</w:t>
            </w:r>
            <w:r w:rsidR="0049462F" w:rsidRPr="00891980">
              <w:rPr>
                <w:rFonts w:ascii="Century Gothic" w:hAnsi="Century Gothic" w:cs="Arial"/>
                <w:bCs/>
              </w:rPr>
              <w:t>ew entrants</w:t>
            </w:r>
            <w:r w:rsidR="0049462F">
              <w:rPr>
                <w:rFonts w:ascii="Century Gothic" w:hAnsi="Century Gothic" w:cs="Arial"/>
                <w:bCs/>
              </w:rPr>
              <w:t xml:space="preserve"> only join the scheme at age 30, 40, 45, 50, 55 with a fixed turnover rate consistently applied to the number of employees at the outset, </w:t>
            </w:r>
            <w:r w:rsidR="00FB5AD1">
              <w:rPr>
                <w:rFonts w:ascii="Century Gothic" w:hAnsi="Century Gothic" w:cs="Arial"/>
                <w:bCs/>
              </w:rPr>
              <w:t xml:space="preserve">then </w:t>
            </w:r>
            <w:r w:rsidR="0049462F">
              <w:rPr>
                <w:rFonts w:ascii="Century Gothic" w:hAnsi="Century Gothic" w:cs="Arial"/>
                <w:bCs/>
              </w:rPr>
              <w:t xml:space="preserve">the average entry age </w:t>
            </w:r>
            <w:r w:rsidR="00FB5AD1">
              <w:rPr>
                <w:rFonts w:ascii="Century Gothic" w:hAnsi="Century Gothic" w:cs="Arial"/>
                <w:bCs/>
              </w:rPr>
              <w:t>could be assumed to be</w:t>
            </w:r>
            <w:r w:rsidR="0049462F">
              <w:rPr>
                <w:rFonts w:ascii="Century Gothic" w:hAnsi="Century Gothic" w:cs="Arial"/>
                <w:bCs/>
              </w:rPr>
              <w:t xml:space="preserve"> the average age at the outset for each grade.</w:t>
            </w:r>
          </w:p>
        </w:tc>
      </w:tr>
    </w:tbl>
    <w:p w:rsidR="009A12CA" w:rsidRPr="00503F8B" w:rsidRDefault="009A12CA" w:rsidP="007C58B8">
      <w:pPr>
        <w:spacing w:before="120" w:after="120" w:line="276" w:lineRule="auto"/>
        <w:jc w:val="both"/>
        <w:rPr>
          <w:rFonts w:ascii="Century Gothic" w:hAnsi="Century Gothic" w:cs="Arial"/>
          <w:bCs/>
          <w:sz w:val="24"/>
        </w:rPr>
      </w:pPr>
    </w:p>
    <w:p w:rsidR="00EE1F54" w:rsidRPr="005C688B" w:rsidRDefault="00813B12" w:rsidP="007C58B8">
      <w:pPr>
        <w:pStyle w:val="ListParagraph"/>
        <w:numPr>
          <w:ilvl w:val="0"/>
          <w:numId w:val="2"/>
        </w:numPr>
        <w:spacing w:before="120" w:after="120" w:line="276" w:lineRule="auto"/>
        <w:jc w:val="both"/>
        <w:rPr>
          <w:rFonts w:ascii="Century Gothic" w:hAnsi="Century Gothic" w:cs="Arial"/>
          <w:bCs/>
          <w:sz w:val="22"/>
          <w:szCs w:val="22"/>
        </w:rPr>
      </w:pPr>
      <w:r w:rsidRPr="005C688B">
        <w:rPr>
          <w:rFonts w:ascii="Century Gothic" w:hAnsi="Century Gothic" w:cs="Arial"/>
          <w:bCs/>
          <w:sz w:val="22"/>
          <w:szCs w:val="22"/>
        </w:rPr>
        <w:t xml:space="preserve">Please </w:t>
      </w:r>
      <w:r w:rsidR="00720270" w:rsidRPr="005C688B">
        <w:rPr>
          <w:rFonts w:ascii="Century Gothic" w:hAnsi="Century Gothic" w:cs="Arial"/>
          <w:bCs/>
          <w:sz w:val="22"/>
          <w:szCs w:val="22"/>
        </w:rPr>
        <w:t xml:space="preserve">refer to </w:t>
      </w:r>
      <w:r w:rsidRPr="005C688B">
        <w:rPr>
          <w:rFonts w:ascii="Century Gothic" w:hAnsi="Century Gothic" w:cs="Arial"/>
          <w:bCs/>
          <w:sz w:val="22"/>
          <w:szCs w:val="22"/>
        </w:rPr>
        <w:t>tab [1.b Flowchart] in the attached spreadsheet.</w:t>
      </w:r>
    </w:p>
    <w:p w:rsidR="00813B12" w:rsidRPr="005C688B" w:rsidRDefault="00813B12" w:rsidP="007C58B8">
      <w:pPr>
        <w:pStyle w:val="ListParagraph"/>
        <w:spacing w:before="120" w:after="120" w:line="276" w:lineRule="auto"/>
        <w:ind w:left="360"/>
        <w:jc w:val="both"/>
        <w:rPr>
          <w:rFonts w:ascii="Century Gothic" w:hAnsi="Century Gothic" w:cs="Arial"/>
          <w:bCs/>
          <w:sz w:val="22"/>
          <w:szCs w:val="22"/>
        </w:rPr>
      </w:pPr>
    </w:p>
    <w:p w:rsidR="00813B12" w:rsidRPr="005C688B" w:rsidRDefault="00813B12" w:rsidP="007C58B8">
      <w:pPr>
        <w:pStyle w:val="ListParagraph"/>
        <w:numPr>
          <w:ilvl w:val="0"/>
          <w:numId w:val="2"/>
        </w:numPr>
        <w:spacing w:before="120" w:after="120" w:line="276" w:lineRule="auto"/>
        <w:jc w:val="both"/>
        <w:rPr>
          <w:rFonts w:ascii="Century Gothic" w:hAnsi="Century Gothic" w:cs="Arial"/>
          <w:bCs/>
          <w:sz w:val="22"/>
          <w:szCs w:val="22"/>
        </w:rPr>
      </w:pPr>
      <w:r w:rsidRPr="005C688B">
        <w:rPr>
          <w:rFonts w:ascii="Century Gothic" w:hAnsi="Century Gothic" w:cs="Arial"/>
          <w:bCs/>
          <w:sz w:val="22"/>
          <w:szCs w:val="22"/>
        </w:rPr>
        <w:t xml:space="preserve">Please </w:t>
      </w:r>
      <w:r w:rsidR="00720270" w:rsidRPr="005C688B">
        <w:rPr>
          <w:rFonts w:ascii="Century Gothic" w:hAnsi="Century Gothic" w:cs="Arial"/>
          <w:bCs/>
          <w:sz w:val="22"/>
          <w:szCs w:val="22"/>
        </w:rPr>
        <w:t xml:space="preserve">refer to </w:t>
      </w:r>
      <w:r w:rsidRPr="005C688B">
        <w:rPr>
          <w:rFonts w:ascii="Century Gothic" w:hAnsi="Century Gothic" w:cs="Arial"/>
          <w:bCs/>
          <w:sz w:val="22"/>
          <w:szCs w:val="22"/>
        </w:rPr>
        <w:t>tab</w:t>
      </w:r>
      <w:r w:rsidR="00720270" w:rsidRPr="005C688B">
        <w:rPr>
          <w:rFonts w:ascii="Century Gothic" w:hAnsi="Century Gothic" w:cs="Arial"/>
          <w:bCs/>
          <w:sz w:val="22"/>
          <w:szCs w:val="22"/>
        </w:rPr>
        <w:t xml:space="preserve">s </w:t>
      </w:r>
      <w:r w:rsidR="00775035" w:rsidRPr="00775035">
        <w:rPr>
          <w:rFonts w:ascii="Century Gothic" w:hAnsi="Century Gothic" w:cs="Arial"/>
          <w:bCs/>
          <w:sz w:val="22"/>
          <w:szCs w:val="22"/>
        </w:rPr>
        <w:t>under section 1.c</w:t>
      </w:r>
      <w:r w:rsidR="00775035">
        <w:rPr>
          <w:rFonts w:ascii="Century Gothic" w:hAnsi="Century Gothic" w:cs="Arial"/>
          <w:bCs/>
          <w:sz w:val="22"/>
          <w:szCs w:val="22"/>
        </w:rPr>
        <w:t>:</w:t>
      </w:r>
      <w:r w:rsidR="00775035" w:rsidRPr="00775035">
        <w:rPr>
          <w:rFonts w:ascii="Century Gothic" w:hAnsi="Century Gothic" w:cs="Arial"/>
          <w:bCs/>
          <w:sz w:val="22"/>
          <w:szCs w:val="22"/>
        </w:rPr>
        <w:t xml:space="preserve"> </w:t>
      </w:r>
      <w:r w:rsidR="00720270" w:rsidRPr="005C688B">
        <w:rPr>
          <w:rFonts w:ascii="Century Gothic" w:hAnsi="Century Gothic" w:cs="Arial"/>
          <w:bCs/>
          <w:sz w:val="22"/>
          <w:szCs w:val="22"/>
        </w:rPr>
        <w:t>[Decrements], [</w:t>
      </w:r>
      <w:proofErr w:type="spellStart"/>
      <w:r w:rsidR="00720270" w:rsidRPr="005C688B">
        <w:rPr>
          <w:rFonts w:ascii="Century Gothic" w:hAnsi="Century Gothic" w:cs="Arial"/>
          <w:bCs/>
          <w:sz w:val="22"/>
          <w:szCs w:val="22"/>
        </w:rPr>
        <w:t>PUC_Projection</w:t>
      </w:r>
      <w:proofErr w:type="spellEnd"/>
      <w:r w:rsidR="00720270" w:rsidRPr="005C688B">
        <w:rPr>
          <w:rFonts w:ascii="Century Gothic" w:hAnsi="Century Gothic" w:cs="Arial"/>
          <w:bCs/>
          <w:sz w:val="22"/>
          <w:szCs w:val="22"/>
        </w:rPr>
        <w:t>] and [</w:t>
      </w:r>
      <w:proofErr w:type="spellStart"/>
      <w:r w:rsidR="00720270" w:rsidRPr="005C688B">
        <w:rPr>
          <w:rFonts w:ascii="Century Gothic" w:hAnsi="Century Gothic" w:cs="Arial"/>
          <w:bCs/>
          <w:sz w:val="22"/>
          <w:szCs w:val="22"/>
        </w:rPr>
        <w:t>EAN_Projection</w:t>
      </w:r>
      <w:proofErr w:type="spellEnd"/>
      <w:r w:rsidR="00720270" w:rsidRPr="005C688B">
        <w:rPr>
          <w:rFonts w:ascii="Century Gothic" w:hAnsi="Century Gothic" w:cs="Arial"/>
          <w:bCs/>
          <w:sz w:val="22"/>
          <w:szCs w:val="22"/>
        </w:rPr>
        <w:t>]</w:t>
      </w:r>
      <w:r w:rsidRPr="005C688B">
        <w:rPr>
          <w:rFonts w:ascii="Century Gothic" w:hAnsi="Century Gothic" w:cs="Arial"/>
          <w:bCs/>
          <w:sz w:val="22"/>
          <w:szCs w:val="22"/>
        </w:rPr>
        <w:t xml:space="preserve"> in the attached spreadsheet.</w:t>
      </w:r>
    </w:p>
    <w:p w:rsidR="00720270" w:rsidRDefault="00720270" w:rsidP="007C58B8">
      <w:pPr>
        <w:pStyle w:val="ListParagraph"/>
        <w:spacing w:before="120" w:after="120" w:line="276" w:lineRule="auto"/>
        <w:ind w:left="360"/>
        <w:jc w:val="both"/>
        <w:rPr>
          <w:rFonts w:ascii="Century Gothic" w:hAnsi="Century Gothic" w:cs="Arial"/>
          <w:b/>
          <w:bCs/>
          <w:sz w:val="22"/>
          <w:szCs w:val="22"/>
        </w:rPr>
      </w:pPr>
    </w:p>
    <w:p w:rsidR="00465735" w:rsidRDefault="00465735" w:rsidP="007C58B8">
      <w:pPr>
        <w:pStyle w:val="ListParagraph"/>
        <w:spacing w:before="120" w:after="120" w:line="276" w:lineRule="auto"/>
        <w:ind w:left="360"/>
        <w:jc w:val="both"/>
        <w:rPr>
          <w:rFonts w:ascii="Century Gothic" w:hAnsi="Century Gothic" w:cs="Arial"/>
          <w:b/>
          <w:bCs/>
          <w:sz w:val="22"/>
          <w:szCs w:val="22"/>
        </w:rPr>
      </w:pPr>
      <w:r>
        <w:rPr>
          <w:rFonts w:ascii="Century Gothic" w:hAnsi="Century Gothic" w:cs="Arial"/>
          <w:b/>
          <w:bCs/>
          <w:sz w:val="22"/>
          <w:szCs w:val="22"/>
        </w:rPr>
        <w:t>Initial Contribution Rate</w:t>
      </w:r>
    </w:p>
    <w:tbl>
      <w:tblPr>
        <w:tblStyle w:val="GridTable4-Accent1"/>
        <w:tblW w:w="4860" w:type="dxa"/>
        <w:tblInd w:w="355" w:type="dxa"/>
        <w:tblLook w:val="04A0" w:firstRow="1" w:lastRow="0" w:firstColumn="1" w:lastColumn="0" w:noHBand="0" w:noVBand="1"/>
      </w:tblPr>
      <w:tblGrid>
        <w:gridCol w:w="1170"/>
        <w:gridCol w:w="1170"/>
        <w:gridCol w:w="2520"/>
      </w:tblGrid>
      <w:tr w:rsidR="00465735" w:rsidRPr="00503F8B" w:rsidTr="007D5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465735" w:rsidRPr="00E3676D" w:rsidRDefault="00EF4842" w:rsidP="007D5848">
            <w:pPr>
              <w:spacing w:before="120" w:after="120" w:line="276" w:lineRule="auto"/>
              <w:jc w:val="center"/>
              <w:rPr>
                <w:rFonts w:ascii="Century Gothic" w:hAnsi="Century Gothic" w:cs="Arial"/>
                <w:bCs w:val="0"/>
                <w:szCs w:val="22"/>
              </w:rPr>
            </w:pPr>
            <w:r>
              <w:rPr>
                <w:rFonts w:ascii="Century Gothic" w:hAnsi="Century Gothic" w:cs="Arial"/>
                <w:szCs w:val="22"/>
              </w:rPr>
              <w:t>Method</w:t>
            </w:r>
          </w:p>
        </w:tc>
        <w:tc>
          <w:tcPr>
            <w:tcW w:w="1170" w:type="dxa"/>
            <w:vAlign w:val="center"/>
          </w:tcPr>
          <w:p w:rsidR="00465735" w:rsidRPr="00E3676D" w:rsidRDefault="00EF4842" w:rsidP="007D5848">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lang w:val="en-US"/>
              </w:rPr>
            </w:pPr>
            <w:r>
              <w:rPr>
                <w:rFonts w:ascii="Century Gothic" w:hAnsi="Century Gothic" w:cs="Arial"/>
                <w:szCs w:val="22"/>
                <w:lang w:val="en-US"/>
              </w:rPr>
              <w:t>Grade</w:t>
            </w:r>
          </w:p>
        </w:tc>
        <w:tc>
          <w:tcPr>
            <w:tcW w:w="2520" w:type="dxa"/>
            <w:vAlign w:val="center"/>
          </w:tcPr>
          <w:p w:rsidR="00465735" w:rsidRPr="00E3676D" w:rsidRDefault="00EF4842" w:rsidP="007D5848">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rPr>
            </w:pPr>
            <w:r w:rsidRPr="00EF4842">
              <w:rPr>
                <w:rFonts w:ascii="Century Gothic" w:hAnsi="Century Gothic" w:cs="Arial"/>
                <w:szCs w:val="22"/>
              </w:rPr>
              <w:t>Initial Contribution Rate</w:t>
            </w:r>
          </w:p>
        </w:tc>
      </w:tr>
      <w:tr w:rsidR="00465735" w:rsidRPr="00503F8B" w:rsidTr="007D5848">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170" w:type="dxa"/>
            <w:vAlign w:val="center"/>
          </w:tcPr>
          <w:p w:rsidR="00465735" w:rsidRPr="00503F8B" w:rsidRDefault="00EF4842" w:rsidP="007D5848">
            <w:pPr>
              <w:spacing w:before="120" w:after="120" w:line="276" w:lineRule="auto"/>
              <w:jc w:val="center"/>
              <w:rPr>
                <w:rFonts w:ascii="Century Gothic" w:hAnsi="Century Gothic" w:cs="Arial"/>
                <w:bCs w:val="0"/>
              </w:rPr>
            </w:pPr>
            <w:r>
              <w:rPr>
                <w:rFonts w:ascii="Century Gothic" w:hAnsi="Century Gothic" w:cs="Arial"/>
                <w:bCs w:val="0"/>
              </w:rPr>
              <w:t>PUC</w:t>
            </w:r>
          </w:p>
        </w:tc>
        <w:tc>
          <w:tcPr>
            <w:tcW w:w="1170" w:type="dxa"/>
            <w:vAlign w:val="center"/>
          </w:tcPr>
          <w:p w:rsidR="00465735" w:rsidRDefault="00EF4842" w:rsidP="007D5848">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A</w:t>
            </w:r>
          </w:p>
          <w:p w:rsidR="00EF4842" w:rsidRPr="00503F8B" w:rsidRDefault="00EF4842" w:rsidP="007D5848">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B</w:t>
            </w:r>
          </w:p>
        </w:tc>
        <w:tc>
          <w:tcPr>
            <w:tcW w:w="2520" w:type="dxa"/>
            <w:vAlign w:val="center"/>
          </w:tcPr>
          <w:p w:rsidR="00EF4842" w:rsidRDefault="00EF4842" w:rsidP="007D5848">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sidRPr="00EF4842">
              <w:rPr>
                <w:rFonts w:ascii="Century Gothic" w:hAnsi="Century Gothic" w:cs="Arial"/>
                <w:bCs/>
              </w:rPr>
              <w:t>9.43%</w:t>
            </w:r>
          </w:p>
          <w:p w:rsidR="00465735" w:rsidRPr="00503F8B" w:rsidRDefault="00EF4842" w:rsidP="007D5848">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sidRPr="00EF4842">
              <w:rPr>
                <w:rFonts w:ascii="Century Gothic" w:hAnsi="Century Gothic" w:cs="Arial"/>
                <w:bCs/>
              </w:rPr>
              <w:t>2.80%</w:t>
            </w:r>
          </w:p>
        </w:tc>
      </w:tr>
      <w:tr w:rsidR="00EF4842" w:rsidRPr="00503F8B" w:rsidTr="007D5848">
        <w:trPr>
          <w:trHeight w:val="422"/>
        </w:trPr>
        <w:tc>
          <w:tcPr>
            <w:cnfStyle w:val="001000000000" w:firstRow="0" w:lastRow="0" w:firstColumn="1" w:lastColumn="0" w:oddVBand="0" w:evenVBand="0" w:oddHBand="0" w:evenHBand="0" w:firstRowFirstColumn="0" w:firstRowLastColumn="0" w:lastRowFirstColumn="0" w:lastRowLastColumn="0"/>
            <w:tcW w:w="1170" w:type="dxa"/>
            <w:vAlign w:val="center"/>
          </w:tcPr>
          <w:p w:rsidR="00EF4842" w:rsidRPr="00503F8B" w:rsidRDefault="002335E8" w:rsidP="007D5848">
            <w:pPr>
              <w:spacing w:before="120" w:after="120" w:line="276" w:lineRule="auto"/>
              <w:jc w:val="center"/>
              <w:rPr>
                <w:rFonts w:ascii="Century Gothic" w:hAnsi="Century Gothic" w:cs="Arial"/>
                <w:bCs w:val="0"/>
              </w:rPr>
            </w:pPr>
            <w:r>
              <w:rPr>
                <w:rFonts w:ascii="Century Gothic" w:hAnsi="Century Gothic" w:cs="Arial"/>
                <w:bCs w:val="0"/>
              </w:rPr>
              <w:lastRenderedPageBreak/>
              <w:t>EAN</w:t>
            </w:r>
          </w:p>
        </w:tc>
        <w:tc>
          <w:tcPr>
            <w:tcW w:w="1170" w:type="dxa"/>
            <w:vAlign w:val="center"/>
          </w:tcPr>
          <w:p w:rsidR="00EF4842" w:rsidRDefault="00EF4842" w:rsidP="007D5848">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A</w:t>
            </w:r>
          </w:p>
          <w:p w:rsidR="00EF4842" w:rsidRPr="000A3762" w:rsidRDefault="00EF4842" w:rsidP="007D5848">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B</w:t>
            </w:r>
          </w:p>
        </w:tc>
        <w:tc>
          <w:tcPr>
            <w:tcW w:w="2520" w:type="dxa"/>
            <w:vAlign w:val="center"/>
          </w:tcPr>
          <w:p w:rsidR="00EF4842" w:rsidRDefault="00EF4842" w:rsidP="007D5848">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sidRPr="00EF4842">
              <w:rPr>
                <w:rFonts w:ascii="Century Gothic" w:hAnsi="Century Gothic" w:cs="Arial"/>
                <w:bCs/>
              </w:rPr>
              <w:t>9.65%</w:t>
            </w:r>
          </w:p>
          <w:p w:rsidR="00EF4842" w:rsidRDefault="00EF4842" w:rsidP="007D5848">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sidRPr="00EF4842">
              <w:rPr>
                <w:rFonts w:ascii="Century Gothic" w:hAnsi="Century Gothic" w:cs="Arial"/>
                <w:bCs/>
              </w:rPr>
              <w:t>3.55%</w:t>
            </w:r>
          </w:p>
        </w:tc>
      </w:tr>
    </w:tbl>
    <w:p w:rsidR="00820A3A" w:rsidRDefault="00820A3A" w:rsidP="007C58B8">
      <w:pPr>
        <w:pStyle w:val="ListParagraph"/>
        <w:spacing w:before="60" w:after="60" w:line="276" w:lineRule="auto"/>
        <w:ind w:left="360"/>
        <w:jc w:val="both"/>
        <w:rPr>
          <w:rFonts w:ascii="Century Gothic" w:hAnsi="Century Gothic" w:cs="Arial"/>
          <w:b/>
          <w:bCs/>
          <w:sz w:val="22"/>
          <w:szCs w:val="22"/>
        </w:rPr>
      </w:pPr>
    </w:p>
    <w:p w:rsidR="007D5848" w:rsidRPr="00820A3A" w:rsidRDefault="007D5848" w:rsidP="007C58B8">
      <w:pPr>
        <w:pStyle w:val="ListParagraph"/>
        <w:spacing w:before="60" w:after="60" w:line="276" w:lineRule="auto"/>
        <w:ind w:left="360"/>
        <w:jc w:val="both"/>
        <w:rPr>
          <w:rFonts w:ascii="Century Gothic" w:hAnsi="Century Gothic" w:cs="Arial"/>
          <w:b/>
          <w:bCs/>
          <w:sz w:val="22"/>
          <w:szCs w:val="22"/>
        </w:rPr>
      </w:pPr>
    </w:p>
    <w:p w:rsidR="00720270" w:rsidRPr="005C688B" w:rsidRDefault="00330062" w:rsidP="007C58B8">
      <w:pPr>
        <w:pStyle w:val="ListParagraph"/>
        <w:numPr>
          <w:ilvl w:val="0"/>
          <w:numId w:val="1"/>
        </w:numPr>
        <w:spacing w:before="60" w:after="60" w:line="276" w:lineRule="auto"/>
        <w:ind w:left="360"/>
        <w:jc w:val="both"/>
        <w:rPr>
          <w:rFonts w:ascii="Century Gothic" w:hAnsi="Century Gothic" w:cs="Arial"/>
          <w:b/>
          <w:bCs/>
          <w:sz w:val="22"/>
          <w:szCs w:val="22"/>
        </w:rPr>
      </w:pPr>
      <w:r w:rsidRPr="005C688B">
        <w:rPr>
          <w:rFonts w:ascii="Century Gothic" w:hAnsi="Century Gothic" w:cs="Arial"/>
          <w:b/>
          <w:bCs/>
          <w:sz w:val="22"/>
          <w:szCs w:val="22"/>
        </w:rPr>
        <w:t xml:space="preserve">Please refer to tabs </w:t>
      </w:r>
      <w:r w:rsidR="0083333E" w:rsidRPr="005C688B">
        <w:rPr>
          <w:rFonts w:ascii="Century Gothic" w:hAnsi="Century Gothic" w:cs="Arial"/>
          <w:b/>
          <w:bCs/>
          <w:sz w:val="22"/>
          <w:szCs w:val="22"/>
        </w:rPr>
        <w:t>under</w:t>
      </w:r>
      <w:r w:rsidR="0034163E" w:rsidRPr="005C688B">
        <w:rPr>
          <w:rFonts w:ascii="Century Gothic" w:hAnsi="Century Gothic" w:cs="Arial"/>
          <w:b/>
          <w:bCs/>
          <w:sz w:val="22"/>
          <w:szCs w:val="22"/>
        </w:rPr>
        <w:t xml:space="preserve"> section</w:t>
      </w:r>
      <w:r w:rsidR="0083333E" w:rsidRPr="005C688B">
        <w:rPr>
          <w:rFonts w:ascii="Century Gothic" w:hAnsi="Century Gothic" w:cs="Arial"/>
          <w:b/>
          <w:bCs/>
          <w:sz w:val="22"/>
          <w:szCs w:val="22"/>
        </w:rPr>
        <w:t xml:space="preserve"> </w:t>
      </w:r>
      <w:r w:rsidR="00820A3A">
        <w:rPr>
          <w:rFonts w:ascii="Century Gothic" w:hAnsi="Century Gothic" w:cs="Arial"/>
          <w:b/>
          <w:bCs/>
          <w:sz w:val="22"/>
          <w:szCs w:val="22"/>
        </w:rPr>
        <w:t>“</w:t>
      </w:r>
      <w:r w:rsidR="00820A3A" w:rsidRPr="00820A3A">
        <w:rPr>
          <w:rFonts w:ascii="Century Gothic" w:hAnsi="Century Gothic" w:cs="Arial"/>
          <w:b/>
          <w:bCs/>
          <w:sz w:val="22"/>
          <w:szCs w:val="22"/>
        </w:rPr>
        <w:t>2 Calculation</w:t>
      </w:r>
      <w:r w:rsidR="00820A3A">
        <w:rPr>
          <w:rFonts w:ascii="Century Gothic" w:hAnsi="Century Gothic" w:cs="Arial"/>
          <w:b/>
          <w:bCs/>
          <w:sz w:val="22"/>
          <w:szCs w:val="22"/>
        </w:rPr>
        <w:t>”</w:t>
      </w:r>
      <w:r w:rsidR="00820A3A" w:rsidRPr="00820A3A">
        <w:rPr>
          <w:rFonts w:ascii="Century Gothic" w:hAnsi="Century Gothic" w:cs="Arial"/>
          <w:b/>
          <w:bCs/>
          <w:sz w:val="22"/>
          <w:szCs w:val="22"/>
        </w:rPr>
        <w:t xml:space="preserve"> </w:t>
      </w:r>
      <w:r w:rsidRPr="005C688B">
        <w:rPr>
          <w:rFonts w:ascii="Century Gothic" w:hAnsi="Century Gothic" w:cs="Arial"/>
          <w:b/>
          <w:bCs/>
          <w:sz w:val="22"/>
          <w:szCs w:val="22"/>
        </w:rPr>
        <w:t>in the attached spreadsheet.</w:t>
      </w:r>
    </w:p>
    <w:p w:rsidR="00720270" w:rsidRDefault="00C81DEB" w:rsidP="007C58B8">
      <w:pPr>
        <w:pStyle w:val="ListParagraph"/>
        <w:numPr>
          <w:ilvl w:val="0"/>
          <w:numId w:val="8"/>
        </w:numPr>
        <w:spacing w:before="120" w:after="120" w:line="276" w:lineRule="auto"/>
        <w:jc w:val="both"/>
        <w:rPr>
          <w:rFonts w:ascii="Century Gothic" w:hAnsi="Century Gothic" w:cs="Arial"/>
          <w:bCs/>
          <w:sz w:val="22"/>
          <w:szCs w:val="22"/>
        </w:rPr>
      </w:pPr>
      <w:r>
        <w:rPr>
          <w:rFonts w:ascii="Century Gothic" w:hAnsi="Century Gothic" w:cs="Arial"/>
          <w:bCs/>
          <w:sz w:val="22"/>
          <w:szCs w:val="22"/>
        </w:rPr>
        <w:t>[</w:t>
      </w:r>
      <w:r w:rsidR="006A15D3">
        <w:rPr>
          <w:rFonts w:ascii="Century Gothic" w:hAnsi="Century Gothic" w:cs="Arial"/>
          <w:bCs/>
          <w:sz w:val="22"/>
          <w:szCs w:val="22"/>
        </w:rPr>
        <w:t>Recalculate SCR every 3 years under PUC :</w:t>
      </w:r>
    </w:p>
    <w:p w:rsidR="00C81DEB" w:rsidRPr="00C81DEB" w:rsidRDefault="00404551" w:rsidP="007C58B8">
      <w:pPr>
        <w:pStyle w:val="ListParagraph"/>
        <w:spacing w:before="120" w:after="120" w:line="276" w:lineRule="auto"/>
        <w:ind w:left="360"/>
        <w:jc w:val="both"/>
        <w:rPr>
          <w:rFonts w:ascii="Century Gothic" w:hAnsi="Century Gothic" w:cs="Arial"/>
          <w:bCs/>
          <w:i/>
          <w:sz w:val="22"/>
          <w:szCs w:val="22"/>
        </w:rPr>
      </w:pPr>
      <w:r>
        <w:rPr>
          <w:rFonts w:ascii="Century Gothic" w:hAnsi="Century Gothic" w:cs="Arial"/>
          <w:bCs/>
          <w:i/>
          <w:sz w:val="22"/>
          <w:szCs w:val="22"/>
        </w:rPr>
        <w:t>See t</w:t>
      </w:r>
      <w:r w:rsidR="00C81DEB" w:rsidRPr="00C81DEB">
        <w:rPr>
          <w:rFonts w:ascii="Century Gothic" w:hAnsi="Century Gothic" w:cs="Arial"/>
          <w:bCs/>
          <w:i/>
          <w:sz w:val="22"/>
          <w:szCs w:val="22"/>
        </w:rPr>
        <w:t xml:space="preserve">ab [2.a </w:t>
      </w:r>
      <w:proofErr w:type="spellStart"/>
      <w:r w:rsidR="00C81DEB" w:rsidRPr="00C81DEB">
        <w:rPr>
          <w:rFonts w:ascii="Century Gothic" w:hAnsi="Century Gothic" w:cs="Arial"/>
          <w:bCs/>
          <w:i/>
          <w:sz w:val="22"/>
          <w:szCs w:val="22"/>
        </w:rPr>
        <w:t>PUC_Projection</w:t>
      </w:r>
      <w:proofErr w:type="spellEnd"/>
      <w:r w:rsidR="00C81DEB" w:rsidRPr="00C81DEB">
        <w:rPr>
          <w:rFonts w:ascii="Century Gothic" w:hAnsi="Century Gothic" w:cs="Arial"/>
          <w:bCs/>
          <w:i/>
          <w:sz w:val="22"/>
          <w:szCs w:val="22"/>
        </w:rPr>
        <w:t>]</w:t>
      </w:r>
    </w:p>
    <w:tbl>
      <w:tblPr>
        <w:tblStyle w:val="GridTable4-Accent1"/>
        <w:tblW w:w="5310" w:type="dxa"/>
        <w:tblInd w:w="355" w:type="dxa"/>
        <w:tblLook w:val="04A0" w:firstRow="1" w:lastRow="0" w:firstColumn="1" w:lastColumn="0" w:noHBand="0" w:noVBand="1"/>
      </w:tblPr>
      <w:tblGrid>
        <w:gridCol w:w="1170"/>
        <w:gridCol w:w="4140"/>
      </w:tblGrid>
      <w:tr w:rsidR="00820A3A" w:rsidRPr="00503F8B" w:rsidTr="007D5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820A3A" w:rsidRPr="00E3676D" w:rsidRDefault="00820A3A" w:rsidP="007D5848">
            <w:pPr>
              <w:spacing w:before="120" w:after="120" w:line="276" w:lineRule="auto"/>
              <w:jc w:val="center"/>
              <w:rPr>
                <w:rFonts w:ascii="Century Gothic" w:hAnsi="Century Gothic" w:cs="Arial"/>
                <w:bCs w:val="0"/>
                <w:szCs w:val="22"/>
                <w:lang w:val="en-US"/>
              </w:rPr>
            </w:pPr>
            <w:r>
              <w:rPr>
                <w:rFonts w:ascii="Century Gothic" w:hAnsi="Century Gothic" w:cs="Arial"/>
                <w:szCs w:val="22"/>
                <w:lang w:val="en-US"/>
              </w:rPr>
              <w:t>Grade</w:t>
            </w:r>
          </w:p>
        </w:tc>
        <w:tc>
          <w:tcPr>
            <w:tcW w:w="4140" w:type="dxa"/>
            <w:vAlign w:val="center"/>
          </w:tcPr>
          <w:p w:rsidR="00820A3A" w:rsidRPr="00E3676D" w:rsidRDefault="00820A3A" w:rsidP="007D5848">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rPr>
            </w:pPr>
            <w:r>
              <w:rPr>
                <w:rFonts w:ascii="Century Gothic" w:hAnsi="Century Gothic" w:cs="Arial"/>
                <w:szCs w:val="22"/>
              </w:rPr>
              <w:t>Funding position - t</w:t>
            </w:r>
            <w:r w:rsidRPr="00820A3A">
              <w:rPr>
                <w:rFonts w:ascii="Century Gothic" w:hAnsi="Century Gothic" w:cs="Arial"/>
                <w:szCs w:val="22"/>
              </w:rPr>
              <w:t>otal surplus</w:t>
            </w:r>
            <w:r>
              <w:rPr>
                <w:rFonts w:ascii="Century Gothic" w:hAnsi="Century Gothic" w:cs="Arial"/>
                <w:szCs w:val="22"/>
              </w:rPr>
              <w:t xml:space="preserve"> / </w:t>
            </w:r>
            <w:r w:rsidRPr="00820A3A">
              <w:rPr>
                <w:rFonts w:ascii="Century Gothic" w:hAnsi="Century Gothic" w:cs="Arial"/>
                <w:szCs w:val="22"/>
              </w:rPr>
              <w:t xml:space="preserve">deficit </w:t>
            </w:r>
            <w:r>
              <w:rPr>
                <w:rFonts w:ascii="Century Gothic" w:hAnsi="Century Gothic" w:cs="Arial"/>
                <w:szCs w:val="22"/>
              </w:rPr>
              <w:t>in 15 years’ time</w:t>
            </w:r>
          </w:p>
        </w:tc>
      </w:tr>
      <w:tr w:rsidR="00820A3A" w:rsidRPr="00503F8B" w:rsidTr="007D584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820A3A" w:rsidRDefault="00820A3A" w:rsidP="007D5848">
            <w:pPr>
              <w:spacing w:before="120" w:after="120" w:line="276" w:lineRule="auto"/>
              <w:jc w:val="center"/>
              <w:rPr>
                <w:rFonts w:ascii="Century Gothic" w:hAnsi="Century Gothic" w:cs="Arial"/>
                <w:bCs w:val="0"/>
              </w:rPr>
            </w:pPr>
            <w:r>
              <w:rPr>
                <w:rFonts w:ascii="Century Gothic" w:hAnsi="Century Gothic" w:cs="Arial"/>
                <w:bCs w:val="0"/>
              </w:rPr>
              <w:t>A</w:t>
            </w:r>
          </w:p>
          <w:p w:rsidR="00820A3A" w:rsidRPr="00503F8B" w:rsidRDefault="00820A3A" w:rsidP="007D5848">
            <w:pPr>
              <w:spacing w:before="120" w:after="120" w:line="276" w:lineRule="auto"/>
              <w:jc w:val="center"/>
              <w:rPr>
                <w:rFonts w:ascii="Century Gothic" w:hAnsi="Century Gothic" w:cs="Arial"/>
                <w:bCs w:val="0"/>
              </w:rPr>
            </w:pPr>
            <w:r>
              <w:rPr>
                <w:rFonts w:ascii="Century Gothic" w:hAnsi="Century Gothic" w:cs="Arial"/>
                <w:bCs w:val="0"/>
              </w:rPr>
              <w:t>B</w:t>
            </w:r>
          </w:p>
        </w:tc>
        <w:tc>
          <w:tcPr>
            <w:tcW w:w="4140" w:type="dxa"/>
            <w:vAlign w:val="center"/>
          </w:tcPr>
          <w:p w:rsidR="009C7C83" w:rsidRDefault="009C7C83" w:rsidP="007D5848">
            <w:pPr>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Pr>
                <w:rFonts w:ascii="Century Gothic" w:hAnsi="Century Gothic" w:cs="Arial"/>
                <w:bCs/>
                <w:szCs w:val="22"/>
              </w:rPr>
              <w:t>$</w:t>
            </w:r>
            <w:r w:rsidR="0009064C" w:rsidRPr="0009064C">
              <w:rPr>
                <w:rFonts w:ascii="Century Gothic" w:hAnsi="Century Gothic" w:cs="Arial"/>
                <w:bCs/>
                <w:szCs w:val="22"/>
              </w:rPr>
              <w:t>1,459,848</w:t>
            </w:r>
          </w:p>
          <w:p w:rsidR="00820A3A" w:rsidRPr="007F08A8" w:rsidRDefault="009C7C83" w:rsidP="007D5848">
            <w:pPr>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sidRPr="009C7C83">
              <w:rPr>
                <w:rFonts w:ascii="Century Gothic" w:hAnsi="Century Gothic" w:cs="Arial"/>
                <w:bCs/>
                <w:szCs w:val="22"/>
              </w:rPr>
              <w:t>$4,204,563</w:t>
            </w:r>
          </w:p>
        </w:tc>
      </w:tr>
    </w:tbl>
    <w:p w:rsidR="007E381B" w:rsidRDefault="007E381B"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 xml:space="preserve">The SCR% under PUC should increase along with member’s age. If SCR% is kept for 3 years, the total contribution would be lower than the case where SCR% is updated each year. </w:t>
      </w:r>
    </w:p>
    <w:p w:rsidR="007E381B" w:rsidRPr="00652DC5" w:rsidRDefault="007E381B" w:rsidP="007C58B8">
      <w:pPr>
        <w:spacing w:before="60" w:after="60" w:line="276" w:lineRule="auto"/>
        <w:jc w:val="both"/>
        <w:rPr>
          <w:rFonts w:ascii="Century Gothic" w:hAnsi="Century Gothic" w:cs="Arial"/>
          <w:bCs/>
          <w:sz w:val="22"/>
          <w:szCs w:val="22"/>
        </w:rPr>
      </w:pPr>
      <w:r w:rsidRPr="007E381B">
        <w:rPr>
          <w:rFonts w:ascii="Century Gothic" w:hAnsi="Century Gothic" w:cs="Arial"/>
          <w:bCs/>
          <w:sz w:val="22"/>
          <w:szCs w:val="22"/>
        </w:rPr>
        <w:t xml:space="preserve">Compared to [1.c </w:t>
      </w:r>
      <w:proofErr w:type="spellStart"/>
      <w:r w:rsidRPr="007E381B">
        <w:rPr>
          <w:rFonts w:ascii="Century Gothic" w:hAnsi="Century Gothic" w:cs="Arial"/>
          <w:bCs/>
          <w:sz w:val="22"/>
          <w:szCs w:val="22"/>
        </w:rPr>
        <w:t>PUC_Projection</w:t>
      </w:r>
      <w:proofErr w:type="spellEnd"/>
      <w:r w:rsidRPr="007E381B">
        <w:rPr>
          <w:rFonts w:ascii="Century Gothic" w:hAnsi="Century Gothic" w:cs="Arial"/>
          <w:bCs/>
          <w:sz w:val="22"/>
          <w:szCs w:val="22"/>
        </w:rPr>
        <w:t>]</w:t>
      </w:r>
      <w:r>
        <w:rPr>
          <w:rFonts w:ascii="Century Gothic" w:hAnsi="Century Gothic" w:cs="Arial"/>
          <w:bCs/>
          <w:sz w:val="22"/>
          <w:szCs w:val="22"/>
        </w:rPr>
        <w:t>, the total surplus</w:t>
      </w:r>
      <w:r w:rsidR="00725E3D">
        <w:rPr>
          <w:rFonts w:ascii="Century Gothic" w:hAnsi="Century Gothic" w:cs="Arial"/>
          <w:bCs/>
          <w:sz w:val="22"/>
          <w:szCs w:val="22"/>
        </w:rPr>
        <w:t xml:space="preserve"> under this scenario</w:t>
      </w:r>
      <w:r>
        <w:rPr>
          <w:rFonts w:ascii="Century Gothic" w:hAnsi="Century Gothic" w:cs="Arial"/>
          <w:bCs/>
          <w:sz w:val="22"/>
          <w:szCs w:val="22"/>
        </w:rPr>
        <w:t xml:space="preserve"> </w:t>
      </w:r>
      <w:r w:rsidR="00725E3D">
        <w:rPr>
          <w:rFonts w:ascii="Century Gothic" w:hAnsi="Century Gothic" w:cs="Arial"/>
          <w:bCs/>
          <w:sz w:val="22"/>
          <w:szCs w:val="22"/>
        </w:rPr>
        <w:t>is smaller</w:t>
      </w:r>
      <w:r>
        <w:rPr>
          <w:rFonts w:ascii="Century Gothic" w:hAnsi="Century Gothic" w:cs="Arial"/>
          <w:bCs/>
          <w:sz w:val="22"/>
          <w:szCs w:val="22"/>
        </w:rPr>
        <w:t>, which is a reasonable result.</w:t>
      </w:r>
    </w:p>
    <w:p w:rsidR="007E381B" w:rsidRDefault="007E381B" w:rsidP="007C58B8">
      <w:pPr>
        <w:spacing w:before="60" w:after="60" w:line="276" w:lineRule="auto"/>
        <w:jc w:val="both"/>
        <w:rPr>
          <w:rFonts w:ascii="Century Gothic" w:hAnsi="Century Gothic" w:cs="Arial"/>
          <w:b/>
          <w:bCs/>
          <w:sz w:val="22"/>
          <w:szCs w:val="22"/>
        </w:rPr>
      </w:pPr>
    </w:p>
    <w:p w:rsidR="00E25FD9" w:rsidRDefault="006A15D3" w:rsidP="007C58B8">
      <w:pPr>
        <w:pStyle w:val="ListParagraph"/>
        <w:numPr>
          <w:ilvl w:val="0"/>
          <w:numId w:val="8"/>
        </w:numPr>
        <w:spacing w:before="120" w:after="120" w:line="276" w:lineRule="auto"/>
        <w:jc w:val="both"/>
        <w:rPr>
          <w:rFonts w:ascii="Century Gothic" w:hAnsi="Century Gothic" w:cs="Arial"/>
          <w:bCs/>
          <w:sz w:val="22"/>
          <w:szCs w:val="22"/>
        </w:rPr>
      </w:pPr>
      <w:r>
        <w:rPr>
          <w:rFonts w:ascii="Century Gothic" w:hAnsi="Century Gothic" w:cs="Arial"/>
          <w:bCs/>
          <w:sz w:val="22"/>
          <w:szCs w:val="22"/>
        </w:rPr>
        <w:t>EAN:</w:t>
      </w:r>
    </w:p>
    <w:p w:rsidR="00C81DEB" w:rsidRPr="00C81DEB" w:rsidRDefault="00404551" w:rsidP="007C58B8">
      <w:pPr>
        <w:pStyle w:val="ListParagraph"/>
        <w:spacing w:before="120" w:after="120" w:line="276" w:lineRule="auto"/>
        <w:ind w:left="360"/>
        <w:jc w:val="both"/>
        <w:rPr>
          <w:rFonts w:ascii="Century Gothic" w:hAnsi="Century Gothic" w:cs="Arial"/>
          <w:bCs/>
          <w:i/>
          <w:sz w:val="22"/>
          <w:szCs w:val="22"/>
        </w:rPr>
      </w:pPr>
      <w:r>
        <w:rPr>
          <w:rFonts w:ascii="Century Gothic" w:hAnsi="Century Gothic" w:cs="Arial"/>
          <w:bCs/>
          <w:i/>
          <w:sz w:val="22"/>
          <w:szCs w:val="22"/>
        </w:rPr>
        <w:t>See t</w:t>
      </w:r>
      <w:r w:rsidR="00C81DEB" w:rsidRPr="00C81DEB">
        <w:rPr>
          <w:rFonts w:ascii="Century Gothic" w:hAnsi="Century Gothic" w:cs="Arial"/>
          <w:bCs/>
          <w:i/>
          <w:sz w:val="22"/>
          <w:szCs w:val="22"/>
        </w:rPr>
        <w:t xml:space="preserve">ab [2.b </w:t>
      </w:r>
      <w:proofErr w:type="spellStart"/>
      <w:r w:rsidR="00C81DEB" w:rsidRPr="00C81DEB">
        <w:rPr>
          <w:rFonts w:ascii="Century Gothic" w:hAnsi="Century Gothic" w:cs="Arial"/>
          <w:bCs/>
          <w:i/>
          <w:sz w:val="22"/>
          <w:szCs w:val="22"/>
        </w:rPr>
        <w:t>EAN_Projection</w:t>
      </w:r>
      <w:proofErr w:type="spellEnd"/>
      <w:r w:rsidR="00C81DEB" w:rsidRPr="00C81DEB">
        <w:rPr>
          <w:rFonts w:ascii="Century Gothic" w:hAnsi="Century Gothic" w:cs="Arial"/>
          <w:bCs/>
          <w:i/>
          <w:sz w:val="22"/>
          <w:szCs w:val="22"/>
        </w:rPr>
        <w:t>]</w:t>
      </w:r>
    </w:p>
    <w:tbl>
      <w:tblPr>
        <w:tblStyle w:val="GridTable4-Accent1"/>
        <w:tblW w:w="5310" w:type="dxa"/>
        <w:tblInd w:w="355" w:type="dxa"/>
        <w:tblLook w:val="04A0" w:firstRow="1" w:lastRow="0" w:firstColumn="1" w:lastColumn="0" w:noHBand="0" w:noVBand="1"/>
      </w:tblPr>
      <w:tblGrid>
        <w:gridCol w:w="1170"/>
        <w:gridCol w:w="4140"/>
      </w:tblGrid>
      <w:tr w:rsidR="00E25FD9" w:rsidRPr="00503F8B" w:rsidTr="007D5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E25FD9" w:rsidRPr="00E3676D" w:rsidRDefault="00E25FD9" w:rsidP="007D5848">
            <w:pPr>
              <w:spacing w:before="120" w:after="120" w:line="276" w:lineRule="auto"/>
              <w:jc w:val="center"/>
              <w:rPr>
                <w:rFonts w:ascii="Century Gothic" w:hAnsi="Century Gothic" w:cs="Arial"/>
                <w:bCs w:val="0"/>
                <w:szCs w:val="22"/>
                <w:lang w:val="en-US"/>
              </w:rPr>
            </w:pPr>
            <w:r>
              <w:rPr>
                <w:rFonts w:ascii="Century Gothic" w:hAnsi="Century Gothic" w:cs="Arial"/>
                <w:szCs w:val="22"/>
                <w:lang w:val="en-US"/>
              </w:rPr>
              <w:t>Grade</w:t>
            </w:r>
          </w:p>
        </w:tc>
        <w:tc>
          <w:tcPr>
            <w:tcW w:w="4140" w:type="dxa"/>
            <w:vAlign w:val="center"/>
          </w:tcPr>
          <w:p w:rsidR="00E25FD9" w:rsidRPr="00E3676D" w:rsidRDefault="00E25FD9" w:rsidP="007D5848">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rPr>
            </w:pPr>
            <w:r>
              <w:rPr>
                <w:rFonts w:ascii="Century Gothic" w:hAnsi="Century Gothic" w:cs="Arial"/>
                <w:szCs w:val="22"/>
              </w:rPr>
              <w:t>Funding position - t</w:t>
            </w:r>
            <w:r w:rsidRPr="00820A3A">
              <w:rPr>
                <w:rFonts w:ascii="Century Gothic" w:hAnsi="Century Gothic" w:cs="Arial"/>
                <w:szCs w:val="22"/>
              </w:rPr>
              <w:t>otal surplus</w:t>
            </w:r>
            <w:r>
              <w:rPr>
                <w:rFonts w:ascii="Century Gothic" w:hAnsi="Century Gothic" w:cs="Arial"/>
                <w:szCs w:val="22"/>
              </w:rPr>
              <w:t xml:space="preserve"> / </w:t>
            </w:r>
            <w:r w:rsidRPr="00820A3A">
              <w:rPr>
                <w:rFonts w:ascii="Century Gothic" w:hAnsi="Century Gothic" w:cs="Arial"/>
                <w:szCs w:val="22"/>
              </w:rPr>
              <w:t xml:space="preserve">deficit </w:t>
            </w:r>
            <w:r>
              <w:rPr>
                <w:rFonts w:ascii="Century Gothic" w:hAnsi="Century Gothic" w:cs="Arial"/>
                <w:szCs w:val="22"/>
              </w:rPr>
              <w:t>in 15 years’ time</w:t>
            </w:r>
          </w:p>
        </w:tc>
      </w:tr>
      <w:tr w:rsidR="00E25FD9" w:rsidRPr="00503F8B" w:rsidTr="007D584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E25FD9" w:rsidRDefault="00E25FD9" w:rsidP="007D5848">
            <w:pPr>
              <w:spacing w:before="120" w:after="120" w:line="276" w:lineRule="auto"/>
              <w:jc w:val="center"/>
              <w:rPr>
                <w:rFonts w:ascii="Century Gothic" w:hAnsi="Century Gothic" w:cs="Arial"/>
                <w:bCs w:val="0"/>
              </w:rPr>
            </w:pPr>
            <w:r>
              <w:rPr>
                <w:rFonts w:ascii="Century Gothic" w:hAnsi="Century Gothic" w:cs="Arial"/>
                <w:bCs w:val="0"/>
              </w:rPr>
              <w:t>A</w:t>
            </w:r>
          </w:p>
          <w:p w:rsidR="00E25FD9" w:rsidRPr="00503F8B" w:rsidRDefault="00E25FD9" w:rsidP="007D5848">
            <w:pPr>
              <w:spacing w:before="120" w:after="120" w:line="276" w:lineRule="auto"/>
              <w:jc w:val="center"/>
              <w:rPr>
                <w:rFonts w:ascii="Century Gothic" w:hAnsi="Century Gothic" w:cs="Arial"/>
                <w:bCs w:val="0"/>
              </w:rPr>
            </w:pPr>
            <w:r>
              <w:rPr>
                <w:rFonts w:ascii="Century Gothic" w:hAnsi="Century Gothic" w:cs="Arial"/>
                <w:bCs w:val="0"/>
              </w:rPr>
              <w:t>B</w:t>
            </w:r>
          </w:p>
        </w:tc>
        <w:tc>
          <w:tcPr>
            <w:tcW w:w="4140" w:type="dxa"/>
            <w:vAlign w:val="center"/>
          </w:tcPr>
          <w:p w:rsidR="009C7C83" w:rsidRDefault="009C7C83" w:rsidP="007D5848">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Pr>
                <w:rFonts w:ascii="Century Gothic" w:hAnsi="Century Gothic" w:cs="Arial"/>
                <w:bCs/>
                <w:szCs w:val="22"/>
              </w:rPr>
              <w:t>$</w:t>
            </w:r>
            <w:r w:rsidR="0009064C" w:rsidRPr="0009064C">
              <w:rPr>
                <w:rFonts w:ascii="Century Gothic" w:hAnsi="Century Gothic" w:cs="Arial"/>
                <w:bCs/>
                <w:szCs w:val="22"/>
              </w:rPr>
              <w:t>2,392,455</w:t>
            </w:r>
          </w:p>
          <w:p w:rsidR="00E25FD9" w:rsidRPr="009C7C83" w:rsidRDefault="009C7C83" w:rsidP="007D5848">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Pr>
                <w:rFonts w:ascii="Century Gothic" w:hAnsi="Century Gothic" w:cs="Arial"/>
                <w:bCs/>
                <w:szCs w:val="22"/>
              </w:rPr>
              <w:t>$</w:t>
            </w:r>
            <w:r w:rsidRPr="009C7C83">
              <w:rPr>
                <w:rFonts w:ascii="Century Gothic" w:hAnsi="Century Gothic" w:cs="Arial"/>
                <w:bCs/>
                <w:szCs w:val="22"/>
              </w:rPr>
              <w:t>12,135,731</w:t>
            </w:r>
          </w:p>
        </w:tc>
      </w:tr>
    </w:tbl>
    <w:p w:rsidR="00820A3A" w:rsidRDefault="00820A3A" w:rsidP="007C58B8">
      <w:pPr>
        <w:spacing w:before="60" w:after="60" w:line="276" w:lineRule="auto"/>
        <w:jc w:val="both"/>
        <w:rPr>
          <w:rFonts w:ascii="Century Gothic" w:hAnsi="Century Gothic" w:cs="Arial"/>
          <w:b/>
          <w:bCs/>
          <w:sz w:val="22"/>
          <w:szCs w:val="22"/>
        </w:rPr>
      </w:pPr>
    </w:p>
    <w:p w:rsidR="006A15D3" w:rsidRDefault="006A15D3" w:rsidP="007C58B8">
      <w:pPr>
        <w:pStyle w:val="ListParagraph"/>
        <w:numPr>
          <w:ilvl w:val="0"/>
          <w:numId w:val="8"/>
        </w:numPr>
        <w:spacing w:before="120" w:after="120" w:line="276" w:lineRule="auto"/>
        <w:jc w:val="both"/>
        <w:rPr>
          <w:rFonts w:ascii="Century Gothic" w:hAnsi="Century Gothic" w:cs="Arial"/>
          <w:bCs/>
          <w:sz w:val="22"/>
          <w:szCs w:val="22"/>
        </w:rPr>
      </w:pPr>
      <w:r>
        <w:rPr>
          <w:rFonts w:ascii="Century Gothic" w:hAnsi="Century Gothic" w:cs="Arial"/>
          <w:bCs/>
          <w:sz w:val="22"/>
          <w:szCs w:val="22"/>
        </w:rPr>
        <w:t>The scheme closed to new entrants 3 years later under EAN:</w:t>
      </w:r>
    </w:p>
    <w:p w:rsidR="00C81DEB" w:rsidRPr="00C81DEB" w:rsidRDefault="00404551" w:rsidP="007C58B8">
      <w:pPr>
        <w:pStyle w:val="ListParagraph"/>
        <w:spacing w:before="120" w:after="120" w:line="276" w:lineRule="auto"/>
        <w:ind w:left="360"/>
        <w:jc w:val="both"/>
        <w:rPr>
          <w:rFonts w:ascii="Century Gothic" w:hAnsi="Century Gothic" w:cs="Arial"/>
          <w:bCs/>
          <w:i/>
          <w:sz w:val="22"/>
          <w:szCs w:val="22"/>
        </w:rPr>
      </w:pPr>
      <w:r>
        <w:rPr>
          <w:rFonts w:ascii="Century Gothic" w:hAnsi="Century Gothic" w:cs="Arial"/>
          <w:bCs/>
          <w:i/>
          <w:sz w:val="22"/>
          <w:szCs w:val="22"/>
        </w:rPr>
        <w:t>See t</w:t>
      </w:r>
      <w:r w:rsidR="00C81DEB" w:rsidRPr="00C81DEB">
        <w:rPr>
          <w:rFonts w:ascii="Century Gothic" w:hAnsi="Century Gothic" w:cs="Arial"/>
          <w:bCs/>
          <w:i/>
          <w:sz w:val="22"/>
          <w:szCs w:val="22"/>
        </w:rPr>
        <w:t xml:space="preserve">ab [2.c Decrements] and [2.c </w:t>
      </w:r>
      <w:proofErr w:type="spellStart"/>
      <w:r w:rsidR="00C81DEB" w:rsidRPr="00C81DEB">
        <w:rPr>
          <w:rFonts w:ascii="Century Gothic" w:hAnsi="Century Gothic" w:cs="Arial"/>
          <w:bCs/>
          <w:i/>
          <w:sz w:val="22"/>
          <w:szCs w:val="22"/>
        </w:rPr>
        <w:t>EAN_Projection</w:t>
      </w:r>
      <w:proofErr w:type="spellEnd"/>
      <w:r w:rsidR="00C81DEB" w:rsidRPr="00C81DEB">
        <w:rPr>
          <w:rFonts w:ascii="Century Gothic" w:hAnsi="Century Gothic" w:cs="Arial"/>
          <w:bCs/>
          <w:i/>
          <w:sz w:val="22"/>
          <w:szCs w:val="22"/>
        </w:rPr>
        <w:t>]</w:t>
      </w:r>
    </w:p>
    <w:p w:rsidR="001D165D" w:rsidRDefault="001522F6" w:rsidP="007C58B8">
      <w:pPr>
        <w:pStyle w:val="ListParagraph"/>
        <w:spacing w:before="120" w:after="120" w:line="276" w:lineRule="auto"/>
        <w:ind w:left="360"/>
        <w:jc w:val="both"/>
        <w:rPr>
          <w:rFonts w:ascii="Century Gothic" w:hAnsi="Century Gothic" w:cs="Arial"/>
          <w:bCs/>
          <w:sz w:val="22"/>
          <w:szCs w:val="22"/>
        </w:rPr>
      </w:pPr>
      <w:r>
        <w:rPr>
          <w:rFonts w:ascii="Century Gothic" w:hAnsi="Century Gothic" w:cs="Arial"/>
          <w:bCs/>
          <w:sz w:val="22"/>
          <w:szCs w:val="22"/>
        </w:rPr>
        <w:t>Changes in assumptions:</w:t>
      </w:r>
    </w:p>
    <w:p w:rsidR="001522F6" w:rsidRDefault="001522F6" w:rsidP="007C58B8">
      <w:pPr>
        <w:pStyle w:val="ListParagraph"/>
        <w:numPr>
          <w:ilvl w:val="0"/>
          <w:numId w:val="9"/>
        </w:numPr>
        <w:spacing w:before="120" w:after="120" w:line="276" w:lineRule="auto"/>
        <w:jc w:val="both"/>
        <w:rPr>
          <w:rFonts w:ascii="Century Gothic" w:hAnsi="Century Gothic" w:cs="Arial"/>
          <w:bCs/>
          <w:sz w:val="22"/>
          <w:szCs w:val="22"/>
        </w:rPr>
      </w:pPr>
      <w:r>
        <w:rPr>
          <w:rFonts w:ascii="Century Gothic" w:hAnsi="Century Gothic" w:cs="Arial"/>
          <w:bCs/>
          <w:sz w:val="22"/>
          <w:szCs w:val="22"/>
        </w:rPr>
        <w:t>Investment rate</w:t>
      </w:r>
      <w:r w:rsidR="00AA47BB">
        <w:rPr>
          <w:rFonts w:ascii="Century Gothic" w:hAnsi="Century Gothic" w:cs="Arial"/>
          <w:bCs/>
          <w:sz w:val="22"/>
          <w:szCs w:val="22"/>
        </w:rPr>
        <w:t xml:space="preserve"> reduced to 4% p.a.</w:t>
      </w:r>
      <w:r>
        <w:rPr>
          <w:rFonts w:ascii="Century Gothic" w:hAnsi="Century Gothic" w:cs="Arial"/>
          <w:bCs/>
          <w:sz w:val="22"/>
          <w:szCs w:val="22"/>
        </w:rPr>
        <w:t xml:space="preserve">: </w:t>
      </w:r>
      <w:r w:rsidR="00AA47BB">
        <w:rPr>
          <w:rFonts w:ascii="Century Gothic" w:hAnsi="Century Gothic" w:cs="Arial"/>
          <w:bCs/>
          <w:sz w:val="22"/>
          <w:szCs w:val="22"/>
        </w:rPr>
        <w:t>for</w:t>
      </w:r>
      <w:r>
        <w:rPr>
          <w:rFonts w:ascii="Century Gothic" w:hAnsi="Century Gothic" w:cs="Arial"/>
          <w:bCs/>
          <w:sz w:val="22"/>
          <w:szCs w:val="22"/>
        </w:rPr>
        <w:t xml:space="preserve"> a closed scheme, the fund should be invested in assets with shorter maturity, which may lead to a lower rate of return.</w:t>
      </w:r>
    </w:p>
    <w:p w:rsidR="00AA47BB" w:rsidRDefault="00AA47BB" w:rsidP="007C58B8">
      <w:pPr>
        <w:pStyle w:val="ListParagraph"/>
        <w:numPr>
          <w:ilvl w:val="0"/>
          <w:numId w:val="9"/>
        </w:numPr>
        <w:spacing w:before="120" w:after="120" w:line="276" w:lineRule="auto"/>
        <w:jc w:val="both"/>
        <w:rPr>
          <w:rFonts w:ascii="Century Gothic" w:hAnsi="Century Gothic" w:cs="Arial"/>
          <w:bCs/>
          <w:sz w:val="22"/>
          <w:szCs w:val="22"/>
        </w:rPr>
      </w:pPr>
      <w:r>
        <w:rPr>
          <w:rFonts w:ascii="Century Gothic" w:hAnsi="Century Gothic" w:cs="Arial"/>
          <w:bCs/>
          <w:sz w:val="22"/>
          <w:szCs w:val="22"/>
        </w:rPr>
        <w:t xml:space="preserve">Withdrawal rate increases by 2%: </w:t>
      </w:r>
      <w:r w:rsidR="00404DD3">
        <w:rPr>
          <w:rFonts w:ascii="Century Gothic" w:hAnsi="Century Gothic" w:cs="Arial"/>
          <w:bCs/>
          <w:sz w:val="22"/>
          <w:szCs w:val="22"/>
        </w:rPr>
        <w:t>due to</w:t>
      </w:r>
      <w:r>
        <w:rPr>
          <w:rFonts w:ascii="Century Gothic" w:hAnsi="Century Gothic" w:cs="Arial"/>
          <w:bCs/>
          <w:sz w:val="22"/>
          <w:szCs w:val="22"/>
        </w:rPr>
        <w:t xml:space="preserve"> the lower investment rate, members incline to withdraw from the scheme and invest in </w:t>
      </w:r>
      <w:r w:rsidRPr="00AA47BB">
        <w:rPr>
          <w:rFonts w:ascii="Century Gothic" w:hAnsi="Century Gothic" w:cs="Arial"/>
          <w:bCs/>
          <w:sz w:val="22"/>
          <w:szCs w:val="22"/>
        </w:rPr>
        <w:t>another asset portfolio with higher investment return</w:t>
      </w:r>
      <w:r w:rsidR="004731BA">
        <w:rPr>
          <w:rFonts w:ascii="Century Gothic" w:hAnsi="Century Gothic" w:cs="Arial"/>
          <w:bCs/>
          <w:sz w:val="22"/>
          <w:szCs w:val="22"/>
        </w:rPr>
        <w:t>.</w:t>
      </w:r>
    </w:p>
    <w:p w:rsidR="004731BA" w:rsidRDefault="004731BA" w:rsidP="007C58B8">
      <w:pPr>
        <w:pStyle w:val="ListParagraph"/>
        <w:numPr>
          <w:ilvl w:val="0"/>
          <w:numId w:val="9"/>
        </w:numPr>
        <w:spacing w:before="120" w:after="120" w:line="276" w:lineRule="auto"/>
        <w:jc w:val="both"/>
        <w:rPr>
          <w:rFonts w:ascii="Century Gothic" w:hAnsi="Century Gothic" w:cs="Arial"/>
          <w:bCs/>
          <w:sz w:val="22"/>
          <w:szCs w:val="22"/>
        </w:rPr>
      </w:pPr>
      <w:r>
        <w:rPr>
          <w:rFonts w:ascii="Century Gothic" w:hAnsi="Century Gothic" w:cs="Arial"/>
          <w:bCs/>
          <w:sz w:val="22"/>
          <w:szCs w:val="22"/>
        </w:rPr>
        <w:t xml:space="preserve">The assumption for average entry age increases by 3 years </w:t>
      </w:r>
      <w:r w:rsidR="00E403D7" w:rsidRPr="00E403D7">
        <w:rPr>
          <w:rFonts w:ascii="Century Gothic" w:hAnsi="Century Gothic" w:cs="Arial"/>
          <w:bCs/>
          <w:sz w:val="22"/>
          <w:szCs w:val="22"/>
        </w:rPr>
        <w:t>to reflect the reduced va</w:t>
      </w:r>
      <w:r w:rsidR="00DD45B0">
        <w:rPr>
          <w:rFonts w:ascii="Century Gothic" w:hAnsi="Century Gothic" w:cs="Arial"/>
          <w:bCs/>
          <w:sz w:val="22"/>
          <w:szCs w:val="22"/>
        </w:rPr>
        <w:t>lue of expected future services and future contributions.</w:t>
      </w:r>
    </w:p>
    <w:tbl>
      <w:tblPr>
        <w:tblStyle w:val="GridTable4-Accent1"/>
        <w:tblW w:w="5310" w:type="dxa"/>
        <w:tblInd w:w="355" w:type="dxa"/>
        <w:tblLook w:val="04A0" w:firstRow="1" w:lastRow="0" w:firstColumn="1" w:lastColumn="0" w:noHBand="0" w:noVBand="1"/>
      </w:tblPr>
      <w:tblGrid>
        <w:gridCol w:w="1170"/>
        <w:gridCol w:w="4140"/>
      </w:tblGrid>
      <w:tr w:rsidR="006A15D3" w:rsidRPr="00503F8B" w:rsidTr="007D5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6A15D3" w:rsidRPr="00E3676D" w:rsidRDefault="006A15D3" w:rsidP="007D5848">
            <w:pPr>
              <w:spacing w:before="120" w:after="120" w:line="276" w:lineRule="auto"/>
              <w:jc w:val="center"/>
              <w:rPr>
                <w:rFonts w:ascii="Century Gothic" w:hAnsi="Century Gothic" w:cs="Arial"/>
                <w:bCs w:val="0"/>
                <w:szCs w:val="22"/>
                <w:lang w:val="en-US"/>
              </w:rPr>
            </w:pPr>
            <w:r>
              <w:rPr>
                <w:rFonts w:ascii="Century Gothic" w:hAnsi="Century Gothic" w:cs="Arial"/>
                <w:szCs w:val="22"/>
                <w:lang w:val="en-US"/>
              </w:rPr>
              <w:lastRenderedPageBreak/>
              <w:t>Grade</w:t>
            </w:r>
          </w:p>
        </w:tc>
        <w:tc>
          <w:tcPr>
            <w:tcW w:w="4140" w:type="dxa"/>
            <w:vAlign w:val="center"/>
          </w:tcPr>
          <w:p w:rsidR="006A15D3" w:rsidRPr="00E3676D" w:rsidRDefault="006A15D3" w:rsidP="007D5848">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rPr>
            </w:pPr>
            <w:r>
              <w:rPr>
                <w:rFonts w:ascii="Century Gothic" w:hAnsi="Century Gothic" w:cs="Arial"/>
                <w:szCs w:val="22"/>
              </w:rPr>
              <w:t>Funding position - t</w:t>
            </w:r>
            <w:r w:rsidRPr="00820A3A">
              <w:rPr>
                <w:rFonts w:ascii="Century Gothic" w:hAnsi="Century Gothic" w:cs="Arial"/>
                <w:szCs w:val="22"/>
              </w:rPr>
              <w:t>otal surplus</w:t>
            </w:r>
            <w:r>
              <w:rPr>
                <w:rFonts w:ascii="Century Gothic" w:hAnsi="Century Gothic" w:cs="Arial"/>
                <w:szCs w:val="22"/>
              </w:rPr>
              <w:t xml:space="preserve"> / </w:t>
            </w:r>
            <w:r w:rsidRPr="00820A3A">
              <w:rPr>
                <w:rFonts w:ascii="Century Gothic" w:hAnsi="Century Gothic" w:cs="Arial"/>
                <w:szCs w:val="22"/>
              </w:rPr>
              <w:t xml:space="preserve">deficit </w:t>
            </w:r>
            <w:r>
              <w:rPr>
                <w:rFonts w:ascii="Century Gothic" w:hAnsi="Century Gothic" w:cs="Arial"/>
                <w:szCs w:val="22"/>
              </w:rPr>
              <w:t>in 15 years’ time</w:t>
            </w:r>
          </w:p>
        </w:tc>
      </w:tr>
      <w:tr w:rsidR="006A15D3" w:rsidRPr="00503F8B" w:rsidTr="007D584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6A15D3" w:rsidRDefault="006A15D3" w:rsidP="007D5848">
            <w:pPr>
              <w:spacing w:before="120" w:after="120" w:line="276" w:lineRule="auto"/>
              <w:jc w:val="center"/>
              <w:rPr>
                <w:rFonts w:ascii="Century Gothic" w:hAnsi="Century Gothic" w:cs="Arial"/>
                <w:bCs w:val="0"/>
              </w:rPr>
            </w:pPr>
            <w:r>
              <w:rPr>
                <w:rFonts w:ascii="Century Gothic" w:hAnsi="Century Gothic" w:cs="Arial"/>
                <w:bCs w:val="0"/>
              </w:rPr>
              <w:t>A</w:t>
            </w:r>
          </w:p>
          <w:p w:rsidR="006A15D3" w:rsidRPr="00503F8B" w:rsidRDefault="006A15D3" w:rsidP="007D5848">
            <w:pPr>
              <w:spacing w:before="120" w:after="120" w:line="276" w:lineRule="auto"/>
              <w:jc w:val="center"/>
              <w:rPr>
                <w:rFonts w:ascii="Century Gothic" w:hAnsi="Century Gothic" w:cs="Arial"/>
                <w:bCs w:val="0"/>
              </w:rPr>
            </w:pPr>
            <w:r>
              <w:rPr>
                <w:rFonts w:ascii="Century Gothic" w:hAnsi="Century Gothic" w:cs="Arial"/>
                <w:bCs w:val="0"/>
              </w:rPr>
              <w:t>B</w:t>
            </w:r>
          </w:p>
        </w:tc>
        <w:tc>
          <w:tcPr>
            <w:tcW w:w="4140" w:type="dxa"/>
            <w:vAlign w:val="center"/>
          </w:tcPr>
          <w:p w:rsidR="00DD45B0" w:rsidRDefault="00DD45B0" w:rsidP="007D5848">
            <w:pPr>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Pr>
                <w:rFonts w:ascii="Century Gothic" w:hAnsi="Century Gothic" w:cs="Arial"/>
                <w:bCs/>
                <w:szCs w:val="22"/>
              </w:rPr>
              <w:t>$</w:t>
            </w:r>
            <w:r w:rsidR="0009064C" w:rsidRPr="0009064C">
              <w:rPr>
                <w:rFonts w:ascii="Century Gothic" w:hAnsi="Century Gothic" w:cs="Arial"/>
                <w:bCs/>
                <w:szCs w:val="22"/>
              </w:rPr>
              <w:t>1,751,505</w:t>
            </w:r>
          </w:p>
          <w:p w:rsidR="00DD45B0" w:rsidRPr="00DD45B0" w:rsidRDefault="00DD45B0" w:rsidP="007D5848">
            <w:pPr>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Pr>
                <w:rFonts w:ascii="Century Gothic" w:hAnsi="Century Gothic" w:cs="Arial"/>
                <w:bCs/>
                <w:szCs w:val="22"/>
              </w:rPr>
              <w:t>$</w:t>
            </w:r>
            <w:r w:rsidRPr="00DD45B0">
              <w:rPr>
                <w:rFonts w:ascii="Century Gothic" w:hAnsi="Century Gothic" w:cs="Arial"/>
                <w:bCs/>
                <w:szCs w:val="22"/>
              </w:rPr>
              <w:t>11,396,339</w:t>
            </w:r>
          </w:p>
        </w:tc>
      </w:tr>
    </w:tbl>
    <w:p w:rsidR="00EC34A9" w:rsidRPr="00EC34A9" w:rsidRDefault="00EC34A9" w:rsidP="007C58B8">
      <w:pPr>
        <w:spacing w:before="60" w:after="60" w:line="276" w:lineRule="auto"/>
        <w:jc w:val="both"/>
        <w:rPr>
          <w:rFonts w:ascii="Century Gothic" w:hAnsi="Century Gothic" w:cs="Arial"/>
          <w:bCs/>
          <w:sz w:val="22"/>
          <w:szCs w:val="22"/>
        </w:rPr>
      </w:pPr>
      <w:r w:rsidRPr="00EC34A9">
        <w:rPr>
          <w:rFonts w:ascii="Century Gothic" w:hAnsi="Century Gothic" w:cs="Arial"/>
          <w:bCs/>
          <w:sz w:val="22"/>
          <w:szCs w:val="22"/>
        </w:rPr>
        <w:t xml:space="preserve">According to 2b, the scheme will have surplus in 15 years’ time. Therefore the surplus will reduce if the number of members decrease. </w:t>
      </w:r>
    </w:p>
    <w:p w:rsidR="006A15D3" w:rsidRPr="00EC34A9" w:rsidRDefault="00652DC5" w:rsidP="007C58B8">
      <w:pPr>
        <w:spacing w:before="60" w:after="60" w:line="276" w:lineRule="auto"/>
        <w:jc w:val="both"/>
        <w:rPr>
          <w:rFonts w:ascii="Century Gothic" w:hAnsi="Century Gothic" w:cs="Arial"/>
          <w:bCs/>
          <w:sz w:val="22"/>
          <w:szCs w:val="22"/>
        </w:rPr>
      </w:pPr>
      <w:r w:rsidRPr="00EC34A9">
        <w:rPr>
          <w:rFonts w:ascii="Century Gothic" w:hAnsi="Century Gothic" w:cs="Arial"/>
          <w:bCs/>
          <w:sz w:val="22"/>
          <w:szCs w:val="22"/>
        </w:rPr>
        <w:t>Due to the decreased investment rate</w:t>
      </w:r>
      <w:r w:rsidR="00EC34A9" w:rsidRPr="00EC34A9">
        <w:rPr>
          <w:rFonts w:ascii="Century Gothic" w:hAnsi="Century Gothic" w:cs="Arial"/>
          <w:bCs/>
          <w:sz w:val="22"/>
          <w:szCs w:val="22"/>
        </w:rPr>
        <w:t>, the surplus will further decrease.</w:t>
      </w:r>
    </w:p>
    <w:p w:rsidR="00652DC5" w:rsidRPr="00652DC5" w:rsidRDefault="00652DC5" w:rsidP="007C58B8">
      <w:pPr>
        <w:spacing w:before="60" w:after="60" w:line="276" w:lineRule="auto"/>
        <w:jc w:val="both"/>
        <w:rPr>
          <w:rFonts w:ascii="Century Gothic" w:hAnsi="Century Gothic" w:cs="Arial"/>
          <w:bCs/>
          <w:sz w:val="22"/>
          <w:szCs w:val="22"/>
        </w:rPr>
      </w:pPr>
      <w:r w:rsidRPr="007E381B">
        <w:rPr>
          <w:rFonts w:ascii="Century Gothic" w:hAnsi="Century Gothic" w:cs="Arial"/>
          <w:bCs/>
          <w:sz w:val="22"/>
          <w:szCs w:val="22"/>
        </w:rPr>
        <w:t>Compared to [</w:t>
      </w:r>
      <w:r w:rsidRPr="00652DC5">
        <w:rPr>
          <w:rFonts w:ascii="Century Gothic" w:hAnsi="Century Gothic" w:cs="Arial"/>
          <w:bCs/>
          <w:sz w:val="22"/>
          <w:szCs w:val="22"/>
        </w:rPr>
        <w:t xml:space="preserve">2.b </w:t>
      </w:r>
      <w:proofErr w:type="spellStart"/>
      <w:r w:rsidRPr="00652DC5">
        <w:rPr>
          <w:rFonts w:ascii="Century Gothic" w:hAnsi="Century Gothic" w:cs="Arial"/>
          <w:bCs/>
          <w:sz w:val="22"/>
          <w:szCs w:val="22"/>
        </w:rPr>
        <w:t>EAN_Projection</w:t>
      </w:r>
      <w:proofErr w:type="spellEnd"/>
      <w:r w:rsidRPr="007E381B">
        <w:rPr>
          <w:rFonts w:ascii="Century Gothic" w:hAnsi="Century Gothic" w:cs="Arial"/>
          <w:bCs/>
          <w:sz w:val="22"/>
          <w:szCs w:val="22"/>
        </w:rPr>
        <w:t>]</w:t>
      </w:r>
      <w:r>
        <w:rPr>
          <w:rFonts w:ascii="Century Gothic" w:hAnsi="Century Gothic" w:cs="Arial"/>
          <w:bCs/>
          <w:sz w:val="22"/>
          <w:szCs w:val="22"/>
        </w:rPr>
        <w:t>, the total surplus under this scenario is smaller, which is a reasonable result.</w:t>
      </w:r>
    </w:p>
    <w:p w:rsidR="00652DC5" w:rsidRDefault="00652DC5" w:rsidP="007C58B8">
      <w:pPr>
        <w:spacing w:before="60" w:after="60" w:line="276" w:lineRule="auto"/>
        <w:jc w:val="both"/>
        <w:rPr>
          <w:rFonts w:ascii="Century Gothic" w:hAnsi="Century Gothic" w:cs="Arial"/>
          <w:b/>
          <w:bCs/>
          <w:sz w:val="22"/>
          <w:szCs w:val="22"/>
        </w:rPr>
      </w:pPr>
    </w:p>
    <w:p w:rsidR="006A15D3" w:rsidRDefault="00A849C0" w:rsidP="007C58B8">
      <w:pPr>
        <w:pStyle w:val="ListParagraph"/>
        <w:numPr>
          <w:ilvl w:val="0"/>
          <w:numId w:val="8"/>
        </w:numPr>
        <w:spacing w:before="120" w:after="120" w:line="276" w:lineRule="auto"/>
        <w:jc w:val="both"/>
        <w:rPr>
          <w:rFonts w:ascii="Century Gothic" w:hAnsi="Century Gothic" w:cs="Arial"/>
          <w:bCs/>
          <w:sz w:val="22"/>
          <w:szCs w:val="22"/>
        </w:rPr>
      </w:pPr>
      <w:r w:rsidRPr="00A849C0">
        <w:rPr>
          <w:rFonts w:ascii="Century Gothic" w:hAnsi="Century Gothic" w:cs="Arial"/>
          <w:bCs/>
          <w:sz w:val="22"/>
          <w:szCs w:val="22"/>
        </w:rPr>
        <w:t>A large-scale redundancy occurred at the start of year 10</w:t>
      </w:r>
      <w:r>
        <w:rPr>
          <w:rFonts w:ascii="Century Gothic" w:hAnsi="Century Gothic" w:cs="Arial"/>
          <w:bCs/>
          <w:sz w:val="22"/>
          <w:szCs w:val="22"/>
        </w:rPr>
        <w:t>:</w:t>
      </w:r>
    </w:p>
    <w:p w:rsidR="00C81DEB" w:rsidRPr="00404551" w:rsidRDefault="00404551" w:rsidP="007C58B8">
      <w:pPr>
        <w:pStyle w:val="ListParagraph"/>
        <w:spacing w:before="120" w:after="120" w:line="276" w:lineRule="auto"/>
        <w:ind w:left="360"/>
        <w:jc w:val="both"/>
        <w:rPr>
          <w:rFonts w:ascii="Century Gothic" w:hAnsi="Century Gothic" w:cs="Arial"/>
          <w:bCs/>
          <w:i/>
          <w:sz w:val="22"/>
          <w:szCs w:val="22"/>
        </w:rPr>
      </w:pPr>
      <w:r w:rsidRPr="00404551">
        <w:rPr>
          <w:rFonts w:ascii="Century Gothic" w:hAnsi="Century Gothic" w:cs="Arial"/>
          <w:bCs/>
          <w:i/>
          <w:sz w:val="22"/>
          <w:szCs w:val="22"/>
        </w:rPr>
        <w:t>See t</w:t>
      </w:r>
      <w:r w:rsidR="00C81DEB" w:rsidRPr="00404551">
        <w:rPr>
          <w:rFonts w:ascii="Century Gothic" w:hAnsi="Century Gothic" w:cs="Arial"/>
          <w:bCs/>
          <w:i/>
          <w:sz w:val="22"/>
          <w:szCs w:val="22"/>
        </w:rPr>
        <w:t xml:space="preserve">ab [2.d Decrements] and [2.d </w:t>
      </w:r>
      <w:proofErr w:type="spellStart"/>
      <w:r w:rsidR="00C81DEB" w:rsidRPr="00404551">
        <w:rPr>
          <w:rFonts w:ascii="Century Gothic" w:hAnsi="Century Gothic" w:cs="Arial"/>
          <w:bCs/>
          <w:i/>
          <w:sz w:val="22"/>
          <w:szCs w:val="22"/>
        </w:rPr>
        <w:t>EAN_Projection</w:t>
      </w:r>
      <w:proofErr w:type="spellEnd"/>
      <w:r w:rsidR="00C81DEB" w:rsidRPr="00404551">
        <w:rPr>
          <w:rFonts w:ascii="Century Gothic" w:hAnsi="Century Gothic" w:cs="Arial"/>
          <w:bCs/>
          <w:i/>
          <w:sz w:val="22"/>
          <w:szCs w:val="22"/>
        </w:rPr>
        <w:t>]</w:t>
      </w:r>
    </w:p>
    <w:p w:rsidR="00A849C0" w:rsidRDefault="00A849C0" w:rsidP="007C58B8">
      <w:pPr>
        <w:pStyle w:val="ListParagraph"/>
        <w:spacing w:before="120" w:after="120" w:line="276" w:lineRule="auto"/>
        <w:ind w:left="360"/>
        <w:jc w:val="both"/>
        <w:rPr>
          <w:rFonts w:ascii="Century Gothic" w:hAnsi="Century Gothic" w:cs="Arial"/>
          <w:bCs/>
          <w:sz w:val="22"/>
          <w:szCs w:val="22"/>
        </w:rPr>
      </w:pPr>
      <w:r>
        <w:rPr>
          <w:rFonts w:ascii="Century Gothic" w:hAnsi="Century Gothic" w:cs="Arial"/>
          <w:bCs/>
          <w:sz w:val="22"/>
          <w:szCs w:val="22"/>
        </w:rPr>
        <w:t>Additional assumptions:</w:t>
      </w:r>
    </w:p>
    <w:p w:rsidR="00A849C0" w:rsidRPr="00D40066" w:rsidRDefault="00A849C0" w:rsidP="007C58B8">
      <w:pPr>
        <w:pStyle w:val="ListParagraph"/>
        <w:numPr>
          <w:ilvl w:val="0"/>
          <w:numId w:val="10"/>
        </w:numPr>
        <w:spacing w:before="120" w:after="120" w:line="276" w:lineRule="auto"/>
        <w:jc w:val="both"/>
        <w:rPr>
          <w:rFonts w:ascii="Century Gothic" w:hAnsi="Century Gothic" w:cs="Arial"/>
          <w:bCs/>
          <w:sz w:val="22"/>
          <w:szCs w:val="22"/>
        </w:rPr>
      </w:pPr>
      <w:r w:rsidRPr="00D40066">
        <w:rPr>
          <w:rFonts w:ascii="Century Gothic" w:hAnsi="Century Gothic" w:cs="Arial"/>
          <w:bCs/>
          <w:sz w:val="22"/>
          <w:szCs w:val="22"/>
        </w:rPr>
        <w:t>Redundancy rate at the start of year 10: 7</w:t>
      </w:r>
      <w:r w:rsidR="005968DE" w:rsidRPr="00D40066">
        <w:rPr>
          <w:rFonts w:ascii="Century Gothic" w:hAnsi="Century Gothic" w:cs="Arial"/>
          <w:bCs/>
          <w:sz w:val="22"/>
          <w:szCs w:val="22"/>
        </w:rPr>
        <w:t>0</w:t>
      </w:r>
      <w:r w:rsidRPr="00D40066">
        <w:rPr>
          <w:rFonts w:ascii="Century Gothic" w:hAnsi="Century Gothic" w:cs="Arial"/>
          <w:bCs/>
          <w:sz w:val="22"/>
          <w:szCs w:val="22"/>
        </w:rPr>
        <w:t>%</w:t>
      </w:r>
    </w:p>
    <w:p w:rsidR="00A849C0" w:rsidRPr="00D40066" w:rsidRDefault="00C81DEB" w:rsidP="007C58B8">
      <w:pPr>
        <w:pStyle w:val="ListParagraph"/>
        <w:numPr>
          <w:ilvl w:val="0"/>
          <w:numId w:val="10"/>
        </w:numPr>
        <w:spacing w:before="120" w:after="120" w:line="276" w:lineRule="auto"/>
        <w:jc w:val="both"/>
        <w:rPr>
          <w:rFonts w:ascii="Century Gothic" w:hAnsi="Century Gothic" w:cs="Arial"/>
          <w:bCs/>
          <w:sz w:val="22"/>
          <w:szCs w:val="22"/>
        </w:rPr>
      </w:pPr>
      <w:r w:rsidRPr="00D40066">
        <w:rPr>
          <w:rFonts w:ascii="Century Gothic" w:hAnsi="Century Gothic" w:cs="Arial"/>
          <w:bCs/>
          <w:sz w:val="22"/>
          <w:szCs w:val="22"/>
        </w:rPr>
        <w:t>Redundancy benefit</w:t>
      </w:r>
      <w:r w:rsidRPr="00D40066">
        <w:rPr>
          <w:rFonts w:ascii="Century Gothic" w:hAnsi="Century Gothic" w:cs="Arial"/>
          <w:bCs/>
          <w:sz w:val="22"/>
          <w:szCs w:val="22"/>
        </w:rPr>
        <w:tab/>
        <w:t>: 1</w:t>
      </w:r>
      <w:r w:rsidR="00D40066" w:rsidRPr="00D40066">
        <w:rPr>
          <w:rFonts w:ascii="Century Gothic" w:hAnsi="Century Gothic" w:cs="Arial"/>
          <w:bCs/>
          <w:sz w:val="22"/>
          <w:szCs w:val="22"/>
        </w:rPr>
        <w:t>0</w:t>
      </w:r>
      <w:r w:rsidRPr="00D40066">
        <w:rPr>
          <w:rFonts w:ascii="Century Gothic" w:hAnsi="Century Gothic" w:cs="Arial"/>
          <w:bCs/>
          <w:sz w:val="22"/>
          <w:szCs w:val="22"/>
        </w:rPr>
        <w:t>0%</w:t>
      </w:r>
      <w:r w:rsidRPr="00D40066">
        <w:rPr>
          <w:rFonts w:ascii="Century Gothic" w:hAnsi="Century Gothic" w:cs="Arial"/>
          <w:bCs/>
          <w:sz w:val="22"/>
          <w:szCs w:val="22"/>
        </w:rPr>
        <w:tab/>
        <w:t>of the actuarial liability</w:t>
      </w:r>
      <w:r w:rsidR="003E5081">
        <w:rPr>
          <w:rFonts w:ascii="Century Gothic" w:hAnsi="Century Gothic" w:cs="Arial"/>
          <w:bCs/>
          <w:sz w:val="22"/>
          <w:szCs w:val="22"/>
        </w:rPr>
        <w:t xml:space="preserve"> at the time that redundancy occurs</w:t>
      </w:r>
    </w:p>
    <w:tbl>
      <w:tblPr>
        <w:tblStyle w:val="GridTable4-Accent1"/>
        <w:tblW w:w="5310" w:type="dxa"/>
        <w:tblInd w:w="355" w:type="dxa"/>
        <w:tblLook w:val="04A0" w:firstRow="1" w:lastRow="0" w:firstColumn="1" w:lastColumn="0" w:noHBand="0" w:noVBand="1"/>
      </w:tblPr>
      <w:tblGrid>
        <w:gridCol w:w="1170"/>
        <w:gridCol w:w="4140"/>
      </w:tblGrid>
      <w:tr w:rsidR="00C760CF" w:rsidRPr="00503F8B" w:rsidTr="007D5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C760CF" w:rsidRPr="00E3676D" w:rsidRDefault="00C760CF" w:rsidP="007D5848">
            <w:pPr>
              <w:spacing w:before="120" w:after="120" w:line="276" w:lineRule="auto"/>
              <w:jc w:val="center"/>
              <w:rPr>
                <w:rFonts w:ascii="Century Gothic" w:hAnsi="Century Gothic" w:cs="Arial"/>
                <w:bCs w:val="0"/>
                <w:szCs w:val="22"/>
                <w:lang w:val="en-US"/>
              </w:rPr>
            </w:pPr>
            <w:r>
              <w:rPr>
                <w:rFonts w:ascii="Century Gothic" w:hAnsi="Century Gothic" w:cs="Arial"/>
                <w:szCs w:val="22"/>
                <w:lang w:val="en-US"/>
              </w:rPr>
              <w:t>Grade</w:t>
            </w:r>
          </w:p>
        </w:tc>
        <w:tc>
          <w:tcPr>
            <w:tcW w:w="4140" w:type="dxa"/>
            <w:vAlign w:val="center"/>
          </w:tcPr>
          <w:p w:rsidR="00C760CF" w:rsidRPr="00E3676D" w:rsidRDefault="00C760CF" w:rsidP="007D5848">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rPr>
            </w:pPr>
            <w:r>
              <w:rPr>
                <w:rFonts w:ascii="Century Gothic" w:hAnsi="Century Gothic" w:cs="Arial"/>
                <w:szCs w:val="22"/>
              </w:rPr>
              <w:t>Funding position - t</w:t>
            </w:r>
            <w:r w:rsidRPr="00820A3A">
              <w:rPr>
                <w:rFonts w:ascii="Century Gothic" w:hAnsi="Century Gothic" w:cs="Arial"/>
                <w:szCs w:val="22"/>
              </w:rPr>
              <w:t>otal surplus</w:t>
            </w:r>
            <w:r>
              <w:rPr>
                <w:rFonts w:ascii="Century Gothic" w:hAnsi="Century Gothic" w:cs="Arial"/>
                <w:szCs w:val="22"/>
              </w:rPr>
              <w:t xml:space="preserve"> / </w:t>
            </w:r>
            <w:r w:rsidRPr="00820A3A">
              <w:rPr>
                <w:rFonts w:ascii="Century Gothic" w:hAnsi="Century Gothic" w:cs="Arial"/>
                <w:szCs w:val="22"/>
              </w:rPr>
              <w:t xml:space="preserve">deficit </w:t>
            </w:r>
            <w:r>
              <w:rPr>
                <w:rFonts w:ascii="Century Gothic" w:hAnsi="Century Gothic" w:cs="Arial"/>
                <w:szCs w:val="22"/>
              </w:rPr>
              <w:t>in 15 years’ time</w:t>
            </w:r>
          </w:p>
        </w:tc>
      </w:tr>
      <w:tr w:rsidR="00C760CF" w:rsidRPr="00503F8B" w:rsidTr="007D584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C760CF" w:rsidRDefault="00C760CF" w:rsidP="007D5848">
            <w:pPr>
              <w:spacing w:before="120" w:after="120" w:line="276" w:lineRule="auto"/>
              <w:jc w:val="center"/>
              <w:rPr>
                <w:rFonts w:ascii="Century Gothic" w:hAnsi="Century Gothic" w:cs="Arial"/>
                <w:bCs w:val="0"/>
              </w:rPr>
            </w:pPr>
            <w:r>
              <w:rPr>
                <w:rFonts w:ascii="Century Gothic" w:hAnsi="Century Gothic" w:cs="Arial"/>
                <w:bCs w:val="0"/>
              </w:rPr>
              <w:t>A</w:t>
            </w:r>
          </w:p>
          <w:p w:rsidR="00C760CF" w:rsidRPr="00503F8B" w:rsidRDefault="00C760CF" w:rsidP="007D5848">
            <w:pPr>
              <w:spacing w:before="120" w:after="120" w:line="276" w:lineRule="auto"/>
              <w:jc w:val="center"/>
              <w:rPr>
                <w:rFonts w:ascii="Century Gothic" w:hAnsi="Century Gothic" w:cs="Arial"/>
                <w:bCs w:val="0"/>
              </w:rPr>
            </w:pPr>
            <w:r>
              <w:rPr>
                <w:rFonts w:ascii="Century Gothic" w:hAnsi="Century Gothic" w:cs="Arial"/>
                <w:bCs w:val="0"/>
              </w:rPr>
              <w:t>B</w:t>
            </w:r>
          </w:p>
        </w:tc>
        <w:tc>
          <w:tcPr>
            <w:tcW w:w="4140" w:type="dxa"/>
            <w:vAlign w:val="center"/>
          </w:tcPr>
          <w:p w:rsidR="00CC02BE" w:rsidRDefault="00CC02BE" w:rsidP="007D5848">
            <w:pPr>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Pr>
                <w:rFonts w:ascii="Century Gothic" w:hAnsi="Century Gothic" w:cs="Arial"/>
                <w:bCs/>
                <w:szCs w:val="22"/>
              </w:rPr>
              <w:t>$</w:t>
            </w:r>
            <w:r w:rsidR="0009064C" w:rsidRPr="0009064C">
              <w:rPr>
                <w:rFonts w:ascii="Century Gothic" w:hAnsi="Century Gothic" w:cs="Arial"/>
                <w:bCs/>
                <w:szCs w:val="22"/>
              </w:rPr>
              <w:t>2,064,296</w:t>
            </w:r>
          </w:p>
          <w:p w:rsidR="00CC02BE" w:rsidRPr="00DD45B0" w:rsidRDefault="00CC02BE" w:rsidP="007D5848">
            <w:pPr>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Pr>
                <w:rFonts w:ascii="Century Gothic" w:hAnsi="Century Gothic" w:cs="Arial"/>
                <w:bCs/>
                <w:szCs w:val="22"/>
              </w:rPr>
              <w:t>$</w:t>
            </w:r>
            <w:r w:rsidRPr="00CC02BE">
              <w:rPr>
                <w:rFonts w:ascii="Century Gothic" w:hAnsi="Century Gothic" w:cs="Arial"/>
                <w:bCs/>
                <w:szCs w:val="22"/>
              </w:rPr>
              <w:t>10,068,368</w:t>
            </w:r>
          </w:p>
        </w:tc>
      </w:tr>
    </w:tbl>
    <w:p w:rsidR="006A15D3" w:rsidRPr="004E5439" w:rsidRDefault="004E5439" w:rsidP="007C58B8">
      <w:pPr>
        <w:spacing w:before="60" w:after="60" w:line="276" w:lineRule="auto"/>
        <w:jc w:val="both"/>
        <w:rPr>
          <w:rFonts w:ascii="Century Gothic" w:hAnsi="Century Gothic" w:cs="Arial"/>
          <w:bCs/>
          <w:sz w:val="22"/>
          <w:szCs w:val="22"/>
          <w:lang w:eastAsia="zh-CN"/>
        </w:rPr>
      </w:pPr>
      <w:r w:rsidRPr="004E5439">
        <w:rPr>
          <w:rFonts w:ascii="Century Gothic" w:hAnsi="Century Gothic" w:cs="Arial"/>
          <w:bCs/>
          <w:sz w:val="22"/>
          <w:szCs w:val="22"/>
        </w:rPr>
        <w:t xml:space="preserve">Given </w:t>
      </w:r>
      <w:r w:rsidR="00D84219">
        <w:rPr>
          <w:rFonts w:ascii="Century Gothic" w:hAnsi="Century Gothic" w:cs="Arial" w:hint="eastAsia"/>
          <w:bCs/>
          <w:sz w:val="22"/>
          <w:szCs w:val="22"/>
          <w:lang w:eastAsia="zh-CN"/>
        </w:rPr>
        <w:t>there</w:t>
      </w:r>
      <w:r w:rsidR="00D84219">
        <w:rPr>
          <w:rFonts w:ascii="Century Gothic" w:hAnsi="Century Gothic" w:cs="Arial"/>
          <w:bCs/>
          <w:sz w:val="22"/>
          <w:szCs w:val="22"/>
          <w:lang w:val="en-US" w:eastAsia="zh-CN"/>
        </w:rPr>
        <w:t xml:space="preserve"> is </w:t>
      </w:r>
      <w:r w:rsidRPr="004E5439">
        <w:rPr>
          <w:rFonts w:ascii="Century Gothic" w:hAnsi="Century Gothic" w:cs="Arial"/>
          <w:bCs/>
          <w:sz w:val="22"/>
          <w:szCs w:val="22"/>
          <w:lang w:val="en-US"/>
        </w:rPr>
        <w:t xml:space="preserve">a </w:t>
      </w:r>
      <w:r w:rsidR="00D84219">
        <w:rPr>
          <w:rFonts w:ascii="Century Gothic" w:hAnsi="Century Gothic" w:cs="Arial"/>
          <w:bCs/>
          <w:sz w:val="22"/>
          <w:szCs w:val="22"/>
        </w:rPr>
        <w:t>sudden</w:t>
      </w:r>
      <w:r w:rsidRPr="004E5439">
        <w:rPr>
          <w:rFonts w:ascii="Century Gothic" w:hAnsi="Century Gothic" w:cs="Arial"/>
          <w:bCs/>
          <w:sz w:val="22"/>
          <w:szCs w:val="22"/>
        </w:rPr>
        <w:t xml:space="preserve"> drop in active members</w:t>
      </w:r>
      <w:r w:rsidR="002E5C83">
        <w:rPr>
          <w:rFonts w:ascii="Century Gothic" w:hAnsi="Century Gothic" w:cs="Arial"/>
          <w:bCs/>
          <w:sz w:val="22"/>
          <w:szCs w:val="22"/>
        </w:rPr>
        <w:t xml:space="preserve"> with </w:t>
      </w:r>
      <w:r w:rsidR="002E5C83" w:rsidRPr="004E5439">
        <w:rPr>
          <w:rFonts w:ascii="Century Gothic" w:hAnsi="Century Gothic" w:cs="Arial"/>
          <w:bCs/>
          <w:sz w:val="22"/>
          <w:szCs w:val="22"/>
        </w:rPr>
        <w:t>extra redundancy benefit being paid</w:t>
      </w:r>
      <w:r w:rsidRPr="004E5439">
        <w:rPr>
          <w:rFonts w:ascii="Century Gothic" w:hAnsi="Century Gothic" w:cs="Arial"/>
          <w:bCs/>
          <w:sz w:val="22"/>
          <w:szCs w:val="22"/>
        </w:rPr>
        <w:t xml:space="preserve">, the surplus </w:t>
      </w:r>
      <w:r w:rsidR="00CC02BE" w:rsidRPr="00CC02BE">
        <w:rPr>
          <w:rFonts w:ascii="Century Gothic" w:hAnsi="Century Gothic" w:cs="Arial"/>
          <w:bCs/>
          <w:sz w:val="22"/>
          <w:szCs w:val="22"/>
        </w:rPr>
        <w:t xml:space="preserve">in 15 years’ time </w:t>
      </w:r>
      <w:r w:rsidR="00CC02BE">
        <w:rPr>
          <w:rFonts w:ascii="Century Gothic" w:hAnsi="Century Gothic" w:cs="Arial"/>
          <w:bCs/>
          <w:sz w:val="22"/>
          <w:szCs w:val="22"/>
        </w:rPr>
        <w:t>is lower than that in scenario 2b</w:t>
      </w:r>
      <w:r w:rsidRPr="004E5439">
        <w:rPr>
          <w:rFonts w:ascii="Century Gothic" w:hAnsi="Century Gothic" w:cs="Arial"/>
          <w:bCs/>
          <w:sz w:val="22"/>
          <w:szCs w:val="22"/>
        </w:rPr>
        <w:t>.</w:t>
      </w:r>
    </w:p>
    <w:p w:rsidR="007D5848" w:rsidRDefault="007D5848" w:rsidP="007C58B8">
      <w:pPr>
        <w:spacing w:before="60" w:after="60" w:line="276" w:lineRule="auto"/>
        <w:jc w:val="both"/>
        <w:rPr>
          <w:rFonts w:ascii="Century Gothic" w:hAnsi="Century Gothic" w:cs="Arial"/>
          <w:bCs/>
          <w:sz w:val="22"/>
          <w:szCs w:val="22"/>
        </w:rPr>
      </w:pPr>
    </w:p>
    <w:p w:rsidR="003E5081" w:rsidRPr="004E5439" w:rsidRDefault="003E5081" w:rsidP="007C58B8">
      <w:pPr>
        <w:spacing w:before="60" w:after="60" w:line="276" w:lineRule="auto"/>
        <w:jc w:val="both"/>
        <w:rPr>
          <w:rFonts w:ascii="Century Gothic" w:hAnsi="Century Gothic" w:cs="Arial"/>
          <w:bCs/>
          <w:sz w:val="22"/>
          <w:szCs w:val="22"/>
        </w:rPr>
      </w:pPr>
    </w:p>
    <w:p w:rsidR="006A15D3" w:rsidRPr="008F220A" w:rsidRDefault="008F220A" w:rsidP="007C58B8">
      <w:pPr>
        <w:pStyle w:val="ListParagraph"/>
        <w:numPr>
          <w:ilvl w:val="0"/>
          <w:numId w:val="1"/>
        </w:numPr>
        <w:spacing w:before="60" w:after="60" w:line="276" w:lineRule="auto"/>
        <w:ind w:left="360"/>
        <w:jc w:val="both"/>
        <w:rPr>
          <w:rFonts w:ascii="Century Gothic" w:hAnsi="Century Gothic" w:cs="Arial"/>
          <w:b/>
          <w:bCs/>
          <w:sz w:val="22"/>
          <w:szCs w:val="22"/>
        </w:rPr>
      </w:pPr>
      <w:r w:rsidRPr="008F220A">
        <w:rPr>
          <w:rFonts w:ascii="Century Gothic" w:hAnsi="Century Gothic" w:cs="Arial"/>
          <w:b/>
          <w:bCs/>
          <w:sz w:val="22"/>
          <w:szCs w:val="22"/>
        </w:rPr>
        <w:t>10 other scenarios that might affect the progression of the scheme and</w:t>
      </w:r>
      <w:r w:rsidR="00051972">
        <w:rPr>
          <w:rFonts w:ascii="Century Gothic" w:hAnsi="Century Gothic" w:cs="Arial"/>
          <w:b/>
          <w:bCs/>
          <w:sz w:val="22"/>
          <w:szCs w:val="22"/>
        </w:rPr>
        <w:t xml:space="preserve"> </w:t>
      </w:r>
      <w:r w:rsidRPr="008F220A">
        <w:rPr>
          <w:rFonts w:ascii="Century Gothic" w:hAnsi="Century Gothic" w:cs="Arial"/>
          <w:b/>
          <w:bCs/>
          <w:sz w:val="22"/>
          <w:szCs w:val="22"/>
        </w:rPr>
        <w:t>contributions required.</w:t>
      </w:r>
    </w:p>
    <w:p w:rsidR="00627FD0" w:rsidRPr="00627FD0" w:rsidRDefault="0016375D"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rPr>
      </w:pPr>
      <w:r w:rsidRPr="0016375D">
        <w:rPr>
          <w:rFonts w:ascii="Century Gothic" w:hAnsi="Century Gothic" w:cs="Arial"/>
          <w:bCs/>
          <w:sz w:val="22"/>
          <w:szCs w:val="22"/>
          <w:lang w:val="en-US"/>
        </w:rPr>
        <w:t xml:space="preserve">The </w:t>
      </w:r>
      <w:r w:rsidR="00627FD0" w:rsidRPr="00627FD0">
        <w:rPr>
          <w:rFonts w:ascii="Century Gothic" w:hAnsi="Century Gothic" w:cs="Arial"/>
          <w:bCs/>
          <w:sz w:val="22"/>
          <w:szCs w:val="22"/>
        </w:rPr>
        <w:t>scheme's operating expenses</w:t>
      </w:r>
      <w:r w:rsidR="00627FD0">
        <w:rPr>
          <w:rFonts w:ascii="Century Gothic" w:hAnsi="Century Gothic" w:cs="Arial"/>
          <w:bCs/>
          <w:sz w:val="22"/>
          <w:szCs w:val="22"/>
          <w:lang w:val="en-US"/>
        </w:rPr>
        <w:t xml:space="preserve"> have increased and become material. The surplus will be reduced due the rise of the expenses.</w:t>
      </w:r>
    </w:p>
    <w:p w:rsidR="0016375D" w:rsidRPr="0016375D" w:rsidRDefault="0016375D" w:rsidP="007C58B8">
      <w:pPr>
        <w:adjustRightInd w:val="0"/>
        <w:snapToGrid w:val="0"/>
        <w:spacing w:line="276" w:lineRule="auto"/>
        <w:ind w:left="270"/>
        <w:jc w:val="both"/>
        <w:rPr>
          <w:rFonts w:ascii="Century Gothic" w:hAnsi="Century Gothic" w:cs="Arial"/>
          <w:bCs/>
          <w:sz w:val="22"/>
          <w:szCs w:val="22"/>
        </w:rPr>
      </w:pPr>
    </w:p>
    <w:p w:rsidR="00813B12" w:rsidRPr="00627FD0" w:rsidRDefault="006C20B8" w:rsidP="00171CE7">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sidRPr="00171CE7">
        <w:rPr>
          <w:rFonts w:ascii="Century Gothic" w:hAnsi="Century Gothic" w:cs="Arial"/>
          <w:bCs/>
          <w:sz w:val="22"/>
          <w:szCs w:val="22"/>
          <w:lang w:val="en-US"/>
        </w:rPr>
        <w:t>A counterparty the fund has</w:t>
      </w:r>
      <w:r w:rsidR="0015704B" w:rsidRPr="00171CE7">
        <w:rPr>
          <w:rFonts w:ascii="Century Gothic" w:hAnsi="Century Gothic" w:cs="Arial"/>
          <w:bCs/>
          <w:sz w:val="22"/>
          <w:szCs w:val="22"/>
          <w:lang w:val="en-US"/>
        </w:rPr>
        <w:t xml:space="preserve"> largely</w:t>
      </w:r>
      <w:r w:rsidRPr="00171CE7">
        <w:rPr>
          <w:rFonts w:ascii="Century Gothic" w:hAnsi="Century Gothic" w:cs="Arial"/>
          <w:bCs/>
          <w:sz w:val="22"/>
          <w:szCs w:val="22"/>
          <w:lang w:val="en-US"/>
        </w:rPr>
        <w:t xml:space="preserve"> invested in</w:t>
      </w:r>
      <w:r>
        <w:rPr>
          <w:rFonts w:ascii="Century Gothic" w:hAnsi="Century Gothic" w:cs="Arial"/>
          <w:bCs/>
          <w:sz w:val="22"/>
          <w:szCs w:val="22"/>
          <w:lang w:val="en-US"/>
        </w:rPr>
        <w:t xml:space="preserve"> </w:t>
      </w:r>
      <w:r w:rsidR="00884999">
        <w:rPr>
          <w:rFonts w:ascii="Century Gothic" w:hAnsi="Century Gothic" w:cs="Arial"/>
          <w:bCs/>
          <w:sz w:val="22"/>
          <w:szCs w:val="22"/>
          <w:lang w:val="en-US"/>
        </w:rPr>
        <w:t xml:space="preserve">has </w:t>
      </w:r>
      <w:r w:rsidR="00883DB9">
        <w:rPr>
          <w:rFonts w:ascii="Century Gothic" w:hAnsi="Century Gothic" w:cs="Arial"/>
          <w:bCs/>
          <w:sz w:val="22"/>
          <w:szCs w:val="22"/>
          <w:lang w:val="en-US"/>
        </w:rPr>
        <w:t>default</w:t>
      </w:r>
      <w:r>
        <w:rPr>
          <w:rFonts w:ascii="Century Gothic" w:hAnsi="Century Gothic" w:cs="Arial"/>
          <w:bCs/>
          <w:sz w:val="22"/>
          <w:szCs w:val="22"/>
          <w:lang w:val="en-US"/>
        </w:rPr>
        <w:t>ed</w:t>
      </w:r>
      <w:r w:rsidR="00883DB9">
        <w:rPr>
          <w:rFonts w:ascii="Century Gothic" w:hAnsi="Century Gothic" w:cs="Arial"/>
          <w:bCs/>
          <w:sz w:val="22"/>
          <w:szCs w:val="22"/>
          <w:lang w:val="en-US"/>
        </w:rPr>
        <w:t xml:space="preserve"> </w:t>
      </w:r>
      <w:r w:rsidR="0015704B">
        <w:rPr>
          <w:rFonts w:ascii="Century Gothic" w:hAnsi="Century Gothic" w:cs="Arial"/>
          <w:bCs/>
          <w:sz w:val="22"/>
          <w:szCs w:val="22"/>
          <w:lang w:val="en-US"/>
        </w:rPr>
        <w:t>on</w:t>
      </w:r>
      <w:r>
        <w:rPr>
          <w:rFonts w:ascii="Century Gothic" w:hAnsi="Century Gothic" w:cs="Arial"/>
          <w:bCs/>
          <w:sz w:val="22"/>
          <w:szCs w:val="22"/>
          <w:lang w:val="en-US"/>
        </w:rPr>
        <w:t xml:space="preserve"> repayment</w:t>
      </w:r>
      <w:r w:rsidR="00883DB9">
        <w:rPr>
          <w:rFonts w:ascii="Century Gothic" w:hAnsi="Century Gothic" w:cs="Arial"/>
          <w:bCs/>
          <w:sz w:val="22"/>
          <w:szCs w:val="22"/>
          <w:lang w:val="en-US"/>
        </w:rPr>
        <w:t xml:space="preserve">. Value of existing asset may be impaired, leading to a </w:t>
      </w:r>
      <w:r w:rsidRPr="006C20B8">
        <w:rPr>
          <w:rFonts w:ascii="Century Gothic" w:hAnsi="Century Gothic" w:cs="Arial"/>
          <w:bCs/>
          <w:sz w:val="22"/>
          <w:szCs w:val="22"/>
          <w:lang w:val="en-US"/>
        </w:rPr>
        <w:t xml:space="preserve">write-down </w:t>
      </w:r>
      <w:r>
        <w:rPr>
          <w:rFonts w:ascii="Century Gothic" w:hAnsi="Century Gothic" w:cs="Arial"/>
          <w:bCs/>
          <w:sz w:val="22"/>
          <w:szCs w:val="22"/>
          <w:lang w:val="en-US"/>
        </w:rPr>
        <w:t>on</w:t>
      </w:r>
      <w:r w:rsidR="00883DB9">
        <w:rPr>
          <w:rFonts w:ascii="Century Gothic" w:hAnsi="Century Gothic" w:cs="Arial"/>
          <w:bCs/>
          <w:sz w:val="22"/>
          <w:szCs w:val="22"/>
          <w:lang w:val="en-US"/>
        </w:rPr>
        <w:t xml:space="preserve"> fund </w:t>
      </w:r>
      <w:r>
        <w:rPr>
          <w:rFonts w:ascii="Century Gothic" w:hAnsi="Century Gothic" w:cs="Arial"/>
          <w:bCs/>
          <w:sz w:val="22"/>
          <w:szCs w:val="22"/>
          <w:lang w:val="en-US"/>
        </w:rPr>
        <w:t>values</w:t>
      </w:r>
      <w:r w:rsidR="00883DB9">
        <w:rPr>
          <w:rFonts w:ascii="Century Gothic" w:hAnsi="Century Gothic" w:cs="Arial"/>
          <w:bCs/>
          <w:sz w:val="22"/>
          <w:szCs w:val="22"/>
          <w:lang w:val="en-US"/>
        </w:rPr>
        <w:t>.</w:t>
      </w:r>
      <w:r>
        <w:rPr>
          <w:rFonts w:ascii="Century Gothic" w:hAnsi="Century Gothic" w:cs="Arial"/>
          <w:bCs/>
          <w:sz w:val="22"/>
          <w:szCs w:val="22"/>
          <w:lang w:val="en-US"/>
        </w:rPr>
        <w:t xml:space="preserve"> Hence more contribution may be required</w:t>
      </w:r>
      <w:r w:rsidR="001B14FD">
        <w:rPr>
          <w:rFonts w:ascii="Century Gothic" w:hAnsi="Century Gothic" w:cs="Arial"/>
          <w:bCs/>
          <w:sz w:val="22"/>
          <w:szCs w:val="22"/>
          <w:lang w:val="en-US"/>
        </w:rPr>
        <w:t xml:space="preserve"> </w:t>
      </w:r>
      <w:r w:rsidR="001B14FD">
        <w:rPr>
          <w:rFonts w:ascii="Century Gothic" w:hAnsi="Century Gothic" w:cs="Arial" w:hint="eastAsia"/>
          <w:bCs/>
          <w:sz w:val="22"/>
          <w:szCs w:val="22"/>
          <w:lang w:val="en-US"/>
        </w:rPr>
        <w:t>as</w:t>
      </w:r>
      <w:r w:rsidR="001B14FD">
        <w:rPr>
          <w:rFonts w:ascii="Century Gothic" w:hAnsi="Century Gothic" w:cs="Arial"/>
          <w:bCs/>
          <w:sz w:val="22"/>
          <w:szCs w:val="22"/>
          <w:lang w:val="en-US"/>
        </w:rPr>
        <w:t xml:space="preserve"> a remedy</w:t>
      </w:r>
      <w:r>
        <w:rPr>
          <w:rFonts w:ascii="Century Gothic" w:hAnsi="Century Gothic" w:cs="Arial"/>
          <w:bCs/>
          <w:sz w:val="22"/>
          <w:szCs w:val="22"/>
          <w:lang w:val="en-US"/>
        </w:rPr>
        <w:t>.</w:t>
      </w:r>
    </w:p>
    <w:p w:rsidR="0016375D" w:rsidRPr="0016375D" w:rsidRDefault="0016375D" w:rsidP="007C58B8">
      <w:pPr>
        <w:pStyle w:val="ListParagraph"/>
        <w:spacing w:line="276" w:lineRule="auto"/>
        <w:ind w:left="270"/>
        <w:jc w:val="both"/>
        <w:rPr>
          <w:rFonts w:ascii="Century Gothic" w:hAnsi="Century Gothic" w:cs="Arial"/>
          <w:bCs/>
          <w:sz w:val="22"/>
          <w:szCs w:val="22"/>
        </w:rPr>
      </w:pPr>
    </w:p>
    <w:p w:rsidR="00BA117A" w:rsidRPr="00627FD0" w:rsidRDefault="00D07416"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Pr>
          <w:rFonts w:ascii="Century Gothic" w:hAnsi="Century Gothic" w:cs="Arial"/>
          <w:bCs/>
          <w:sz w:val="22"/>
          <w:szCs w:val="22"/>
          <w:lang w:val="en-US"/>
        </w:rPr>
        <w:t xml:space="preserve">The firm has increased </w:t>
      </w:r>
      <w:r w:rsidR="00241255">
        <w:rPr>
          <w:rFonts w:ascii="Century Gothic" w:hAnsi="Century Gothic" w:cs="Arial"/>
          <w:bCs/>
          <w:sz w:val="22"/>
          <w:szCs w:val="22"/>
          <w:lang w:val="en-US"/>
        </w:rPr>
        <w:t xml:space="preserve">the </w:t>
      </w:r>
      <w:r>
        <w:rPr>
          <w:rFonts w:ascii="Century Gothic" w:hAnsi="Century Gothic" w:cs="Arial"/>
          <w:bCs/>
          <w:sz w:val="22"/>
          <w:szCs w:val="22"/>
          <w:lang w:val="en-US"/>
        </w:rPr>
        <w:t xml:space="preserve">salary inflation to retain its employees as </w:t>
      </w:r>
      <w:r w:rsidR="00241255">
        <w:rPr>
          <w:rFonts w:ascii="Century Gothic" w:hAnsi="Century Gothic" w:cs="Arial"/>
          <w:bCs/>
          <w:sz w:val="22"/>
          <w:szCs w:val="22"/>
          <w:lang w:val="en-US"/>
        </w:rPr>
        <w:t>a</w:t>
      </w:r>
      <w:r>
        <w:rPr>
          <w:rFonts w:ascii="Century Gothic" w:hAnsi="Century Gothic" w:cs="Arial"/>
          <w:bCs/>
          <w:sz w:val="22"/>
          <w:szCs w:val="22"/>
          <w:lang w:val="en-US"/>
        </w:rPr>
        <w:t xml:space="preserve"> result of a lack of professionals</w:t>
      </w:r>
      <w:r w:rsidR="00241255">
        <w:rPr>
          <w:rFonts w:ascii="Century Gothic" w:hAnsi="Century Gothic" w:cs="Arial"/>
          <w:bCs/>
          <w:sz w:val="22"/>
          <w:szCs w:val="22"/>
          <w:lang w:val="en-US"/>
        </w:rPr>
        <w:t xml:space="preserve"> in the labor market</w:t>
      </w:r>
      <w:r>
        <w:rPr>
          <w:rFonts w:ascii="Century Gothic" w:hAnsi="Century Gothic" w:cs="Arial"/>
          <w:bCs/>
          <w:sz w:val="22"/>
          <w:szCs w:val="22"/>
          <w:lang w:val="en-US"/>
        </w:rPr>
        <w:t xml:space="preserve">. </w:t>
      </w:r>
      <w:r w:rsidR="006C20B8">
        <w:rPr>
          <w:rFonts w:ascii="Century Gothic" w:hAnsi="Century Gothic" w:cs="Arial"/>
          <w:bCs/>
          <w:sz w:val="22"/>
          <w:szCs w:val="22"/>
          <w:lang w:val="en-US"/>
        </w:rPr>
        <w:t>More</w:t>
      </w:r>
      <w:r>
        <w:rPr>
          <w:rFonts w:ascii="Century Gothic" w:hAnsi="Century Gothic" w:cs="Arial"/>
          <w:bCs/>
          <w:sz w:val="22"/>
          <w:szCs w:val="22"/>
          <w:lang w:val="en-US"/>
        </w:rPr>
        <w:t xml:space="preserve"> contribution is required into the scheme.</w:t>
      </w:r>
    </w:p>
    <w:p w:rsidR="0016375D" w:rsidRPr="0016375D" w:rsidRDefault="0016375D" w:rsidP="007C58B8">
      <w:pPr>
        <w:adjustRightInd w:val="0"/>
        <w:snapToGrid w:val="0"/>
        <w:spacing w:line="276" w:lineRule="auto"/>
        <w:ind w:left="270"/>
        <w:jc w:val="both"/>
        <w:rPr>
          <w:rFonts w:ascii="Century Gothic" w:hAnsi="Century Gothic" w:cs="Arial"/>
          <w:bCs/>
          <w:sz w:val="22"/>
          <w:szCs w:val="22"/>
        </w:rPr>
      </w:pPr>
    </w:p>
    <w:p w:rsidR="00BA117A" w:rsidRPr="00627FD0" w:rsidRDefault="00241255"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Pr>
          <w:rFonts w:ascii="Century Gothic" w:hAnsi="Century Gothic" w:cs="Arial"/>
          <w:bCs/>
          <w:sz w:val="22"/>
          <w:szCs w:val="22"/>
          <w:lang w:val="en-US"/>
        </w:rPr>
        <w:t xml:space="preserve">There is </w:t>
      </w:r>
      <w:r w:rsidR="004C44DB">
        <w:rPr>
          <w:rFonts w:ascii="Century Gothic" w:hAnsi="Century Gothic" w:cs="Arial"/>
          <w:bCs/>
          <w:sz w:val="22"/>
          <w:szCs w:val="22"/>
          <w:lang w:val="en-US"/>
        </w:rPr>
        <w:t>a downturn in the equity market which leads to a decrease in t</w:t>
      </w:r>
      <w:r>
        <w:rPr>
          <w:rFonts w:ascii="Century Gothic" w:hAnsi="Century Gothic" w:cs="Arial"/>
          <w:bCs/>
          <w:sz w:val="22"/>
          <w:szCs w:val="22"/>
          <w:lang w:val="en-US"/>
        </w:rPr>
        <w:t>he in</w:t>
      </w:r>
      <w:r w:rsidR="004C44DB">
        <w:rPr>
          <w:rFonts w:ascii="Century Gothic" w:hAnsi="Century Gothic" w:cs="Arial"/>
          <w:bCs/>
          <w:sz w:val="22"/>
          <w:szCs w:val="22"/>
          <w:lang w:val="en-US"/>
        </w:rPr>
        <w:t>vestment rate. The firm has to contribute more to maintain the previous pace of funding.</w:t>
      </w:r>
    </w:p>
    <w:p w:rsidR="0016375D" w:rsidRPr="0016375D" w:rsidRDefault="0016375D" w:rsidP="007C58B8">
      <w:pPr>
        <w:pStyle w:val="ListParagraph"/>
        <w:ind w:left="270"/>
        <w:jc w:val="both"/>
        <w:rPr>
          <w:rFonts w:ascii="Century Gothic" w:hAnsi="Century Gothic" w:cs="Arial"/>
          <w:bCs/>
          <w:sz w:val="22"/>
          <w:szCs w:val="22"/>
        </w:rPr>
      </w:pPr>
    </w:p>
    <w:p w:rsidR="00BA117A" w:rsidRPr="00627FD0" w:rsidRDefault="00101E05"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Pr>
          <w:rFonts w:ascii="Century Gothic" w:hAnsi="Century Gothic" w:cs="Arial"/>
          <w:bCs/>
          <w:sz w:val="22"/>
          <w:szCs w:val="22"/>
        </w:rPr>
        <w:t>The law mandating b</w:t>
      </w:r>
      <w:r w:rsidRPr="00101E05">
        <w:rPr>
          <w:rFonts w:ascii="Century Gothic" w:hAnsi="Century Gothic" w:cs="Arial"/>
          <w:bCs/>
          <w:sz w:val="22"/>
          <w:szCs w:val="22"/>
        </w:rPr>
        <w:t>enefits on wit</w:t>
      </w:r>
      <w:r>
        <w:rPr>
          <w:rFonts w:ascii="Century Gothic" w:hAnsi="Century Gothic" w:cs="Arial"/>
          <w:bCs/>
          <w:sz w:val="22"/>
          <w:szCs w:val="22"/>
        </w:rPr>
        <w:t>hdrawal</w:t>
      </w:r>
      <w:r w:rsidRPr="00101E05">
        <w:rPr>
          <w:rFonts w:ascii="Century Gothic" w:hAnsi="Century Gothic" w:cs="Arial"/>
          <w:bCs/>
          <w:sz w:val="22"/>
          <w:szCs w:val="22"/>
        </w:rPr>
        <w:t xml:space="preserve"> </w:t>
      </w:r>
      <w:r>
        <w:rPr>
          <w:rFonts w:ascii="Century Gothic" w:hAnsi="Century Gothic" w:cs="Arial"/>
          <w:bCs/>
          <w:sz w:val="22"/>
          <w:szCs w:val="22"/>
        </w:rPr>
        <w:t>has changed that withdrawal benefit should be equal to 100</w:t>
      </w:r>
      <w:r w:rsidRPr="00101E05">
        <w:rPr>
          <w:rFonts w:ascii="Century Gothic" w:hAnsi="Century Gothic" w:cs="Arial"/>
          <w:bCs/>
          <w:sz w:val="22"/>
          <w:szCs w:val="22"/>
        </w:rPr>
        <w:t>% of the actuaria</w:t>
      </w:r>
      <w:r>
        <w:rPr>
          <w:rFonts w:ascii="Century Gothic" w:hAnsi="Century Gothic" w:cs="Arial"/>
          <w:bCs/>
          <w:sz w:val="22"/>
          <w:szCs w:val="22"/>
        </w:rPr>
        <w:t>l reserve. As a result, the funding will have less surplus (more deficit).</w:t>
      </w:r>
    </w:p>
    <w:p w:rsidR="00CF611C" w:rsidRPr="00BD0F14" w:rsidRDefault="00CF611C" w:rsidP="00BD0F14">
      <w:pPr>
        <w:rPr>
          <w:rFonts w:ascii="Century Gothic" w:hAnsi="Century Gothic" w:cs="Arial"/>
          <w:bCs/>
          <w:sz w:val="22"/>
          <w:szCs w:val="22"/>
          <w:lang w:val="en-US"/>
        </w:rPr>
      </w:pPr>
    </w:p>
    <w:p w:rsidR="00CF611C" w:rsidRPr="00CF611C" w:rsidRDefault="00CF611C" w:rsidP="00CF611C">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Pr>
          <w:rFonts w:ascii="Century Gothic" w:hAnsi="Century Gothic" w:cs="Arial"/>
          <w:bCs/>
          <w:sz w:val="22"/>
          <w:szCs w:val="22"/>
          <w:lang w:val="en-US"/>
        </w:rPr>
        <w:t>T</w:t>
      </w:r>
      <w:r w:rsidRPr="00CF611C">
        <w:rPr>
          <w:rFonts w:ascii="Century Gothic" w:hAnsi="Century Gothic" w:cs="Arial"/>
          <w:bCs/>
          <w:sz w:val="22"/>
          <w:szCs w:val="22"/>
          <w:lang w:val="en-US"/>
        </w:rPr>
        <w:t xml:space="preserve">he retirement benefit is </w:t>
      </w:r>
      <w:r w:rsidR="00CF1226">
        <w:rPr>
          <w:rFonts w:ascii="Century Gothic" w:hAnsi="Century Gothic" w:cs="Arial"/>
          <w:bCs/>
          <w:sz w:val="22"/>
          <w:szCs w:val="22"/>
          <w:lang w:val="en-US"/>
        </w:rPr>
        <w:t xml:space="preserve">changed to be </w:t>
      </w:r>
      <w:r w:rsidRPr="00CF611C">
        <w:rPr>
          <w:rFonts w:ascii="Century Gothic" w:hAnsi="Century Gothic" w:cs="Arial"/>
          <w:bCs/>
          <w:sz w:val="22"/>
          <w:szCs w:val="22"/>
          <w:lang w:val="en-US"/>
        </w:rPr>
        <w:t>based on the average ordinary earnings in the past 5 years prior to retirement</w:t>
      </w:r>
      <w:r>
        <w:rPr>
          <w:rFonts w:ascii="Century Gothic" w:hAnsi="Century Gothic" w:cs="Arial"/>
          <w:bCs/>
          <w:sz w:val="22"/>
          <w:szCs w:val="22"/>
          <w:lang w:val="en-US"/>
        </w:rPr>
        <w:t xml:space="preserve"> rather than the final salary alone</w:t>
      </w:r>
      <w:r w:rsidRPr="00CF611C">
        <w:rPr>
          <w:rFonts w:ascii="Century Gothic" w:hAnsi="Century Gothic" w:cs="Arial"/>
          <w:bCs/>
          <w:sz w:val="22"/>
          <w:szCs w:val="22"/>
          <w:lang w:val="en-US"/>
        </w:rPr>
        <w:t xml:space="preserve">.  </w:t>
      </w:r>
      <w:r>
        <w:rPr>
          <w:rFonts w:ascii="Century Gothic" w:hAnsi="Century Gothic" w:cs="Arial"/>
          <w:bCs/>
          <w:sz w:val="22"/>
          <w:szCs w:val="22"/>
          <w:lang w:val="en-US"/>
        </w:rPr>
        <w:t>It is likely this will decrease the salary amount which is used to determine the retirement benefit, which means less retirement benefit will be made and hence less contribution is needed from the employer.</w:t>
      </w:r>
    </w:p>
    <w:p w:rsidR="0016375D" w:rsidRPr="00CF611C" w:rsidRDefault="0016375D" w:rsidP="00BD0F14">
      <w:pPr>
        <w:adjustRightInd w:val="0"/>
        <w:snapToGrid w:val="0"/>
        <w:spacing w:line="276" w:lineRule="auto"/>
        <w:jc w:val="both"/>
        <w:rPr>
          <w:rFonts w:ascii="Century Gothic" w:hAnsi="Century Gothic" w:cs="Arial"/>
          <w:bCs/>
          <w:sz w:val="22"/>
          <w:szCs w:val="22"/>
          <w:lang w:val="en-US"/>
        </w:rPr>
      </w:pPr>
    </w:p>
    <w:p w:rsidR="00F245B2" w:rsidRDefault="00F245B2"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Pr>
          <w:rFonts w:ascii="Century Gothic" w:hAnsi="Century Gothic" w:cs="Arial"/>
          <w:bCs/>
          <w:sz w:val="22"/>
          <w:szCs w:val="22"/>
          <w:lang w:val="en-US"/>
        </w:rPr>
        <w:t>The firm’s new strategy is to hire more experienced people</w:t>
      </w:r>
      <w:r w:rsidR="005864BE">
        <w:rPr>
          <w:rFonts w:ascii="Century Gothic" w:hAnsi="Century Gothic" w:cs="Arial"/>
          <w:bCs/>
          <w:sz w:val="22"/>
          <w:szCs w:val="22"/>
          <w:lang w:val="en-US"/>
        </w:rPr>
        <w:t xml:space="preserve"> for both Grades</w:t>
      </w:r>
      <w:r>
        <w:rPr>
          <w:rFonts w:ascii="Century Gothic" w:hAnsi="Century Gothic" w:cs="Arial"/>
          <w:bCs/>
          <w:sz w:val="22"/>
          <w:szCs w:val="22"/>
          <w:lang w:val="en-US"/>
        </w:rPr>
        <w:t xml:space="preserve">. The increase in average entry age will lead to </w:t>
      </w:r>
      <w:r w:rsidR="001B14FD">
        <w:rPr>
          <w:rFonts w:ascii="Century Gothic" w:hAnsi="Century Gothic" w:cs="Arial"/>
          <w:bCs/>
          <w:sz w:val="22"/>
          <w:szCs w:val="22"/>
          <w:lang w:val="en-US"/>
        </w:rPr>
        <w:t>a faster</w:t>
      </w:r>
      <w:r>
        <w:rPr>
          <w:rFonts w:ascii="Century Gothic" w:hAnsi="Century Gothic" w:cs="Arial"/>
          <w:bCs/>
          <w:sz w:val="22"/>
          <w:szCs w:val="22"/>
          <w:lang w:val="en-US"/>
        </w:rPr>
        <w:t xml:space="preserve"> contribution pace, given the </w:t>
      </w:r>
      <w:r w:rsidR="00884999">
        <w:rPr>
          <w:rFonts w:ascii="Century Gothic" w:hAnsi="Century Gothic" w:cs="Arial"/>
          <w:bCs/>
          <w:sz w:val="22"/>
          <w:szCs w:val="22"/>
          <w:lang w:val="en-US"/>
        </w:rPr>
        <w:t xml:space="preserve">employer has a shorter </w:t>
      </w:r>
      <w:r>
        <w:rPr>
          <w:rFonts w:ascii="Century Gothic" w:hAnsi="Century Gothic" w:cs="Arial"/>
          <w:bCs/>
          <w:sz w:val="22"/>
          <w:szCs w:val="22"/>
          <w:lang w:val="en-US"/>
        </w:rPr>
        <w:t xml:space="preserve">period </w:t>
      </w:r>
      <w:r w:rsidR="00884999">
        <w:rPr>
          <w:rFonts w:ascii="Century Gothic" w:hAnsi="Century Gothic" w:cs="Arial"/>
          <w:bCs/>
          <w:sz w:val="22"/>
          <w:szCs w:val="22"/>
          <w:lang w:val="en-US"/>
        </w:rPr>
        <w:t>of time to contribute</w:t>
      </w:r>
      <w:r>
        <w:rPr>
          <w:rFonts w:ascii="Century Gothic" w:hAnsi="Century Gothic" w:cs="Arial"/>
          <w:bCs/>
          <w:sz w:val="22"/>
          <w:szCs w:val="22"/>
          <w:lang w:val="en-US"/>
        </w:rPr>
        <w:t xml:space="preserve"> for members who join at older age.</w:t>
      </w:r>
    </w:p>
    <w:p w:rsidR="00F245B2" w:rsidRPr="00BC1CA3" w:rsidRDefault="00F245B2" w:rsidP="007C58B8">
      <w:pPr>
        <w:jc w:val="both"/>
        <w:rPr>
          <w:rFonts w:ascii="Century Gothic" w:hAnsi="Century Gothic" w:cs="Arial"/>
          <w:bCs/>
          <w:sz w:val="22"/>
          <w:szCs w:val="22"/>
          <w:lang w:val="en-US"/>
        </w:rPr>
      </w:pPr>
    </w:p>
    <w:p w:rsidR="005864BE" w:rsidRDefault="005864BE"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Pr>
          <w:rFonts w:ascii="Century Gothic" w:hAnsi="Century Gothic" w:cs="Arial"/>
          <w:bCs/>
          <w:sz w:val="22"/>
          <w:szCs w:val="22"/>
          <w:lang w:val="en-US"/>
        </w:rPr>
        <w:t xml:space="preserve">The firm decides to change its employee </w:t>
      </w:r>
      <w:r w:rsidR="00F45649">
        <w:rPr>
          <w:rFonts w:ascii="Century Gothic" w:hAnsi="Century Gothic" w:cs="Arial"/>
          <w:bCs/>
          <w:sz w:val="22"/>
          <w:szCs w:val="22"/>
          <w:lang w:val="en-US"/>
        </w:rPr>
        <w:t>structure</w:t>
      </w:r>
      <w:r>
        <w:rPr>
          <w:rFonts w:ascii="Century Gothic" w:hAnsi="Century Gothic" w:cs="Arial"/>
          <w:bCs/>
          <w:sz w:val="22"/>
          <w:szCs w:val="22"/>
          <w:lang w:val="en-US"/>
        </w:rPr>
        <w:t xml:space="preserve"> to have more professional (Grade A) employees and less manual (Grade B) employees. The contribution will </w:t>
      </w:r>
      <w:r w:rsidR="0030003F">
        <w:rPr>
          <w:rFonts w:ascii="Century Gothic" w:hAnsi="Century Gothic" w:cs="Arial"/>
          <w:bCs/>
          <w:sz w:val="22"/>
          <w:szCs w:val="22"/>
          <w:lang w:val="en-US"/>
        </w:rPr>
        <w:t xml:space="preserve">have to </w:t>
      </w:r>
      <w:r>
        <w:rPr>
          <w:rFonts w:ascii="Century Gothic" w:hAnsi="Century Gothic" w:cs="Arial"/>
          <w:bCs/>
          <w:sz w:val="22"/>
          <w:szCs w:val="22"/>
          <w:lang w:val="en-US"/>
        </w:rPr>
        <w:t xml:space="preserve">increase since the Grade </w:t>
      </w:r>
      <w:proofErr w:type="gramStart"/>
      <w:r>
        <w:rPr>
          <w:rFonts w:ascii="Century Gothic" w:hAnsi="Century Gothic" w:cs="Arial"/>
          <w:bCs/>
          <w:sz w:val="22"/>
          <w:szCs w:val="22"/>
          <w:lang w:val="en-US"/>
        </w:rPr>
        <w:t>A</w:t>
      </w:r>
      <w:proofErr w:type="gramEnd"/>
      <w:r>
        <w:rPr>
          <w:rFonts w:ascii="Century Gothic" w:hAnsi="Century Gothic" w:cs="Arial"/>
          <w:bCs/>
          <w:sz w:val="22"/>
          <w:szCs w:val="22"/>
          <w:lang w:val="en-US"/>
        </w:rPr>
        <w:t xml:space="preserve"> employees have higher average salary and accrual rate.</w:t>
      </w:r>
    </w:p>
    <w:p w:rsidR="005864BE" w:rsidRPr="005864BE" w:rsidRDefault="005864BE" w:rsidP="007C58B8">
      <w:pPr>
        <w:pStyle w:val="ListParagraph"/>
        <w:jc w:val="both"/>
        <w:rPr>
          <w:rFonts w:ascii="Century Gothic" w:hAnsi="Century Gothic" w:cs="Arial"/>
          <w:bCs/>
          <w:sz w:val="22"/>
          <w:szCs w:val="22"/>
          <w:lang w:val="en-US"/>
        </w:rPr>
      </w:pPr>
    </w:p>
    <w:p w:rsidR="00BA117A" w:rsidRPr="00627FD0" w:rsidRDefault="00A31E7A"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Pr>
          <w:rFonts w:ascii="Century Gothic" w:hAnsi="Century Gothic" w:cs="Arial"/>
          <w:bCs/>
          <w:sz w:val="22"/>
          <w:szCs w:val="22"/>
          <w:lang w:val="en-US"/>
        </w:rPr>
        <w:t xml:space="preserve">The normal retirement benefit becomes </w:t>
      </w:r>
      <w:r w:rsidR="004E39C1">
        <w:rPr>
          <w:rFonts w:ascii="Century Gothic" w:hAnsi="Century Gothic" w:cs="Arial"/>
          <w:bCs/>
          <w:sz w:val="22"/>
          <w:szCs w:val="22"/>
          <w:lang w:val="en-US"/>
        </w:rPr>
        <w:t xml:space="preserve">an </w:t>
      </w:r>
      <w:r w:rsidR="00996B13">
        <w:rPr>
          <w:rFonts w:ascii="Century Gothic" w:hAnsi="Century Gothic" w:cs="Arial"/>
          <w:bCs/>
          <w:sz w:val="22"/>
          <w:szCs w:val="22"/>
          <w:lang w:val="en-US"/>
        </w:rPr>
        <w:t>annuity</w:t>
      </w:r>
      <w:r w:rsidR="004E39C1">
        <w:rPr>
          <w:rFonts w:ascii="Century Gothic" w:hAnsi="Century Gothic" w:cs="Arial"/>
          <w:bCs/>
          <w:sz w:val="22"/>
          <w:szCs w:val="22"/>
          <w:lang w:val="en-US"/>
        </w:rPr>
        <w:t xml:space="preserve"> instead of a lump-sum</w:t>
      </w:r>
      <w:r>
        <w:rPr>
          <w:rFonts w:ascii="Century Gothic" w:hAnsi="Century Gothic" w:cs="Arial"/>
          <w:bCs/>
          <w:sz w:val="22"/>
          <w:szCs w:val="22"/>
          <w:lang w:val="en-US"/>
        </w:rPr>
        <w:t>. The scheme should invest in assets with longer term to support the future annuity payments. The investment rate may increase as a result.</w:t>
      </w:r>
    </w:p>
    <w:p w:rsidR="00051957" w:rsidRDefault="00051957" w:rsidP="007C58B8">
      <w:pPr>
        <w:adjustRightInd w:val="0"/>
        <w:snapToGrid w:val="0"/>
        <w:spacing w:line="276" w:lineRule="auto"/>
        <w:jc w:val="both"/>
        <w:rPr>
          <w:rFonts w:ascii="Century Gothic" w:hAnsi="Century Gothic" w:cs="Arial"/>
          <w:bCs/>
          <w:sz w:val="22"/>
          <w:szCs w:val="22"/>
        </w:rPr>
      </w:pPr>
    </w:p>
    <w:p w:rsidR="006C20B8" w:rsidRPr="006C20B8" w:rsidRDefault="005A4262" w:rsidP="006C20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sidRPr="006C20B8">
        <w:rPr>
          <w:rFonts w:ascii="Century Gothic" w:hAnsi="Century Gothic" w:cs="Arial"/>
          <w:bCs/>
          <w:sz w:val="22"/>
          <w:szCs w:val="22"/>
          <w:lang w:val="en-US"/>
        </w:rPr>
        <w:t>The jurisdiction has p</w:t>
      </w:r>
      <w:r w:rsidR="00A84C0D" w:rsidRPr="006C20B8">
        <w:rPr>
          <w:rFonts w:ascii="Century Gothic" w:hAnsi="Century Gothic" w:cs="Arial"/>
          <w:bCs/>
          <w:sz w:val="22"/>
          <w:szCs w:val="22"/>
          <w:lang w:val="en-US"/>
        </w:rPr>
        <w:t>ostpone</w:t>
      </w:r>
      <w:r w:rsidRPr="006C20B8">
        <w:rPr>
          <w:rFonts w:ascii="Century Gothic" w:hAnsi="Century Gothic" w:cs="Arial"/>
          <w:bCs/>
          <w:sz w:val="22"/>
          <w:szCs w:val="22"/>
          <w:lang w:val="en-US"/>
        </w:rPr>
        <w:t>d</w:t>
      </w:r>
      <w:r w:rsidR="00A84C0D" w:rsidRPr="006C20B8">
        <w:rPr>
          <w:rFonts w:ascii="Century Gothic" w:hAnsi="Century Gothic" w:cs="Arial"/>
          <w:bCs/>
          <w:sz w:val="22"/>
          <w:szCs w:val="22"/>
          <w:lang w:val="en-US"/>
        </w:rPr>
        <w:t xml:space="preserve"> the NRA by 5 years for both Grades</w:t>
      </w:r>
      <w:r w:rsidRPr="006C20B8">
        <w:rPr>
          <w:rFonts w:ascii="Century Gothic" w:hAnsi="Century Gothic" w:cs="Arial"/>
          <w:bCs/>
          <w:sz w:val="22"/>
          <w:szCs w:val="22"/>
          <w:lang w:val="en-US"/>
        </w:rPr>
        <w:t xml:space="preserve">. More contribution is required </w:t>
      </w:r>
      <w:r w:rsidR="00F45649" w:rsidRPr="006C20B8">
        <w:rPr>
          <w:rFonts w:ascii="Century Gothic" w:hAnsi="Century Gothic" w:cs="Arial"/>
          <w:bCs/>
          <w:sz w:val="22"/>
          <w:szCs w:val="22"/>
          <w:lang w:val="en-US"/>
        </w:rPr>
        <w:t>to fund the increasing retirement benefit as a result of longer period of service.</w:t>
      </w:r>
      <w:r w:rsidR="006C20B8" w:rsidRPr="006C20B8">
        <w:rPr>
          <w:rFonts w:ascii="Century Gothic" w:hAnsi="Century Gothic" w:cs="Arial"/>
          <w:bCs/>
          <w:sz w:val="22"/>
          <w:szCs w:val="22"/>
          <w:lang w:val="en-US"/>
        </w:rPr>
        <w:t xml:space="preserve"> Also due to the</w:t>
      </w:r>
      <w:r w:rsidR="006C20B8">
        <w:rPr>
          <w:rFonts w:ascii="Century Gothic" w:hAnsi="Century Gothic" w:cs="Arial"/>
          <w:bCs/>
          <w:sz w:val="22"/>
          <w:szCs w:val="22"/>
          <w:lang w:val="en-US"/>
        </w:rPr>
        <w:t xml:space="preserve"> longer</w:t>
      </w:r>
      <w:r w:rsidR="006C20B8" w:rsidRPr="006C20B8">
        <w:rPr>
          <w:rFonts w:ascii="Century Gothic" w:hAnsi="Century Gothic" w:cs="Arial"/>
          <w:bCs/>
          <w:sz w:val="22"/>
          <w:szCs w:val="22"/>
          <w:lang w:val="en-US"/>
        </w:rPr>
        <w:t xml:space="preserve"> accrued period, the pace of funding may be slower.</w:t>
      </w:r>
    </w:p>
    <w:p w:rsidR="00F45649" w:rsidRDefault="00F45649" w:rsidP="007C58B8">
      <w:pPr>
        <w:adjustRightInd w:val="0"/>
        <w:snapToGrid w:val="0"/>
        <w:spacing w:line="276" w:lineRule="auto"/>
        <w:jc w:val="both"/>
        <w:rPr>
          <w:rFonts w:ascii="Century Gothic" w:hAnsi="Century Gothic" w:cs="Arial"/>
          <w:bCs/>
          <w:sz w:val="22"/>
          <w:szCs w:val="22"/>
        </w:rPr>
      </w:pPr>
    </w:p>
    <w:p w:rsidR="004310D1" w:rsidRDefault="004310D1" w:rsidP="007C58B8">
      <w:pPr>
        <w:adjustRightInd w:val="0"/>
        <w:snapToGrid w:val="0"/>
        <w:spacing w:line="276" w:lineRule="auto"/>
        <w:jc w:val="both"/>
        <w:rPr>
          <w:rFonts w:ascii="Century Gothic" w:hAnsi="Century Gothic" w:cs="Arial"/>
          <w:bCs/>
          <w:sz w:val="22"/>
          <w:szCs w:val="22"/>
        </w:rPr>
      </w:pPr>
    </w:p>
    <w:p w:rsidR="00A91516" w:rsidRDefault="00A91516" w:rsidP="007C58B8">
      <w:pPr>
        <w:adjustRightInd w:val="0"/>
        <w:snapToGrid w:val="0"/>
        <w:spacing w:line="276" w:lineRule="auto"/>
        <w:jc w:val="both"/>
        <w:rPr>
          <w:rFonts w:ascii="Century Gothic" w:hAnsi="Century Gothic" w:cs="Arial"/>
          <w:bCs/>
          <w:sz w:val="22"/>
          <w:szCs w:val="22"/>
        </w:rPr>
      </w:pPr>
    </w:p>
    <w:p w:rsidR="00A91516" w:rsidRDefault="00A91516" w:rsidP="007C58B8">
      <w:pPr>
        <w:adjustRightInd w:val="0"/>
        <w:snapToGrid w:val="0"/>
        <w:spacing w:line="276" w:lineRule="auto"/>
        <w:jc w:val="both"/>
        <w:rPr>
          <w:rFonts w:ascii="Century Gothic" w:hAnsi="Century Gothic" w:cs="Arial"/>
          <w:bCs/>
          <w:sz w:val="22"/>
          <w:szCs w:val="22"/>
        </w:rPr>
      </w:pPr>
    </w:p>
    <w:p w:rsidR="00A91516" w:rsidRDefault="00A91516" w:rsidP="007C58B8">
      <w:pPr>
        <w:adjustRightInd w:val="0"/>
        <w:snapToGrid w:val="0"/>
        <w:spacing w:line="276" w:lineRule="auto"/>
        <w:jc w:val="both"/>
        <w:rPr>
          <w:rFonts w:ascii="Century Gothic" w:hAnsi="Century Gothic" w:cs="Arial"/>
          <w:bCs/>
          <w:sz w:val="22"/>
          <w:szCs w:val="22"/>
        </w:rPr>
      </w:pPr>
    </w:p>
    <w:p w:rsidR="00A91516" w:rsidRDefault="00A91516" w:rsidP="007C58B8">
      <w:pPr>
        <w:adjustRightInd w:val="0"/>
        <w:snapToGrid w:val="0"/>
        <w:spacing w:line="276" w:lineRule="auto"/>
        <w:jc w:val="both"/>
        <w:rPr>
          <w:rFonts w:ascii="Century Gothic" w:hAnsi="Century Gothic" w:cs="Arial"/>
          <w:bCs/>
          <w:sz w:val="22"/>
          <w:szCs w:val="22"/>
        </w:rPr>
      </w:pPr>
    </w:p>
    <w:p w:rsidR="00A91516" w:rsidRDefault="00A91516" w:rsidP="007C58B8">
      <w:pPr>
        <w:adjustRightInd w:val="0"/>
        <w:snapToGrid w:val="0"/>
        <w:spacing w:line="276" w:lineRule="auto"/>
        <w:jc w:val="both"/>
        <w:rPr>
          <w:rFonts w:ascii="Century Gothic" w:hAnsi="Century Gothic" w:cs="Arial"/>
          <w:bCs/>
          <w:sz w:val="22"/>
          <w:szCs w:val="22"/>
        </w:rPr>
      </w:pPr>
    </w:p>
    <w:p w:rsidR="00A91516" w:rsidRDefault="00A91516" w:rsidP="007C58B8">
      <w:pPr>
        <w:adjustRightInd w:val="0"/>
        <w:snapToGrid w:val="0"/>
        <w:spacing w:line="276" w:lineRule="auto"/>
        <w:jc w:val="both"/>
        <w:rPr>
          <w:rFonts w:ascii="Century Gothic" w:hAnsi="Century Gothic" w:cs="Arial"/>
          <w:bCs/>
          <w:sz w:val="22"/>
          <w:szCs w:val="22"/>
        </w:rPr>
      </w:pPr>
    </w:p>
    <w:p w:rsidR="00A91516" w:rsidRPr="00051957" w:rsidRDefault="00A91516" w:rsidP="007C58B8">
      <w:pPr>
        <w:adjustRightInd w:val="0"/>
        <w:snapToGrid w:val="0"/>
        <w:spacing w:line="276" w:lineRule="auto"/>
        <w:jc w:val="both"/>
        <w:rPr>
          <w:rFonts w:ascii="Century Gothic" w:hAnsi="Century Gothic" w:cs="Arial"/>
          <w:bCs/>
          <w:sz w:val="22"/>
          <w:szCs w:val="22"/>
        </w:rPr>
      </w:pPr>
      <w:bookmarkStart w:id="2" w:name="_GoBack"/>
      <w:bookmarkEnd w:id="2"/>
    </w:p>
    <w:p w:rsidR="00082787" w:rsidRPr="00082787" w:rsidRDefault="00082787" w:rsidP="007C58B8">
      <w:pPr>
        <w:pStyle w:val="ListParagraph"/>
        <w:numPr>
          <w:ilvl w:val="0"/>
          <w:numId w:val="1"/>
        </w:numPr>
        <w:spacing w:before="60" w:after="60" w:line="276" w:lineRule="auto"/>
        <w:ind w:left="360"/>
        <w:jc w:val="both"/>
        <w:rPr>
          <w:rFonts w:ascii="Century Gothic" w:hAnsi="Century Gothic" w:cs="Arial"/>
          <w:b/>
          <w:bCs/>
          <w:sz w:val="22"/>
          <w:szCs w:val="22"/>
        </w:rPr>
      </w:pPr>
      <w:r w:rsidRPr="00082787">
        <w:rPr>
          <w:rFonts w:ascii="Century Gothic" w:hAnsi="Century Gothic" w:cs="Arial"/>
          <w:b/>
          <w:bCs/>
          <w:sz w:val="22"/>
          <w:szCs w:val="22"/>
        </w:rPr>
        <w:lastRenderedPageBreak/>
        <w:t>Memo</w:t>
      </w:r>
    </w:p>
    <w:p w:rsidR="00082787" w:rsidRPr="00082787" w:rsidRDefault="00082787" w:rsidP="007C58B8">
      <w:pPr>
        <w:spacing w:before="60" w:after="60" w:line="276" w:lineRule="auto"/>
        <w:jc w:val="both"/>
        <w:rPr>
          <w:rFonts w:ascii="Century Gothic" w:hAnsi="Century Gothic" w:cs="Arial"/>
          <w:bCs/>
          <w:sz w:val="22"/>
          <w:szCs w:val="22"/>
        </w:rPr>
      </w:pPr>
      <w:r w:rsidRPr="00082787">
        <w:rPr>
          <w:rFonts w:ascii="Century Gothic" w:hAnsi="Century Gothic" w:cs="Arial"/>
          <w:bCs/>
          <w:sz w:val="22"/>
          <w:szCs w:val="22"/>
        </w:rPr>
        <w:t>To: Board of Trustees</w:t>
      </w:r>
    </w:p>
    <w:p w:rsidR="00082787" w:rsidRPr="00082787" w:rsidRDefault="00082787" w:rsidP="007C58B8">
      <w:pPr>
        <w:spacing w:before="60" w:after="60" w:line="276" w:lineRule="auto"/>
        <w:jc w:val="both"/>
        <w:rPr>
          <w:rFonts w:ascii="Century Gothic" w:hAnsi="Century Gothic" w:cs="Arial"/>
          <w:bCs/>
          <w:sz w:val="22"/>
          <w:szCs w:val="22"/>
        </w:rPr>
      </w:pPr>
      <w:r w:rsidRPr="00082787">
        <w:rPr>
          <w:rFonts w:ascii="Century Gothic" w:hAnsi="Century Gothic" w:cs="Arial"/>
          <w:bCs/>
          <w:sz w:val="22"/>
          <w:szCs w:val="22"/>
        </w:rPr>
        <w:t xml:space="preserve">From: </w:t>
      </w:r>
      <w:r>
        <w:rPr>
          <w:rFonts w:ascii="Century Gothic" w:hAnsi="Century Gothic" w:cs="Arial"/>
          <w:bCs/>
          <w:sz w:val="22"/>
          <w:szCs w:val="22"/>
        </w:rPr>
        <w:t>S</w:t>
      </w:r>
      <w:r w:rsidRPr="00082787">
        <w:rPr>
          <w:rFonts w:ascii="Century Gothic" w:hAnsi="Century Gothic" w:cs="Arial"/>
          <w:bCs/>
          <w:sz w:val="22"/>
          <w:szCs w:val="22"/>
        </w:rPr>
        <w:t>cheme actuary</w:t>
      </w:r>
    </w:p>
    <w:p w:rsidR="00CB7529" w:rsidRDefault="00082787" w:rsidP="007C58B8">
      <w:pPr>
        <w:spacing w:before="60" w:after="60" w:line="276" w:lineRule="auto"/>
        <w:jc w:val="both"/>
        <w:rPr>
          <w:rFonts w:ascii="Century Gothic" w:hAnsi="Century Gothic" w:cs="Arial"/>
          <w:bCs/>
          <w:sz w:val="22"/>
          <w:szCs w:val="22"/>
        </w:rPr>
      </w:pPr>
      <w:r w:rsidRPr="00082787">
        <w:rPr>
          <w:rFonts w:ascii="Century Gothic" w:hAnsi="Century Gothic" w:cs="Arial"/>
          <w:bCs/>
          <w:sz w:val="22"/>
          <w:szCs w:val="22"/>
        </w:rPr>
        <w:t xml:space="preserve">Subject: </w:t>
      </w:r>
      <w:r w:rsidR="00D175EF">
        <w:rPr>
          <w:rFonts w:ascii="Century Gothic" w:hAnsi="Century Gothic" w:cs="Arial"/>
          <w:bCs/>
          <w:sz w:val="22"/>
          <w:szCs w:val="22"/>
        </w:rPr>
        <w:t xml:space="preserve">Pre-launch analysis on </w:t>
      </w:r>
      <w:r w:rsidR="00C726C5">
        <w:rPr>
          <w:rFonts w:ascii="Century Gothic" w:hAnsi="Century Gothic" w:cs="Arial"/>
          <w:bCs/>
          <w:sz w:val="22"/>
          <w:szCs w:val="22"/>
        </w:rPr>
        <w:t>different funding methods.</w:t>
      </w:r>
      <w:r w:rsidR="00D175EF">
        <w:rPr>
          <w:rFonts w:ascii="Century Gothic" w:hAnsi="Century Gothic" w:cs="Arial"/>
          <w:bCs/>
          <w:sz w:val="22"/>
          <w:szCs w:val="22"/>
        </w:rPr>
        <w:t xml:space="preserve"> </w:t>
      </w:r>
    </w:p>
    <w:p w:rsidR="001030E6" w:rsidRDefault="001030E6" w:rsidP="007C58B8">
      <w:pPr>
        <w:spacing w:before="60" w:after="60" w:line="276" w:lineRule="auto"/>
        <w:jc w:val="both"/>
        <w:rPr>
          <w:rFonts w:ascii="Century Gothic" w:hAnsi="Century Gothic" w:cs="Arial"/>
          <w:bCs/>
          <w:sz w:val="22"/>
          <w:szCs w:val="22"/>
        </w:rPr>
      </w:pPr>
    </w:p>
    <w:p w:rsidR="00D175EF" w:rsidRDefault="00D175EF"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Dear Board of Trustees,</w:t>
      </w:r>
    </w:p>
    <w:p w:rsidR="001030E6" w:rsidRDefault="00C726C5"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It is necessary to value t</w:t>
      </w:r>
      <w:r w:rsidRPr="00C726C5">
        <w:rPr>
          <w:rFonts w:ascii="Century Gothic" w:hAnsi="Century Gothic" w:cs="Arial"/>
          <w:bCs/>
          <w:sz w:val="22"/>
          <w:szCs w:val="22"/>
          <w:lang w:val="en-US"/>
        </w:rPr>
        <w:t xml:space="preserve">he new </w:t>
      </w:r>
      <w:r>
        <w:rPr>
          <w:rFonts w:ascii="Century Gothic" w:hAnsi="Century Gothic" w:cs="Arial"/>
          <w:bCs/>
          <w:sz w:val="22"/>
          <w:szCs w:val="22"/>
          <w:lang w:val="en-US"/>
        </w:rPr>
        <w:t xml:space="preserve">defined benefit </w:t>
      </w:r>
      <w:r w:rsidRPr="00C726C5">
        <w:rPr>
          <w:rFonts w:ascii="Century Gothic" w:hAnsi="Century Gothic" w:cs="Arial"/>
          <w:bCs/>
          <w:sz w:val="22"/>
          <w:szCs w:val="22"/>
          <w:lang w:val="en-US"/>
        </w:rPr>
        <w:t xml:space="preserve">scheme </w:t>
      </w:r>
      <w:r>
        <w:rPr>
          <w:rFonts w:ascii="Century Gothic" w:hAnsi="Century Gothic" w:cs="Arial"/>
          <w:bCs/>
          <w:sz w:val="22"/>
          <w:szCs w:val="22"/>
          <w:lang w:val="en-US"/>
        </w:rPr>
        <w:t xml:space="preserve">and </w:t>
      </w:r>
      <w:r w:rsidR="001030E6">
        <w:rPr>
          <w:rFonts w:ascii="Century Gothic" w:hAnsi="Century Gothic" w:cs="Arial"/>
          <w:bCs/>
          <w:sz w:val="22"/>
          <w:szCs w:val="22"/>
          <w:lang w:val="en-US"/>
        </w:rPr>
        <w:t xml:space="preserve">to ensure the firm contribute in a proper way so that its </w:t>
      </w:r>
      <w:r>
        <w:rPr>
          <w:rFonts w:ascii="Century Gothic" w:hAnsi="Century Gothic" w:cs="Arial"/>
          <w:bCs/>
          <w:sz w:val="22"/>
          <w:szCs w:val="22"/>
          <w:lang w:val="en-US"/>
        </w:rPr>
        <w:t xml:space="preserve">future obligations </w:t>
      </w:r>
      <w:r w:rsidR="001030E6">
        <w:rPr>
          <w:rFonts w:ascii="Century Gothic" w:hAnsi="Century Gothic" w:cs="Arial"/>
          <w:bCs/>
          <w:sz w:val="22"/>
          <w:szCs w:val="22"/>
          <w:lang w:val="en-US"/>
        </w:rPr>
        <w:t xml:space="preserve">can be met </w:t>
      </w:r>
      <w:r>
        <w:rPr>
          <w:rFonts w:ascii="Century Gothic" w:hAnsi="Century Gothic" w:cs="Arial"/>
          <w:bCs/>
          <w:sz w:val="22"/>
          <w:szCs w:val="22"/>
          <w:lang w:val="en-US"/>
        </w:rPr>
        <w:t xml:space="preserve">when they fall due. </w:t>
      </w:r>
      <w:r w:rsidR="009F1DC4">
        <w:rPr>
          <w:rFonts w:ascii="Century Gothic" w:hAnsi="Century Gothic" w:cs="Arial"/>
          <w:bCs/>
          <w:sz w:val="22"/>
          <w:szCs w:val="22"/>
          <w:lang w:val="en-US"/>
        </w:rPr>
        <w:t>Hence, selecting a funding method used for this scheme would be crucial to the valuation process.</w:t>
      </w:r>
    </w:p>
    <w:p w:rsidR="001030E6" w:rsidRDefault="001030E6" w:rsidP="007C58B8">
      <w:pPr>
        <w:spacing w:before="60" w:after="60" w:line="276" w:lineRule="auto"/>
        <w:jc w:val="both"/>
        <w:rPr>
          <w:rFonts w:ascii="Century Gothic" w:hAnsi="Century Gothic" w:cs="Arial"/>
          <w:bCs/>
          <w:sz w:val="22"/>
          <w:szCs w:val="22"/>
          <w:lang w:val="en-US"/>
        </w:rPr>
      </w:pPr>
    </w:p>
    <w:p w:rsidR="003B4D23" w:rsidRDefault="00C726C5"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There are many funding methods in practice. Analysis has been conducted on two of them, </w:t>
      </w:r>
      <w:r w:rsidR="003B4D23">
        <w:rPr>
          <w:rFonts w:ascii="Century Gothic" w:hAnsi="Century Gothic" w:cs="Arial"/>
          <w:bCs/>
          <w:sz w:val="22"/>
          <w:szCs w:val="22"/>
          <w:lang w:val="en-US"/>
        </w:rPr>
        <w:t xml:space="preserve">which are </w:t>
      </w:r>
      <w:r w:rsidR="003B4D23" w:rsidRPr="00C726C5">
        <w:rPr>
          <w:rFonts w:ascii="Century Gothic" w:hAnsi="Century Gothic" w:cs="Arial"/>
          <w:bCs/>
          <w:sz w:val="22"/>
          <w:szCs w:val="22"/>
          <w:lang w:val="en-US"/>
        </w:rPr>
        <w:t>Pro</w:t>
      </w:r>
      <w:r w:rsidR="003B4D23">
        <w:rPr>
          <w:rFonts w:ascii="Century Gothic" w:hAnsi="Century Gothic" w:cs="Arial"/>
          <w:bCs/>
          <w:sz w:val="22"/>
          <w:szCs w:val="22"/>
          <w:lang w:val="en-US"/>
        </w:rPr>
        <w:t xml:space="preserve">jected Unit Credit (PUC) method and </w:t>
      </w:r>
      <w:r w:rsidR="003B4D23" w:rsidRPr="00C726C5">
        <w:rPr>
          <w:rFonts w:ascii="Century Gothic" w:hAnsi="Century Gothic" w:cs="Arial"/>
          <w:bCs/>
          <w:sz w:val="22"/>
          <w:szCs w:val="22"/>
          <w:lang w:val="en-US"/>
        </w:rPr>
        <w:t>Entry Age Normal (EAN)</w:t>
      </w:r>
      <w:r w:rsidR="003B4D23">
        <w:rPr>
          <w:rFonts w:ascii="Century Gothic" w:hAnsi="Century Gothic" w:cs="Arial"/>
          <w:bCs/>
          <w:sz w:val="22"/>
          <w:szCs w:val="22"/>
          <w:lang w:val="en-US"/>
        </w:rPr>
        <w:t xml:space="preserve"> method.</w:t>
      </w:r>
    </w:p>
    <w:p w:rsidR="00F977A8" w:rsidRDefault="003B4D23"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B</w:t>
      </w:r>
      <w:r w:rsidR="00C726C5">
        <w:rPr>
          <w:rFonts w:ascii="Century Gothic" w:hAnsi="Century Gothic" w:cs="Arial"/>
          <w:bCs/>
          <w:sz w:val="22"/>
          <w:szCs w:val="22"/>
          <w:lang w:val="en-US"/>
        </w:rPr>
        <w:t xml:space="preserve">oth of </w:t>
      </w:r>
      <w:r>
        <w:rPr>
          <w:rFonts w:ascii="Century Gothic" w:hAnsi="Century Gothic" w:cs="Arial"/>
          <w:bCs/>
          <w:sz w:val="22"/>
          <w:szCs w:val="22"/>
          <w:lang w:val="en-US"/>
        </w:rPr>
        <w:t xml:space="preserve">the two methods </w:t>
      </w:r>
      <w:r w:rsidR="00F977A8">
        <w:rPr>
          <w:rFonts w:ascii="Century Gothic" w:hAnsi="Century Gothic" w:cs="Arial"/>
          <w:bCs/>
          <w:sz w:val="22"/>
          <w:szCs w:val="22"/>
          <w:lang w:val="en-US"/>
        </w:rPr>
        <w:t>will determine:</w:t>
      </w:r>
    </w:p>
    <w:p w:rsidR="00F977A8" w:rsidRDefault="00F977A8" w:rsidP="007C58B8">
      <w:pPr>
        <w:pStyle w:val="ListParagraph"/>
        <w:numPr>
          <w:ilvl w:val="2"/>
          <w:numId w:val="5"/>
        </w:numPr>
        <w:spacing w:before="60" w:after="60" w:line="276" w:lineRule="auto"/>
        <w:jc w:val="both"/>
        <w:rPr>
          <w:rFonts w:ascii="Century Gothic" w:hAnsi="Century Gothic" w:cs="Arial"/>
          <w:bCs/>
          <w:sz w:val="22"/>
          <w:szCs w:val="22"/>
          <w:lang w:val="en-US"/>
        </w:rPr>
      </w:pPr>
      <w:r w:rsidRPr="00F977A8">
        <w:rPr>
          <w:rFonts w:ascii="Century Gothic" w:hAnsi="Century Gothic" w:cs="Arial"/>
          <w:bCs/>
          <w:sz w:val="22"/>
          <w:szCs w:val="22"/>
          <w:lang w:val="en-US"/>
        </w:rPr>
        <w:t>Standard Contribution Rate (SCR)</w:t>
      </w:r>
      <w:r>
        <w:rPr>
          <w:rFonts w:ascii="Century Gothic" w:hAnsi="Century Gothic" w:cs="Arial"/>
          <w:bCs/>
          <w:sz w:val="22"/>
          <w:szCs w:val="22"/>
          <w:lang w:val="en-US"/>
        </w:rPr>
        <w:t>, which</w:t>
      </w:r>
      <w:r w:rsidRPr="00F977A8">
        <w:rPr>
          <w:rFonts w:ascii="Century Gothic" w:hAnsi="Century Gothic" w:cs="Arial"/>
          <w:bCs/>
          <w:sz w:val="22"/>
          <w:szCs w:val="22"/>
          <w:lang w:val="en-US"/>
        </w:rPr>
        <w:t xml:space="preserve"> is </w:t>
      </w:r>
      <w:r w:rsidR="00D77CB3">
        <w:rPr>
          <w:rFonts w:ascii="Century Gothic" w:hAnsi="Century Gothic" w:cs="Arial"/>
          <w:bCs/>
          <w:sz w:val="22"/>
          <w:szCs w:val="22"/>
          <w:lang w:val="en-US"/>
        </w:rPr>
        <w:t>applied to member’s pensionable salary to determine the amount of money that the firm should contribute</w:t>
      </w:r>
      <w:r w:rsidRPr="00F977A8">
        <w:rPr>
          <w:rFonts w:ascii="Century Gothic" w:hAnsi="Century Gothic" w:cs="Arial"/>
          <w:bCs/>
          <w:sz w:val="22"/>
          <w:szCs w:val="22"/>
          <w:lang w:val="en-US"/>
        </w:rPr>
        <w:t xml:space="preserve"> to fund future benefits. </w:t>
      </w:r>
    </w:p>
    <w:p w:rsidR="00D175EF" w:rsidRDefault="00F977A8" w:rsidP="007C58B8">
      <w:pPr>
        <w:pStyle w:val="ListParagraph"/>
        <w:numPr>
          <w:ilvl w:val="2"/>
          <w:numId w:val="5"/>
        </w:num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Actuarial Liability (AL), which is </w:t>
      </w:r>
      <w:r w:rsidRPr="00F977A8">
        <w:rPr>
          <w:rFonts w:ascii="Century Gothic" w:hAnsi="Century Gothic" w:cs="Arial"/>
          <w:bCs/>
          <w:sz w:val="22"/>
          <w:szCs w:val="22"/>
          <w:lang w:val="en-US"/>
        </w:rPr>
        <w:t>the quantum of assets that should be held</w:t>
      </w:r>
      <w:r>
        <w:rPr>
          <w:rFonts w:ascii="Century Gothic" w:hAnsi="Century Gothic" w:cs="Arial"/>
          <w:bCs/>
          <w:sz w:val="22"/>
          <w:szCs w:val="22"/>
          <w:lang w:val="en-US"/>
        </w:rPr>
        <w:t xml:space="preserve"> in respect of accrued service.</w:t>
      </w:r>
      <w:r w:rsidR="00D77CB3">
        <w:rPr>
          <w:rFonts w:ascii="Century Gothic" w:hAnsi="Century Gothic" w:cs="Arial"/>
          <w:bCs/>
          <w:sz w:val="22"/>
          <w:szCs w:val="22"/>
          <w:lang w:val="en-US"/>
        </w:rPr>
        <w:t xml:space="preserve"> This may be different throughout the period under different funding methods.</w:t>
      </w:r>
    </w:p>
    <w:p w:rsidR="00F977A8" w:rsidRDefault="00F977A8" w:rsidP="003B4D23">
      <w:pPr>
        <w:spacing w:before="60" w:after="60" w:line="276" w:lineRule="auto"/>
        <w:jc w:val="both"/>
        <w:rPr>
          <w:rFonts w:ascii="Century Gothic" w:hAnsi="Century Gothic" w:cs="Arial"/>
          <w:bCs/>
          <w:sz w:val="22"/>
          <w:szCs w:val="22"/>
          <w:lang w:val="en-US"/>
        </w:rPr>
      </w:pPr>
    </w:p>
    <w:p w:rsidR="003B4D23" w:rsidRDefault="003B4D23" w:rsidP="003B4D23">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First of all, the retirement benefit to which each member is entitled is fully determined by number of years of service, pensionable salary before retirement and the predefined accrual rate. Therefore, the retirement benefit</w:t>
      </w:r>
      <w:r w:rsidR="004F2A3B">
        <w:rPr>
          <w:rFonts w:ascii="Century Gothic" w:hAnsi="Century Gothic" w:cs="Arial"/>
          <w:bCs/>
          <w:sz w:val="22"/>
          <w:szCs w:val="22"/>
          <w:lang w:val="en-US"/>
        </w:rPr>
        <w:t xml:space="preserve"> at</w:t>
      </w:r>
      <w:r>
        <w:rPr>
          <w:rFonts w:ascii="Century Gothic" w:hAnsi="Century Gothic" w:cs="Arial"/>
          <w:bCs/>
          <w:sz w:val="22"/>
          <w:szCs w:val="22"/>
          <w:lang w:val="en-US"/>
        </w:rPr>
        <w:t xml:space="preserve"> normal retirement age </w:t>
      </w:r>
      <w:r w:rsidR="009F1DC4">
        <w:rPr>
          <w:rFonts w:ascii="Century Gothic" w:hAnsi="Century Gothic" w:cs="Arial"/>
          <w:bCs/>
          <w:sz w:val="22"/>
          <w:szCs w:val="22"/>
          <w:lang w:val="en-US"/>
        </w:rPr>
        <w:t>would be</w:t>
      </w:r>
      <w:r>
        <w:rPr>
          <w:rFonts w:ascii="Century Gothic" w:hAnsi="Century Gothic" w:cs="Arial"/>
          <w:bCs/>
          <w:sz w:val="22"/>
          <w:szCs w:val="22"/>
          <w:lang w:val="en-US"/>
        </w:rPr>
        <w:t xml:space="preserve"> the same despite </w:t>
      </w:r>
      <w:r w:rsidR="001030E6">
        <w:rPr>
          <w:rFonts w:ascii="Century Gothic" w:hAnsi="Century Gothic" w:cs="Arial" w:hint="eastAsia"/>
          <w:bCs/>
          <w:sz w:val="22"/>
          <w:szCs w:val="22"/>
          <w:lang w:val="en-US" w:eastAsia="zh-CN"/>
        </w:rPr>
        <w:t>the</w:t>
      </w:r>
      <w:r w:rsidR="001030E6">
        <w:rPr>
          <w:rFonts w:ascii="Century Gothic" w:hAnsi="Century Gothic" w:cs="Arial"/>
          <w:bCs/>
          <w:sz w:val="22"/>
          <w:szCs w:val="22"/>
          <w:lang w:val="en-US" w:eastAsia="zh-CN"/>
        </w:rPr>
        <w:t xml:space="preserve"> </w:t>
      </w:r>
      <w:r>
        <w:rPr>
          <w:rFonts w:ascii="Century Gothic" w:hAnsi="Century Gothic" w:cs="Arial"/>
          <w:bCs/>
          <w:sz w:val="22"/>
          <w:szCs w:val="22"/>
          <w:lang w:val="en-US"/>
        </w:rPr>
        <w:t>funding method is used for the scheme valuation.</w:t>
      </w:r>
      <w:r w:rsidR="004F2A3B">
        <w:rPr>
          <w:rFonts w:ascii="Century Gothic" w:hAnsi="Century Gothic" w:cs="Arial"/>
          <w:bCs/>
          <w:sz w:val="22"/>
          <w:szCs w:val="22"/>
          <w:lang w:val="en-US"/>
        </w:rPr>
        <w:t xml:space="preserve"> This can be observed in the projection model in 1c.</w:t>
      </w:r>
    </w:p>
    <w:p w:rsidR="003B4D23" w:rsidRPr="003B4D23" w:rsidRDefault="003B4D23" w:rsidP="003B4D23">
      <w:pPr>
        <w:spacing w:before="60" w:after="60" w:line="276" w:lineRule="auto"/>
        <w:jc w:val="both"/>
        <w:rPr>
          <w:rFonts w:ascii="Century Gothic" w:hAnsi="Century Gothic" w:cs="Arial"/>
          <w:bCs/>
          <w:sz w:val="22"/>
          <w:szCs w:val="22"/>
          <w:lang w:val="en-US"/>
        </w:rPr>
      </w:pPr>
    </w:p>
    <w:p w:rsidR="00C726C5" w:rsidRDefault="00F977A8"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Below will describe the main difference</w:t>
      </w:r>
      <w:r w:rsidR="001338AD">
        <w:rPr>
          <w:rFonts w:ascii="Century Gothic" w:hAnsi="Century Gothic" w:cs="Arial"/>
          <w:bCs/>
          <w:sz w:val="22"/>
          <w:szCs w:val="22"/>
          <w:lang w:val="en-US"/>
        </w:rPr>
        <w:t xml:space="preserve">s between the two </w:t>
      </w:r>
      <w:r w:rsidR="004F2A3B">
        <w:rPr>
          <w:rFonts w:ascii="Century Gothic" w:hAnsi="Century Gothic" w:cs="Arial"/>
          <w:bCs/>
          <w:sz w:val="22"/>
          <w:szCs w:val="22"/>
          <w:lang w:val="en-US"/>
        </w:rPr>
        <w:t xml:space="preserve">funding </w:t>
      </w:r>
      <w:r w:rsidR="001338AD">
        <w:rPr>
          <w:rFonts w:ascii="Century Gothic" w:hAnsi="Century Gothic" w:cs="Arial"/>
          <w:bCs/>
          <w:sz w:val="22"/>
          <w:szCs w:val="22"/>
          <w:lang w:val="en-US"/>
        </w:rPr>
        <w:t>methods</w:t>
      </w:r>
      <w:r>
        <w:rPr>
          <w:rFonts w:ascii="Century Gothic" w:hAnsi="Century Gothic" w:cs="Arial"/>
          <w:bCs/>
          <w:sz w:val="22"/>
          <w:szCs w:val="22"/>
          <w:lang w:val="en-US"/>
        </w:rPr>
        <w:t xml:space="preserve"> regarding the funding speeds</w:t>
      </w:r>
      <w:r w:rsidR="00CD3463">
        <w:rPr>
          <w:rFonts w:ascii="Century Gothic" w:hAnsi="Century Gothic" w:cs="Arial"/>
          <w:bCs/>
          <w:sz w:val="22"/>
          <w:szCs w:val="22"/>
          <w:lang w:val="en-US"/>
        </w:rPr>
        <w:t xml:space="preserve"> for </w:t>
      </w:r>
      <w:r w:rsidR="001030E6">
        <w:rPr>
          <w:rFonts w:ascii="Century Gothic" w:hAnsi="Century Gothic" w:cs="Arial"/>
          <w:bCs/>
          <w:sz w:val="22"/>
          <w:szCs w:val="22"/>
          <w:lang w:val="en-US"/>
        </w:rPr>
        <w:t>the</w:t>
      </w:r>
      <w:r w:rsidR="00CD3463">
        <w:rPr>
          <w:rFonts w:ascii="Century Gothic" w:hAnsi="Century Gothic" w:cs="Arial"/>
          <w:bCs/>
          <w:sz w:val="22"/>
          <w:szCs w:val="22"/>
          <w:lang w:val="en-US"/>
        </w:rPr>
        <w:t xml:space="preserve"> new scheme</w:t>
      </w:r>
      <w:r>
        <w:rPr>
          <w:rFonts w:ascii="Century Gothic" w:hAnsi="Century Gothic" w:cs="Arial"/>
          <w:bCs/>
          <w:sz w:val="22"/>
          <w:szCs w:val="22"/>
          <w:lang w:val="en-US"/>
        </w:rPr>
        <w:t>.</w:t>
      </w:r>
    </w:p>
    <w:p w:rsidR="009B0F12" w:rsidRDefault="009B0F12" w:rsidP="007C58B8">
      <w:pPr>
        <w:spacing w:before="60" w:after="60" w:line="276" w:lineRule="auto"/>
        <w:jc w:val="both"/>
        <w:rPr>
          <w:rFonts w:ascii="Century Gothic" w:hAnsi="Century Gothic" w:cs="Arial"/>
          <w:bCs/>
          <w:sz w:val="22"/>
          <w:szCs w:val="22"/>
          <w:lang w:val="en-US"/>
        </w:rPr>
      </w:pPr>
    </w:p>
    <w:p w:rsidR="004F2A3B" w:rsidRPr="004F2A3B" w:rsidRDefault="003331CF" w:rsidP="007C58B8">
      <w:pPr>
        <w:spacing w:before="60" w:after="60" w:line="276" w:lineRule="auto"/>
        <w:jc w:val="both"/>
        <w:rPr>
          <w:rFonts w:ascii="Century Gothic" w:hAnsi="Century Gothic" w:cs="Arial"/>
          <w:b/>
          <w:bCs/>
          <w:sz w:val="22"/>
          <w:szCs w:val="22"/>
          <w:lang w:val="en-US"/>
        </w:rPr>
      </w:pPr>
      <w:r>
        <w:rPr>
          <w:rFonts w:ascii="Century Gothic" w:hAnsi="Century Gothic" w:cs="Arial"/>
          <w:b/>
          <w:bCs/>
          <w:sz w:val="22"/>
          <w:szCs w:val="22"/>
          <w:lang w:val="en-US"/>
        </w:rPr>
        <w:t>Funding Target</w:t>
      </w:r>
    </w:p>
    <w:p w:rsidR="007369C0" w:rsidRPr="00BA28F9" w:rsidRDefault="007369C0"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PUC only targets to support the benefit accrued from the past service whereas EAN also take </w:t>
      </w:r>
      <w:r w:rsidR="003B4D23">
        <w:rPr>
          <w:rFonts w:ascii="Century Gothic" w:hAnsi="Century Gothic" w:cs="Arial"/>
          <w:bCs/>
          <w:sz w:val="22"/>
          <w:szCs w:val="22"/>
          <w:lang w:val="en-US"/>
        </w:rPr>
        <w:t xml:space="preserve">the </w:t>
      </w:r>
      <w:r>
        <w:rPr>
          <w:rFonts w:ascii="Century Gothic" w:hAnsi="Century Gothic" w:cs="Arial"/>
          <w:bCs/>
          <w:sz w:val="22"/>
          <w:szCs w:val="22"/>
          <w:lang w:val="en-US"/>
        </w:rPr>
        <w:t xml:space="preserve">expected future service into consideration. </w:t>
      </w:r>
      <w:r w:rsidR="003B4D23">
        <w:rPr>
          <w:rFonts w:ascii="Century Gothic" w:hAnsi="Century Gothic" w:cs="Arial"/>
          <w:bCs/>
          <w:sz w:val="22"/>
          <w:szCs w:val="22"/>
          <w:lang w:val="en-US"/>
        </w:rPr>
        <w:t xml:space="preserve">As a result, EAN always has a higher </w:t>
      </w:r>
      <w:r w:rsidR="003331CF">
        <w:rPr>
          <w:rFonts w:ascii="Century Gothic" w:hAnsi="Century Gothic" w:cs="Arial"/>
          <w:bCs/>
          <w:sz w:val="22"/>
          <w:szCs w:val="22"/>
          <w:lang w:val="en-US"/>
        </w:rPr>
        <w:t xml:space="preserve">target level of </w:t>
      </w:r>
      <w:r w:rsidR="003B4D23">
        <w:rPr>
          <w:rFonts w:ascii="Century Gothic" w:hAnsi="Century Gothic" w:cs="Arial"/>
          <w:bCs/>
          <w:sz w:val="22"/>
          <w:szCs w:val="22"/>
          <w:lang w:val="en-US"/>
        </w:rPr>
        <w:t xml:space="preserve">AL than PUC. </w:t>
      </w:r>
      <w:r w:rsidR="001030E6">
        <w:rPr>
          <w:rFonts w:ascii="Century Gothic" w:hAnsi="Century Gothic" w:cs="Arial"/>
          <w:bCs/>
          <w:sz w:val="22"/>
          <w:szCs w:val="22"/>
          <w:lang w:val="en-US"/>
        </w:rPr>
        <w:t xml:space="preserve">As shown in the </w:t>
      </w:r>
      <w:r w:rsidR="00BA28F9">
        <w:rPr>
          <w:rFonts w:ascii="Century Gothic" w:hAnsi="Century Gothic" w:cs="Arial"/>
          <w:bCs/>
          <w:sz w:val="22"/>
          <w:szCs w:val="22"/>
          <w:lang w:val="en-US"/>
        </w:rPr>
        <w:t>model in 1c, we can see AL</w:t>
      </w:r>
      <w:r w:rsidR="00BA28F9" w:rsidRPr="003B4D23">
        <w:rPr>
          <w:rFonts w:ascii="Century Gothic" w:hAnsi="Century Gothic" w:cs="Arial"/>
          <w:bCs/>
          <w:sz w:val="22"/>
          <w:szCs w:val="22"/>
          <w:vertAlign w:val="subscript"/>
          <w:lang w:val="en-US"/>
        </w:rPr>
        <w:t>EAN</w:t>
      </w:r>
      <w:r w:rsidR="00BA28F9">
        <w:rPr>
          <w:rFonts w:ascii="Century Gothic" w:hAnsi="Century Gothic" w:cs="Arial"/>
          <w:bCs/>
          <w:sz w:val="22"/>
          <w:szCs w:val="22"/>
          <w:lang w:val="en-US"/>
        </w:rPr>
        <w:t xml:space="preserve"> is consistently higher than AL</w:t>
      </w:r>
      <w:r w:rsidR="00BA28F9" w:rsidRPr="003B4D23">
        <w:rPr>
          <w:rFonts w:ascii="Century Gothic" w:hAnsi="Century Gothic" w:cs="Arial"/>
          <w:bCs/>
          <w:sz w:val="22"/>
          <w:szCs w:val="22"/>
          <w:vertAlign w:val="subscript"/>
          <w:lang w:val="en-US"/>
        </w:rPr>
        <w:t>PUC</w:t>
      </w:r>
      <w:r w:rsidR="00BA28F9">
        <w:rPr>
          <w:rFonts w:ascii="Century Gothic" w:hAnsi="Century Gothic" w:cs="Arial"/>
          <w:bCs/>
          <w:sz w:val="22"/>
          <w:szCs w:val="22"/>
          <w:vertAlign w:val="subscript"/>
          <w:lang w:val="en-US"/>
        </w:rPr>
        <w:t xml:space="preserve"> </w:t>
      </w:r>
      <w:r w:rsidR="00BA28F9">
        <w:rPr>
          <w:rFonts w:ascii="Century Gothic" w:hAnsi="Century Gothic" w:cs="Arial"/>
          <w:bCs/>
          <w:sz w:val="22"/>
          <w:szCs w:val="22"/>
          <w:lang w:val="en-US"/>
        </w:rPr>
        <w:t xml:space="preserve">for all projection periods prior to the normal retirement age. The below graph </w:t>
      </w:r>
      <w:r w:rsidR="001030E6">
        <w:rPr>
          <w:rFonts w:ascii="Century Gothic" w:hAnsi="Century Gothic" w:cs="Arial"/>
          <w:bCs/>
          <w:sz w:val="22"/>
          <w:szCs w:val="22"/>
          <w:lang w:val="en-US"/>
        </w:rPr>
        <w:t>illustrates</w:t>
      </w:r>
      <w:r w:rsidR="00BA28F9">
        <w:rPr>
          <w:rFonts w:ascii="Century Gothic" w:hAnsi="Century Gothic" w:cs="Arial"/>
          <w:bCs/>
          <w:sz w:val="22"/>
          <w:szCs w:val="22"/>
          <w:lang w:val="en-US"/>
        </w:rPr>
        <w:t xml:space="preserve"> group 45B as an example.</w:t>
      </w:r>
    </w:p>
    <w:p w:rsidR="004F2A3B" w:rsidRDefault="00CF1BCC" w:rsidP="007D5848">
      <w:pPr>
        <w:spacing w:before="60" w:after="60" w:line="276" w:lineRule="auto"/>
        <w:jc w:val="center"/>
        <w:rPr>
          <w:rFonts w:ascii="Century Gothic" w:hAnsi="Century Gothic" w:cs="Arial"/>
          <w:bCs/>
          <w:sz w:val="22"/>
          <w:szCs w:val="22"/>
          <w:lang w:val="en-US"/>
        </w:rPr>
      </w:pPr>
      <w:r>
        <w:rPr>
          <w:noProof/>
          <w:lang w:val="en-US" w:eastAsia="zh-CN"/>
        </w:rPr>
        <w:lastRenderedPageBreak/>
        <w:drawing>
          <wp:inline distT="0" distB="0" distL="0" distR="0" wp14:anchorId="0EA051D6" wp14:editId="706EA413">
            <wp:extent cx="4810125" cy="2238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A28F9" w:rsidRDefault="00BA28F9" w:rsidP="007C58B8">
      <w:pPr>
        <w:spacing w:before="60" w:after="60" w:line="276" w:lineRule="auto"/>
        <w:jc w:val="both"/>
        <w:rPr>
          <w:rFonts w:ascii="Century Gothic" w:hAnsi="Century Gothic" w:cs="Arial"/>
          <w:b/>
          <w:bCs/>
          <w:sz w:val="22"/>
          <w:szCs w:val="22"/>
          <w:lang w:val="en-US"/>
        </w:rPr>
      </w:pPr>
    </w:p>
    <w:p w:rsidR="004F2A3B" w:rsidRPr="004F2A3B" w:rsidRDefault="004F2A3B" w:rsidP="007C58B8">
      <w:pPr>
        <w:spacing w:before="60" w:after="60" w:line="276" w:lineRule="auto"/>
        <w:jc w:val="both"/>
        <w:rPr>
          <w:rFonts w:ascii="Century Gothic" w:hAnsi="Century Gothic" w:cs="Arial"/>
          <w:b/>
          <w:bCs/>
          <w:sz w:val="22"/>
          <w:szCs w:val="22"/>
          <w:lang w:val="en-US"/>
        </w:rPr>
      </w:pPr>
      <w:r w:rsidRPr="004F2A3B">
        <w:rPr>
          <w:rFonts w:ascii="Century Gothic" w:hAnsi="Century Gothic" w:cs="Arial"/>
          <w:b/>
          <w:bCs/>
          <w:sz w:val="22"/>
          <w:szCs w:val="22"/>
          <w:lang w:val="en-US"/>
        </w:rPr>
        <w:t>Contributions</w:t>
      </w:r>
    </w:p>
    <w:p w:rsidR="00CF1BCC" w:rsidRDefault="004F2A3B" w:rsidP="004F2A3B">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Given our scheme is a new fund, more contribution is required for EAN at early periods to fund the higher target </w:t>
      </w:r>
      <w:r w:rsidR="00404DD3">
        <w:rPr>
          <w:rFonts w:ascii="Century Gothic" w:hAnsi="Century Gothic" w:cs="Arial"/>
          <w:bCs/>
          <w:sz w:val="22"/>
          <w:szCs w:val="22"/>
          <w:lang w:val="en-US"/>
        </w:rPr>
        <w:t xml:space="preserve">level of </w:t>
      </w:r>
      <w:r>
        <w:rPr>
          <w:rFonts w:ascii="Century Gothic" w:hAnsi="Century Gothic" w:cs="Arial"/>
          <w:bCs/>
          <w:sz w:val="22"/>
          <w:szCs w:val="22"/>
          <w:lang w:val="en-US"/>
        </w:rPr>
        <w:t xml:space="preserve">AL, while less contribution </w:t>
      </w:r>
      <w:r w:rsidR="00B06D6A">
        <w:rPr>
          <w:rFonts w:ascii="Century Gothic" w:hAnsi="Century Gothic" w:cs="Arial"/>
          <w:bCs/>
          <w:sz w:val="22"/>
          <w:szCs w:val="22"/>
          <w:lang w:val="en-US"/>
        </w:rPr>
        <w:t xml:space="preserve">(compared to PUC) </w:t>
      </w:r>
      <w:r>
        <w:rPr>
          <w:rFonts w:ascii="Century Gothic" w:hAnsi="Century Gothic" w:cs="Arial"/>
          <w:bCs/>
          <w:sz w:val="22"/>
          <w:szCs w:val="22"/>
          <w:lang w:val="en-US"/>
        </w:rPr>
        <w:t xml:space="preserve">is needed for later periods since the ultimate </w:t>
      </w:r>
      <w:r w:rsidR="00BA28F9">
        <w:rPr>
          <w:rFonts w:ascii="Century Gothic" w:hAnsi="Century Gothic" w:cs="Arial"/>
          <w:bCs/>
          <w:sz w:val="22"/>
          <w:szCs w:val="22"/>
          <w:lang w:val="en-US"/>
        </w:rPr>
        <w:t>retirement benefit</w:t>
      </w:r>
      <w:r>
        <w:rPr>
          <w:rFonts w:ascii="Century Gothic" w:hAnsi="Century Gothic" w:cs="Arial"/>
          <w:bCs/>
          <w:sz w:val="22"/>
          <w:szCs w:val="22"/>
          <w:lang w:val="en-US"/>
        </w:rPr>
        <w:t xml:space="preserve"> is the same </w:t>
      </w:r>
      <w:r w:rsidR="00BA28F9">
        <w:rPr>
          <w:rFonts w:ascii="Century Gothic" w:hAnsi="Century Gothic" w:cs="Arial"/>
          <w:bCs/>
          <w:sz w:val="22"/>
          <w:szCs w:val="22"/>
          <w:lang w:val="en-US"/>
        </w:rPr>
        <w:t>under</w:t>
      </w:r>
      <w:r>
        <w:rPr>
          <w:rFonts w:ascii="Century Gothic" w:hAnsi="Century Gothic" w:cs="Arial"/>
          <w:bCs/>
          <w:sz w:val="22"/>
          <w:szCs w:val="22"/>
          <w:lang w:val="en-US"/>
        </w:rPr>
        <w:t xml:space="preserve"> EAN and PUC</w:t>
      </w:r>
      <w:r w:rsidR="00BA28F9">
        <w:rPr>
          <w:rFonts w:ascii="Century Gothic" w:hAnsi="Century Gothic" w:cs="Arial"/>
          <w:bCs/>
          <w:sz w:val="22"/>
          <w:szCs w:val="22"/>
          <w:lang w:val="en-US"/>
        </w:rPr>
        <w:t xml:space="preserve"> method</w:t>
      </w:r>
      <w:r w:rsidR="00B06D6A">
        <w:rPr>
          <w:rFonts w:ascii="Century Gothic" w:hAnsi="Century Gothic" w:cs="Arial"/>
          <w:bCs/>
          <w:sz w:val="22"/>
          <w:szCs w:val="22"/>
          <w:lang w:val="en-US"/>
        </w:rPr>
        <w:t>.</w:t>
      </w:r>
    </w:p>
    <w:p w:rsidR="004F2A3B" w:rsidRDefault="001E16D9" w:rsidP="007D5848">
      <w:pPr>
        <w:spacing w:before="60" w:after="60" w:line="276" w:lineRule="auto"/>
        <w:jc w:val="center"/>
        <w:rPr>
          <w:rFonts w:ascii="Century Gothic" w:hAnsi="Century Gothic" w:cs="Arial"/>
          <w:bCs/>
          <w:sz w:val="22"/>
          <w:szCs w:val="22"/>
          <w:lang w:val="en-US"/>
        </w:rPr>
      </w:pPr>
      <w:r>
        <w:rPr>
          <w:noProof/>
          <w:lang w:val="en-US" w:eastAsia="zh-CN"/>
        </w:rPr>
        <w:drawing>
          <wp:inline distT="0" distB="0" distL="0" distR="0" wp14:anchorId="447B6F4C" wp14:editId="2180B2D8">
            <wp:extent cx="5029200" cy="21526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F2A3B" w:rsidRPr="00B06D6A" w:rsidRDefault="004F2A3B" w:rsidP="007C58B8">
      <w:pPr>
        <w:spacing w:before="60" w:after="60" w:line="276" w:lineRule="auto"/>
        <w:jc w:val="both"/>
        <w:rPr>
          <w:rFonts w:ascii="Century Gothic" w:hAnsi="Century Gothic" w:cs="Arial"/>
          <w:bCs/>
          <w:sz w:val="22"/>
          <w:szCs w:val="22"/>
          <w:lang w:val="en-US"/>
        </w:rPr>
      </w:pPr>
    </w:p>
    <w:p w:rsidR="003F714B" w:rsidRDefault="00B06D6A" w:rsidP="00B06D6A">
      <w:pPr>
        <w:spacing w:before="60" w:after="60" w:line="276" w:lineRule="auto"/>
        <w:jc w:val="both"/>
        <w:rPr>
          <w:rFonts w:ascii="Century Gothic" w:hAnsi="Century Gothic" w:cs="Arial"/>
          <w:bCs/>
          <w:sz w:val="22"/>
          <w:szCs w:val="22"/>
          <w:lang w:val="en-US"/>
        </w:rPr>
      </w:pPr>
      <w:r w:rsidRPr="00B06D6A">
        <w:rPr>
          <w:rFonts w:ascii="Century Gothic" w:hAnsi="Century Gothic" w:cs="Arial"/>
          <w:bCs/>
          <w:sz w:val="22"/>
          <w:szCs w:val="22"/>
          <w:lang w:val="en-US"/>
        </w:rPr>
        <w:t xml:space="preserve">We can conclude that the funding pace </w:t>
      </w:r>
      <w:r w:rsidR="000D3F0C">
        <w:rPr>
          <w:rFonts w:ascii="Century Gothic" w:hAnsi="Century Gothic" w:cs="Arial"/>
          <w:bCs/>
          <w:sz w:val="22"/>
          <w:szCs w:val="22"/>
          <w:lang w:val="en-US"/>
        </w:rPr>
        <w:t>under</w:t>
      </w:r>
      <w:r w:rsidRPr="00B06D6A">
        <w:rPr>
          <w:rFonts w:ascii="Century Gothic" w:hAnsi="Century Gothic" w:cs="Arial"/>
          <w:bCs/>
          <w:sz w:val="22"/>
          <w:szCs w:val="22"/>
          <w:lang w:val="en-US"/>
        </w:rPr>
        <w:t xml:space="preserve"> EAN is </w:t>
      </w:r>
      <w:r w:rsidR="00381D41">
        <w:rPr>
          <w:rFonts w:ascii="Century Gothic" w:hAnsi="Century Gothic" w:cs="Arial"/>
          <w:bCs/>
          <w:sz w:val="22"/>
          <w:szCs w:val="22"/>
          <w:lang w:val="en-US"/>
        </w:rPr>
        <w:t>more quickly than PUC</w:t>
      </w:r>
      <w:r w:rsidR="009F1DC4">
        <w:rPr>
          <w:rFonts w:ascii="Century Gothic" w:hAnsi="Century Gothic" w:cs="Arial"/>
          <w:bCs/>
          <w:sz w:val="22"/>
          <w:szCs w:val="22"/>
          <w:lang w:val="en-US"/>
        </w:rPr>
        <w:t xml:space="preserve"> and more fund is being held under EAN method</w:t>
      </w:r>
      <w:r w:rsidR="00381D41">
        <w:rPr>
          <w:rFonts w:ascii="Century Gothic" w:hAnsi="Century Gothic" w:cs="Arial"/>
          <w:bCs/>
          <w:sz w:val="22"/>
          <w:szCs w:val="22"/>
          <w:lang w:val="en-US"/>
        </w:rPr>
        <w:t xml:space="preserve">. </w:t>
      </w:r>
    </w:p>
    <w:p w:rsidR="003F714B" w:rsidRDefault="003F714B" w:rsidP="00B06D6A">
      <w:pPr>
        <w:spacing w:before="60" w:after="60" w:line="276" w:lineRule="auto"/>
        <w:jc w:val="both"/>
        <w:rPr>
          <w:rFonts w:ascii="Century Gothic" w:hAnsi="Century Gothic" w:cs="Arial"/>
          <w:bCs/>
          <w:sz w:val="22"/>
          <w:szCs w:val="22"/>
          <w:lang w:val="en-US"/>
        </w:rPr>
      </w:pPr>
    </w:p>
    <w:p w:rsidR="003F714B" w:rsidRDefault="003F714B" w:rsidP="00B06D6A">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The above conclusion is made under the assumption if we determine the SCR each year. </w:t>
      </w:r>
      <w:r w:rsidR="009B0F12">
        <w:rPr>
          <w:rFonts w:ascii="Century Gothic" w:hAnsi="Century Gothic" w:cs="Arial"/>
          <w:bCs/>
          <w:sz w:val="22"/>
          <w:szCs w:val="22"/>
          <w:lang w:val="en-US"/>
        </w:rPr>
        <w:t xml:space="preserve">However, </w:t>
      </w:r>
      <w:r w:rsidR="000D3F0C">
        <w:rPr>
          <w:rFonts w:ascii="Century Gothic" w:hAnsi="Century Gothic" w:cs="Arial"/>
          <w:bCs/>
          <w:sz w:val="22"/>
          <w:szCs w:val="22"/>
          <w:lang w:val="en-US"/>
        </w:rPr>
        <w:t xml:space="preserve">the </w:t>
      </w:r>
      <w:r w:rsidR="000D3F0C" w:rsidRPr="000D3F0C">
        <w:rPr>
          <w:rFonts w:ascii="Century Gothic" w:hAnsi="Century Gothic" w:cs="Arial"/>
          <w:bCs/>
          <w:sz w:val="22"/>
          <w:szCs w:val="22"/>
          <w:lang w:val="en-US"/>
        </w:rPr>
        <w:t xml:space="preserve">funding </w:t>
      </w:r>
      <w:r w:rsidR="000D3F0C">
        <w:rPr>
          <w:rFonts w:ascii="Century Gothic" w:hAnsi="Century Gothic" w:cs="Arial"/>
          <w:bCs/>
          <w:sz w:val="22"/>
          <w:szCs w:val="22"/>
          <w:lang w:val="en-US"/>
        </w:rPr>
        <w:t xml:space="preserve">contribution rate is generally determined every 3 years. </w:t>
      </w:r>
      <w:r w:rsidR="009B0F12">
        <w:rPr>
          <w:rFonts w:ascii="Century Gothic" w:hAnsi="Century Gothic" w:cs="Arial"/>
          <w:bCs/>
          <w:sz w:val="22"/>
          <w:szCs w:val="22"/>
          <w:lang w:val="en-US"/>
        </w:rPr>
        <w:t xml:space="preserve">PUC SCR is related to members’ years of past service. Therefore it would be </w:t>
      </w:r>
      <w:r w:rsidR="000D3F0C">
        <w:rPr>
          <w:rFonts w:ascii="Century Gothic" w:hAnsi="Century Gothic" w:cs="Arial"/>
          <w:bCs/>
          <w:sz w:val="22"/>
          <w:szCs w:val="22"/>
          <w:lang w:val="en-US"/>
        </w:rPr>
        <w:t>less</w:t>
      </w:r>
      <w:r w:rsidR="009B0F12">
        <w:rPr>
          <w:rFonts w:ascii="Century Gothic" w:hAnsi="Century Gothic" w:cs="Arial"/>
          <w:bCs/>
          <w:sz w:val="22"/>
          <w:szCs w:val="22"/>
          <w:lang w:val="en-US"/>
        </w:rPr>
        <w:t xml:space="preserve"> accurate if PUC SCR is updated </w:t>
      </w:r>
      <w:r w:rsidR="000D3F0C">
        <w:rPr>
          <w:rFonts w:ascii="Century Gothic" w:hAnsi="Century Gothic" w:cs="Arial"/>
          <w:bCs/>
          <w:sz w:val="22"/>
          <w:szCs w:val="22"/>
          <w:lang w:val="en-US"/>
        </w:rPr>
        <w:t>every 3</w:t>
      </w:r>
      <w:r w:rsidR="009B0F12">
        <w:rPr>
          <w:rFonts w:ascii="Century Gothic" w:hAnsi="Century Gothic" w:cs="Arial"/>
          <w:bCs/>
          <w:sz w:val="22"/>
          <w:szCs w:val="22"/>
          <w:lang w:val="en-US"/>
        </w:rPr>
        <w:t xml:space="preserve"> year</w:t>
      </w:r>
      <w:r w:rsidR="000D3F0C">
        <w:rPr>
          <w:rFonts w:ascii="Century Gothic" w:hAnsi="Century Gothic" w:cs="Arial"/>
          <w:bCs/>
          <w:sz w:val="22"/>
          <w:szCs w:val="22"/>
          <w:lang w:val="en-US"/>
        </w:rPr>
        <w:t>s</w:t>
      </w:r>
      <w:r w:rsidR="009B0F12">
        <w:rPr>
          <w:rFonts w:ascii="Century Gothic" w:hAnsi="Century Gothic" w:cs="Arial"/>
          <w:bCs/>
          <w:sz w:val="22"/>
          <w:szCs w:val="22"/>
          <w:lang w:val="en-US"/>
        </w:rPr>
        <w:t xml:space="preserve">. Unlike PUC, SCR for EAN is based on an assumed entry age for the fund and it does not </w:t>
      </w:r>
      <w:r w:rsidR="001030E6">
        <w:rPr>
          <w:rFonts w:ascii="Century Gothic" w:hAnsi="Century Gothic" w:cs="Arial"/>
          <w:bCs/>
          <w:sz w:val="22"/>
          <w:szCs w:val="22"/>
          <w:lang w:val="en-US"/>
        </w:rPr>
        <w:t>necessarily require</w:t>
      </w:r>
      <w:r w:rsidR="009B0F12">
        <w:rPr>
          <w:rFonts w:ascii="Century Gothic" w:hAnsi="Century Gothic" w:cs="Arial"/>
          <w:bCs/>
          <w:sz w:val="22"/>
          <w:szCs w:val="22"/>
          <w:lang w:val="en-US"/>
        </w:rPr>
        <w:t xml:space="preserve"> update each year as long as the actual entry age is stable. In a scenario where </w:t>
      </w:r>
      <w:r>
        <w:rPr>
          <w:rFonts w:ascii="Century Gothic" w:hAnsi="Century Gothic" w:cs="Arial"/>
          <w:bCs/>
          <w:sz w:val="22"/>
          <w:szCs w:val="22"/>
          <w:lang w:val="en-US"/>
        </w:rPr>
        <w:lastRenderedPageBreak/>
        <w:t xml:space="preserve">the </w:t>
      </w:r>
      <w:r w:rsidR="009B0F12">
        <w:rPr>
          <w:rFonts w:ascii="Century Gothic" w:hAnsi="Century Gothic" w:cs="Arial"/>
          <w:bCs/>
          <w:sz w:val="22"/>
          <w:szCs w:val="22"/>
          <w:lang w:val="en-US"/>
        </w:rPr>
        <w:t xml:space="preserve">PUC </w:t>
      </w:r>
      <w:r>
        <w:rPr>
          <w:rFonts w:ascii="Century Gothic" w:hAnsi="Century Gothic" w:cs="Arial"/>
          <w:bCs/>
          <w:sz w:val="22"/>
          <w:szCs w:val="22"/>
          <w:lang w:val="en-US"/>
        </w:rPr>
        <w:t xml:space="preserve">SCR is updated less frequently, e.g. </w:t>
      </w:r>
      <w:bookmarkStart w:id="3" w:name="OLE_LINK3"/>
      <w:bookmarkStart w:id="4" w:name="OLE_LINK4"/>
      <w:r w:rsidR="001030E6" w:rsidRPr="001030E6">
        <w:rPr>
          <w:rFonts w:ascii="Century Gothic" w:hAnsi="Century Gothic" w:cs="Arial"/>
          <w:bCs/>
          <w:sz w:val="22"/>
          <w:szCs w:val="22"/>
          <w:lang w:val="en-US"/>
        </w:rPr>
        <w:t>triennially</w:t>
      </w:r>
      <w:bookmarkEnd w:id="3"/>
      <w:bookmarkEnd w:id="4"/>
      <w:r>
        <w:rPr>
          <w:rFonts w:ascii="Century Gothic" w:hAnsi="Century Gothic" w:cs="Arial"/>
          <w:bCs/>
          <w:sz w:val="22"/>
          <w:szCs w:val="22"/>
          <w:lang w:val="en-US"/>
        </w:rPr>
        <w:t xml:space="preserve">, the funding pace of PUC </w:t>
      </w:r>
      <w:r w:rsidR="009B0F12">
        <w:rPr>
          <w:rFonts w:ascii="Century Gothic" w:hAnsi="Century Gothic" w:cs="Arial"/>
          <w:bCs/>
          <w:sz w:val="22"/>
          <w:szCs w:val="22"/>
          <w:lang w:val="en-US"/>
        </w:rPr>
        <w:t>could be</w:t>
      </w:r>
      <w:r w:rsidR="000D3F0C">
        <w:rPr>
          <w:rFonts w:ascii="Century Gothic" w:hAnsi="Century Gothic" w:cs="Arial"/>
          <w:bCs/>
          <w:sz w:val="22"/>
          <w:szCs w:val="22"/>
          <w:lang w:val="en-US"/>
        </w:rPr>
        <w:t xml:space="preserve"> even slower according to the previous projection.</w:t>
      </w:r>
    </w:p>
    <w:p w:rsidR="004F2A3B" w:rsidRPr="007D5848" w:rsidRDefault="007D5848" w:rsidP="007D5848">
      <w:pPr>
        <w:spacing w:before="60" w:after="60" w:line="276" w:lineRule="auto"/>
        <w:jc w:val="center"/>
        <w:rPr>
          <w:rFonts w:ascii="Century Gothic" w:hAnsi="Century Gothic" w:cs="Arial"/>
          <w:bCs/>
          <w:sz w:val="22"/>
          <w:szCs w:val="22"/>
          <w:lang w:val="en-US"/>
        </w:rPr>
      </w:pPr>
      <w:r>
        <w:rPr>
          <w:noProof/>
          <w:lang w:val="en-US" w:eastAsia="zh-CN"/>
        </w:rPr>
        <w:drawing>
          <wp:inline distT="0" distB="0" distL="0" distR="0" wp14:anchorId="219F5B50" wp14:editId="5E5EBCF2">
            <wp:extent cx="5105400" cy="24098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82787" w:rsidRDefault="00082787" w:rsidP="007C58B8">
      <w:pPr>
        <w:spacing w:before="60" w:after="60" w:line="276" w:lineRule="auto"/>
        <w:jc w:val="both"/>
        <w:rPr>
          <w:rFonts w:ascii="Century Gothic" w:hAnsi="Century Gothic" w:cs="Arial"/>
          <w:bCs/>
          <w:sz w:val="22"/>
          <w:szCs w:val="22"/>
          <w:lang w:val="en-US"/>
        </w:rPr>
      </w:pPr>
    </w:p>
    <w:p w:rsidR="00082787" w:rsidRDefault="00BE678E"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Conflicts may arise </w:t>
      </w:r>
      <w:r w:rsidR="0045078B">
        <w:rPr>
          <w:rFonts w:ascii="Century Gothic" w:hAnsi="Century Gothic" w:cs="Arial"/>
          <w:bCs/>
          <w:sz w:val="22"/>
          <w:szCs w:val="22"/>
          <w:lang w:val="en-US"/>
        </w:rPr>
        <w:t xml:space="preserve">among different stakeholders </w:t>
      </w:r>
      <w:r w:rsidR="00470747">
        <w:rPr>
          <w:rFonts w:ascii="Century Gothic" w:hAnsi="Century Gothic" w:cs="Arial"/>
          <w:bCs/>
          <w:sz w:val="22"/>
          <w:szCs w:val="22"/>
          <w:lang w:val="en-US"/>
        </w:rPr>
        <w:t>when setting funding strategy</w:t>
      </w:r>
      <w:r>
        <w:rPr>
          <w:rFonts w:ascii="Century Gothic" w:hAnsi="Century Gothic" w:cs="Arial"/>
          <w:bCs/>
          <w:sz w:val="22"/>
          <w:szCs w:val="22"/>
          <w:lang w:val="en-US"/>
        </w:rPr>
        <w:t>.</w:t>
      </w:r>
    </w:p>
    <w:p w:rsidR="0072401E" w:rsidRDefault="0072401E" w:rsidP="007C58B8">
      <w:pPr>
        <w:spacing w:before="60" w:after="60" w:line="276" w:lineRule="auto"/>
        <w:jc w:val="both"/>
        <w:rPr>
          <w:rFonts w:ascii="Century Gothic" w:hAnsi="Century Gothic" w:cs="Arial"/>
          <w:bCs/>
          <w:sz w:val="22"/>
          <w:szCs w:val="22"/>
          <w:lang w:val="en-US"/>
        </w:rPr>
      </w:pPr>
    </w:p>
    <w:p w:rsidR="0045078B" w:rsidRPr="0045078B" w:rsidRDefault="0045078B" w:rsidP="007C58B8">
      <w:pPr>
        <w:spacing w:before="60" w:after="60" w:line="276" w:lineRule="auto"/>
        <w:jc w:val="both"/>
        <w:rPr>
          <w:rFonts w:ascii="Century Gothic" w:hAnsi="Century Gothic" w:cs="Arial"/>
          <w:b/>
          <w:bCs/>
          <w:sz w:val="22"/>
          <w:szCs w:val="22"/>
          <w:lang w:val="en-US"/>
        </w:rPr>
      </w:pPr>
      <w:r w:rsidRPr="0045078B">
        <w:rPr>
          <w:rFonts w:ascii="Century Gothic" w:hAnsi="Century Gothic" w:cs="Arial"/>
          <w:b/>
          <w:bCs/>
          <w:sz w:val="22"/>
          <w:szCs w:val="22"/>
          <w:lang w:val="en-US"/>
        </w:rPr>
        <w:t>Funding security</w:t>
      </w:r>
    </w:p>
    <w:p w:rsidR="0045078B" w:rsidRDefault="0045078B" w:rsidP="007C58B8">
      <w:pPr>
        <w:spacing w:before="60" w:after="60" w:line="276" w:lineRule="auto"/>
        <w:jc w:val="both"/>
        <w:rPr>
          <w:rFonts w:ascii="Century Gothic" w:hAnsi="Century Gothic" w:cs="Arial"/>
          <w:bCs/>
          <w:sz w:val="22"/>
          <w:szCs w:val="22"/>
          <w:lang w:val="en-US"/>
        </w:rPr>
      </w:pPr>
      <w:r w:rsidRPr="0045078B">
        <w:rPr>
          <w:rFonts w:ascii="Century Gothic" w:hAnsi="Century Gothic" w:cs="Arial"/>
          <w:bCs/>
          <w:sz w:val="22"/>
          <w:szCs w:val="22"/>
          <w:lang w:val="en-US"/>
        </w:rPr>
        <w:t>One of the conflicts between t</w:t>
      </w:r>
      <w:r>
        <w:rPr>
          <w:rFonts w:ascii="Century Gothic" w:hAnsi="Century Gothic" w:cs="Arial"/>
          <w:bCs/>
          <w:sz w:val="22"/>
          <w:szCs w:val="22"/>
          <w:lang w:val="en-US"/>
        </w:rPr>
        <w:t>he firm and scheme members</w:t>
      </w:r>
      <w:r w:rsidR="00891D6F">
        <w:rPr>
          <w:rFonts w:ascii="Century Gothic" w:hAnsi="Century Gothic" w:cs="Arial"/>
          <w:bCs/>
          <w:sz w:val="22"/>
          <w:szCs w:val="22"/>
          <w:lang w:val="en-US"/>
        </w:rPr>
        <w:t xml:space="preserve"> (and regulators)</w:t>
      </w:r>
      <w:r>
        <w:rPr>
          <w:rFonts w:ascii="Century Gothic" w:hAnsi="Century Gothic" w:cs="Arial"/>
          <w:bCs/>
          <w:sz w:val="22"/>
          <w:szCs w:val="22"/>
          <w:lang w:val="en-US"/>
        </w:rPr>
        <w:t xml:space="preserve"> is the desired funding level of the scheme.  In general, the firm tends to fund just enough asset</w:t>
      </w:r>
      <w:r w:rsidR="001030E6">
        <w:rPr>
          <w:rFonts w:ascii="Century Gothic" w:hAnsi="Century Gothic" w:cs="Arial"/>
          <w:bCs/>
          <w:sz w:val="22"/>
          <w:szCs w:val="22"/>
          <w:lang w:val="en-US"/>
        </w:rPr>
        <w:t>s</w:t>
      </w:r>
      <w:r>
        <w:rPr>
          <w:rFonts w:ascii="Century Gothic" w:hAnsi="Century Gothic" w:cs="Arial"/>
          <w:bCs/>
          <w:sz w:val="22"/>
          <w:szCs w:val="22"/>
          <w:lang w:val="en-US"/>
        </w:rPr>
        <w:t xml:space="preserve"> to support the</w:t>
      </w:r>
      <w:r w:rsidR="00AC04E1">
        <w:rPr>
          <w:rFonts w:ascii="Century Gothic" w:hAnsi="Century Gothic" w:cs="Arial"/>
          <w:bCs/>
          <w:sz w:val="22"/>
          <w:szCs w:val="22"/>
          <w:lang w:val="en-US"/>
        </w:rPr>
        <w:t xml:space="preserve"> benefit</w:t>
      </w:r>
      <w:r w:rsidR="000D3F0C">
        <w:rPr>
          <w:rFonts w:ascii="Century Gothic" w:hAnsi="Century Gothic" w:cs="Arial"/>
          <w:bCs/>
          <w:sz w:val="22"/>
          <w:szCs w:val="22"/>
          <w:lang w:val="en-US"/>
        </w:rPr>
        <w:t>s</w:t>
      </w:r>
      <w:r w:rsidR="00AC04E1">
        <w:rPr>
          <w:rFonts w:ascii="Century Gothic" w:hAnsi="Century Gothic" w:cs="Arial"/>
          <w:bCs/>
          <w:sz w:val="22"/>
          <w:szCs w:val="22"/>
          <w:lang w:val="en-US"/>
        </w:rPr>
        <w:t xml:space="preserve">. On the contrary, scheme members always seek </w:t>
      </w:r>
      <w:r w:rsidR="00AC04E1" w:rsidRPr="00AC04E1">
        <w:rPr>
          <w:rFonts w:ascii="Century Gothic" w:hAnsi="Century Gothic" w:cs="Arial"/>
          <w:bCs/>
          <w:sz w:val="22"/>
          <w:szCs w:val="22"/>
          <w:lang w:val="en-US"/>
        </w:rPr>
        <w:t xml:space="preserve">greater security </w:t>
      </w:r>
      <w:r w:rsidR="00AC04E1">
        <w:rPr>
          <w:rFonts w:ascii="Century Gothic" w:hAnsi="Century Gothic" w:cs="Arial"/>
          <w:bCs/>
          <w:sz w:val="22"/>
          <w:szCs w:val="22"/>
          <w:lang w:val="en-US"/>
        </w:rPr>
        <w:t xml:space="preserve">for their pension plan to reduce the </w:t>
      </w:r>
      <w:r w:rsidR="00AC04E1" w:rsidRPr="00AC04E1">
        <w:rPr>
          <w:rFonts w:ascii="Century Gothic" w:hAnsi="Century Gothic" w:cs="Arial"/>
          <w:bCs/>
          <w:sz w:val="22"/>
          <w:szCs w:val="22"/>
          <w:lang w:val="en-US"/>
        </w:rPr>
        <w:t xml:space="preserve">likelihood of </w:t>
      </w:r>
      <w:r w:rsidR="000D3F0C">
        <w:rPr>
          <w:rFonts w:ascii="Century Gothic" w:hAnsi="Century Gothic" w:cs="Arial"/>
          <w:bCs/>
          <w:sz w:val="22"/>
          <w:szCs w:val="22"/>
          <w:lang w:val="en-US"/>
        </w:rPr>
        <w:t xml:space="preserve">occurrence of </w:t>
      </w:r>
      <w:r w:rsidR="00AC04E1" w:rsidRPr="00AC04E1">
        <w:rPr>
          <w:rFonts w:ascii="Century Gothic" w:hAnsi="Century Gothic" w:cs="Arial"/>
          <w:bCs/>
          <w:sz w:val="22"/>
          <w:szCs w:val="22"/>
          <w:lang w:val="en-US"/>
        </w:rPr>
        <w:t>deficits</w:t>
      </w:r>
      <w:r w:rsidR="00AC04E1">
        <w:rPr>
          <w:rFonts w:ascii="Century Gothic" w:hAnsi="Century Gothic" w:cs="Arial"/>
          <w:bCs/>
          <w:sz w:val="22"/>
          <w:szCs w:val="22"/>
          <w:lang w:val="en-US"/>
        </w:rPr>
        <w:t>.</w:t>
      </w:r>
    </w:p>
    <w:p w:rsidR="00AC04E1" w:rsidRDefault="00AC04E1" w:rsidP="007C58B8">
      <w:pPr>
        <w:spacing w:before="60" w:after="60" w:line="276" w:lineRule="auto"/>
        <w:jc w:val="both"/>
        <w:rPr>
          <w:rFonts w:ascii="Century Gothic" w:hAnsi="Century Gothic" w:cs="Arial"/>
          <w:bCs/>
          <w:sz w:val="22"/>
          <w:szCs w:val="22"/>
          <w:lang w:val="en-US"/>
        </w:rPr>
      </w:pPr>
    </w:p>
    <w:p w:rsidR="00AC04E1" w:rsidRDefault="00AC04E1" w:rsidP="00470747">
      <w:pPr>
        <w:spacing w:before="60" w:after="60" w:line="276" w:lineRule="auto"/>
        <w:jc w:val="both"/>
        <w:rPr>
          <w:rFonts w:ascii="Century Gothic" w:hAnsi="Century Gothic" w:cs="Arial"/>
          <w:bCs/>
          <w:sz w:val="22"/>
          <w:szCs w:val="22"/>
          <w:lang w:val="en-US"/>
        </w:rPr>
      </w:pPr>
      <w:r w:rsidRPr="00AC04E1">
        <w:rPr>
          <w:rFonts w:ascii="Century Gothic" w:hAnsi="Century Gothic" w:cs="Arial"/>
          <w:bCs/>
          <w:sz w:val="22"/>
          <w:szCs w:val="22"/>
          <w:lang w:val="en-US"/>
        </w:rPr>
        <w:t xml:space="preserve">EAN </w:t>
      </w:r>
      <w:r>
        <w:rPr>
          <w:rFonts w:ascii="Century Gothic" w:hAnsi="Century Gothic" w:cs="Arial"/>
          <w:bCs/>
          <w:sz w:val="22"/>
          <w:szCs w:val="22"/>
          <w:lang w:val="en-US"/>
        </w:rPr>
        <w:t>method</w:t>
      </w:r>
      <w:r w:rsidRPr="00AC04E1">
        <w:rPr>
          <w:rFonts w:ascii="Century Gothic" w:hAnsi="Century Gothic" w:cs="Arial"/>
          <w:bCs/>
          <w:sz w:val="22"/>
          <w:szCs w:val="22"/>
          <w:lang w:val="en-US"/>
        </w:rPr>
        <w:t xml:space="preserve"> </w:t>
      </w:r>
      <w:r w:rsidR="001030E6">
        <w:rPr>
          <w:rFonts w:ascii="Century Gothic" w:hAnsi="Century Gothic" w:cs="Arial"/>
          <w:bCs/>
          <w:sz w:val="22"/>
          <w:szCs w:val="22"/>
          <w:lang w:val="en-US"/>
        </w:rPr>
        <w:t>has</w:t>
      </w:r>
      <w:r w:rsidRPr="00AC04E1">
        <w:rPr>
          <w:rFonts w:ascii="Century Gothic" w:hAnsi="Century Gothic" w:cs="Arial"/>
          <w:bCs/>
          <w:sz w:val="22"/>
          <w:szCs w:val="22"/>
          <w:lang w:val="en-US"/>
        </w:rPr>
        <w:t xml:space="preserve"> </w:t>
      </w:r>
      <w:r w:rsidR="001030E6">
        <w:rPr>
          <w:rFonts w:ascii="Century Gothic" w:hAnsi="Century Gothic" w:cs="Arial"/>
          <w:bCs/>
          <w:sz w:val="22"/>
          <w:szCs w:val="22"/>
          <w:lang w:val="en-US"/>
        </w:rPr>
        <w:t xml:space="preserve">higher </w:t>
      </w:r>
      <w:r w:rsidRPr="00AC04E1">
        <w:rPr>
          <w:rFonts w:ascii="Century Gothic" w:hAnsi="Century Gothic" w:cs="Arial"/>
          <w:bCs/>
          <w:sz w:val="22"/>
          <w:szCs w:val="22"/>
          <w:lang w:val="en-US"/>
        </w:rPr>
        <w:t xml:space="preserve">contributions </w:t>
      </w:r>
      <w:r>
        <w:rPr>
          <w:rFonts w:ascii="Century Gothic" w:hAnsi="Century Gothic" w:cs="Arial"/>
          <w:bCs/>
          <w:sz w:val="22"/>
          <w:szCs w:val="22"/>
          <w:lang w:val="en-US"/>
        </w:rPr>
        <w:t xml:space="preserve">at front and establish a surplus in the fund, which is in </w:t>
      </w:r>
      <w:r w:rsidR="00A94337">
        <w:rPr>
          <w:rFonts w:ascii="Century Gothic" w:hAnsi="Century Gothic" w:cs="Arial"/>
          <w:bCs/>
          <w:sz w:val="22"/>
          <w:szCs w:val="22"/>
          <w:lang w:val="en-US"/>
        </w:rPr>
        <w:t>line with</w:t>
      </w:r>
      <w:r>
        <w:rPr>
          <w:rFonts w:ascii="Century Gothic" w:hAnsi="Century Gothic" w:cs="Arial"/>
          <w:bCs/>
          <w:sz w:val="22"/>
          <w:szCs w:val="22"/>
          <w:lang w:val="en-US"/>
        </w:rPr>
        <w:t xml:space="preserve"> members</w:t>
      </w:r>
      <w:r w:rsidR="00A94337">
        <w:rPr>
          <w:rFonts w:ascii="Century Gothic" w:hAnsi="Century Gothic" w:cs="Arial"/>
          <w:bCs/>
          <w:sz w:val="22"/>
          <w:szCs w:val="22"/>
          <w:lang w:val="en-US"/>
        </w:rPr>
        <w:t>’ interest</w:t>
      </w:r>
      <w:r>
        <w:rPr>
          <w:rFonts w:ascii="Century Gothic" w:hAnsi="Century Gothic" w:cs="Arial"/>
          <w:bCs/>
          <w:sz w:val="22"/>
          <w:szCs w:val="22"/>
          <w:lang w:val="en-US"/>
        </w:rPr>
        <w:t xml:space="preserve">. However, the employer may not wish to maintain </w:t>
      </w:r>
      <w:r w:rsidR="00470747">
        <w:rPr>
          <w:rFonts w:ascii="Century Gothic" w:hAnsi="Century Gothic" w:cs="Arial"/>
          <w:bCs/>
          <w:sz w:val="22"/>
          <w:szCs w:val="22"/>
          <w:lang w:val="en-US"/>
        </w:rPr>
        <w:t xml:space="preserve">such </w:t>
      </w:r>
      <w:r>
        <w:rPr>
          <w:rFonts w:ascii="Century Gothic" w:hAnsi="Century Gothic" w:cs="Arial"/>
          <w:bCs/>
          <w:sz w:val="22"/>
          <w:szCs w:val="22"/>
          <w:lang w:val="en-US"/>
        </w:rPr>
        <w:t>a high level of funding</w:t>
      </w:r>
      <w:r w:rsidR="00470747">
        <w:rPr>
          <w:rFonts w:ascii="Century Gothic" w:hAnsi="Century Gothic" w:cs="Arial"/>
          <w:bCs/>
          <w:sz w:val="22"/>
          <w:szCs w:val="22"/>
          <w:lang w:val="en-US"/>
        </w:rPr>
        <w:t xml:space="preserve">. As </w:t>
      </w:r>
      <w:r>
        <w:rPr>
          <w:rFonts w:ascii="Century Gothic" w:hAnsi="Century Gothic" w:cs="Arial"/>
          <w:bCs/>
          <w:sz w:val="22"/>
          <w:szCs w:val="22"/>
          <w:lang w:val="en-US"/>
        </w:rPr>
        <w:t xml:space="preserve">a result, the salary </w:t>
      </w:r>
      <w:r w:rsidR="00470747">
        <w:rPr>
          <w:rFonts w:ascii="Century Gothic" w:hAnsi="Century Gothic" w:cs="Arial"/>
          <w:bCs/>
          <w:sz w:val="22"/>
          <w:szCs w:val="22"/>
          <w:lang w:val="en-US"/>
        </w:rPr>
        <w:t xml:space="preserve">inflation could be </w:t>
      </w:r>
      <w:r w:rsidR="001030E6">
        <w:rPr>
          <w:rFonts w:ascii="Century Gothic" w:hAnsi="Century Gothic" w:cs="Arial"/>
          <w:bCs/>
          <w:sz w:val="22"/>
          <w:szCs w:val="22"/>
          <w:lang w:val="en-US"/>
        </w:rPr>
        <w:t>reduced</w:t>
      </w:r>
      <w:r w:rsidR="00470747">
        <w:rPr>
          <w:rFonts w:ascii="Century Gothic" w:hAnsi="Century Gothic" w:cs="Arial"/>
          <w:bCs/>
          <w:sz w:val="22"/>
          <w:szCs w:val="22"/>
          <w:lang w:val="en-US"/>
        </w:rPr>
        <w:t xml:space="preserve"> by the employer in order to recoup the </w:t>
      </w:r>
      <w:r w:rsidR="00A94337">
        <w:rPr>
          <w:rFonts w:ascii="Century Gothic" w:hAnsi="Century Gothic" w:cs="Arial"/>
          <w:bCs/>
          <w:sz w:val="22"/>
          <w:szCs w:val="22"/>
          <w:lang w:val="en-US"/>
        </w:rPr>
        <w:t xml:space="preserve">extra </w:t>
      </w:r>
      <w:r w:rsidR="00470747">
        <w:rPr>
          <w:rFonts w:ascii="Century Gothic" w:hAnsi="Century Gothic" w:cs="Arial"/>
          <w:bCs/>
          <w:sz w:val="22"/>
          <w:szCs w:val="22"/>
          <w:lang w:val="en-US"/>
        </w:rPr>
        <w:t xml:space="preserve">cost of </w:t>
      </w:r>
      <w:r w:rsidR="00A94337">
        <w:rPr>
          <w:rFonts w:ascii="Century Gothic" w:hAnsi="Century Gothic" w:cs="Arial"/>
          <w:bCs/>
          <w:sz w:val="22"/>
          <w:szCs w:val="22"/>
          <w:lang w:val="en-US"/>
        </w:rPr>
        <w:t>having an</w:t>
      </w:r>
      <w:r w:rsidR="00C5113B">
        <w:rPr>
          <w:rFonts w:ascii="Century Gothic" w:hAnsi="Century Gothic" w:cs="Arial"/>
          <w:bCs/>
          <w:sz w:val="22"/>
          <w:szCs w:val="22"/>
          <w:lang w:val="en-US"/>
        </w:rPr>
        <w:t xml:space="preserve"> </w:t>
      </w:r>
      <w:r>
        <w:rPr>
          <w:rFonts w:ascii="Century Gothic" w:hAnsi="Century Gothic" w:cs="Arial"/>
          <w:bCs/>
          <w:sz w:val="22"/>
          <w:szCs w:val="22"/>
          <w:lang w:val="en-US"/>
        </w:rPr>
        <w:t>increa</w:t>
      </w:r>
      <w:r w:rsidR="00470747">
        <w:rPr>
          <w:rFonts w:ascii="Century Gothic" w:hAnsi="Century Gothic" w:cs="Arial"/>
          <w:bCs/>
          <w:sz w:val="22"/>
          <w:szCs w:val="22"/>
          <w:lang w:val="en-US"/>
        </w:rPr>
        <w:t xml:space="preserve">sed </w:t>
      </w:r>
      <w:r w:rsidR="00A94337">
        <w:rPr>
          <w:rFonts w:ascii="Century Gothic" w:hAnsi="Century Gothic" w:cs="Arial"/>
          <w:bCs/>
          <w:sz w:val="22"/>
          <w:szCs w:val="22"/>
          <w:lang w:val="en-US"/>
        </w:rPr>
        <w:t xml:space="preserve">funding </w:t>
      </w:r>
      <w:r w:rsidR="00470747">
        <w:rPr>
          <w:rFonts w:ascii="Century Gothic" w:hAnsi="Century Gothic" w:cs="Arial"/>
          <w:bCs/>
          <w:sz w:val="22"/>
          <w:szCs w:val="22"/>
          <w:lang w:val="en-US"/>
        </w:rPr>
        <w:t>security.</w:t>
      </w:r>
    </w:p>
    <w:p w:rsidR="00AC04E1" w:rsidRDefault="00AC04E1" w:rsidP="007C58B8">
      <w:pPr>
        <w:spacing w:before="60" w:after="60" w:line="276" w:lineRule="auto"/>
        <w:jc w:val="both"/>
        <w:rPr>
          <w:rFonts w:ascii="Century Gothic" w:hAnsi="Century Gothic" w:cs="Arial"/>
          <w:bCs/>
          <w:sz w:val="22"/>
          <w:szCs w:val="22"/>
          <w:lang w:val="en-US"/>
        </w:rPr>
      </w:pPr>
    </w:p>
    <w:p w:rsidR="005B6FAC" w:rsidRDefault="00470747" w:rsidP="005B6FAC">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To manage this conflict, the different funding strategy and the indications thereof should be well discussed to both the members and the employers so that they could reach an agreement on the trade-off between fund security and future salaries.</w:t>
      </w:r>
      <w:r w:rsidR="005B6FAC">
        <w:rPr>
          <w:rFonts w:ascii="Century Gothic" w:hAnsi="Century Gothic" w:cs="Arial"/>
          <w:bCs/>
          <w:sz w:val="22"/>
          <w:szCs w:val="22"/>
          <w:lang w:val="en-US"/>
        </w:rPr>
        <w:t xml:space="preserve"> Setting a reasonable expectation</w:t>
      </w:r>
      <w:r w:rsidR="00C5113B">
        <w:rPr>
          <w:rFonts w:ascii="Century Gothic" w:hAnsi="Century Gothic" w:cs="Arial"/>
          <w:bCs/>
          <w:sz w:val="22"/>
          <w:szCs w:val="22"/>
          <w:lang w:val="en-US"/>
        </w:rPr>
        <w:t xml:space="preserve"> beforehand</w:t>
      </w:r>
      <w:r w:rsidR="005B6FAC">
        <w:rPr>
          <w:rFonts w:ascii="Century Gothic" w:hAnsi="Century Gothic" w:cs="Arial"/>
          <w:bCs/>
          <w:sz w:val="22"/>
          <w:szCs w:val="22"/>
          <w:lang w:val="en-US"/>
        </w:rPr>
        <w:t xml:space="preserve"> is crucial.</w:t>
      </w:r>
    </w:p>
    <w:p w:rsidR="00E05A16" w:rsidRDefault="00E05A16" w:rsidP="00624125">
      <w:pPr>
        <w:spacing w:before="60" w:after="60" w:line="276" w:lineRule="auto"/>
        <w:jc w:val="both"/>
        <w:rPr>
          <w:rFonts w:ascii="Century Gothic" w:hAnsi="Century Gothic" w:cs="Arial"/>
          <w:b/>
          <w:bCs/>
          <w:sz w:val="22"/>
          <w:szCs w:val="22"/>
          <w:lang w:val="en-US"/>
        </w:rPr>
      </w:pPr>
    </w:p>
    <w:p w:rsidR="00624125" w:rsidRDefault="00624125" w:rsidP="00624125">
      <w:pPr>
        <w:spacing w:before="60" w:after="60" w:line="276" w:lineRule="auto"/>
        <w:jc w:val="both"/>
        <w:rPr>
          <w:rFonts w:ascii="Century Gothic" w:hAnsi="Century Gothic" w:cs="Arial"/>
          <w:b/>
          <w:bCs/>
          <w:sz w:val="22"/>
          <w:szCs w:val="22"/>
          <w:lang w:val="en-US"/>
        </w:rPr>
      </w:pPr>
      <w:r w:rsidRPr="0045078B">
        <w:rPr>
          <w:rFonts w:ascii="Century Gothic" w:hAnsi="Century Gothic" w:cs="Arial"/>
          <w:b/>
          <w:bCs/>
          <w:sz w:val="22"/>
          <w:szCs w:val="22"/>
          <w:lang w:val="en-US"/>
        </w:rPr>
        <w:t xml:space="preserve">Investment </w:t>
      </w:r>
      <w:r>
        <w:rPr>
          <w:rFonts w:ascii="Century Gothic" w:hAnsi="Century Gothic" w:cs="Arial"/>
          <w:b/>
          <w:bCs/>
          <w:sz w:val="22"/>
          <w:szCs w:val="22"/>
          <w:lang w:val="en-US"/>
        </w:rPr>
        <w:t>strategy</w:t>
      </w:r>
    </w:p>
    <w:p w:rsidR="0088224E" w:rsidRDefault="0088224E" w:rsidP="0088224E">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The employer may</w:t>
      </w:r>
      <w:r w:rsidR="00A94337">
        <w:rPr>
          <w:rFonts w:ascii="Century Gothic" w:hAnsi="Century Gothic" w:cs="Arial"/>
          <w:bCs/>
          <w:sz w:val="22"/>
          <w:szCs w:val="22"/>
          <w:lang w:val="en-US"/>
        </w:rPr>
        <w:t xml:space="preserve"> wish to</w:t>
      </w:r>
      <w:r>
        <w:rPr>
          <w:rFonts w:ascii="Century Gothic" w:hAnsi="Century Gothic" w:cs="Arial"/>
          <w:bCs/>
          <w:sz w:val="22"/>
          <w:szCs w:val="22"/>
          <w:lang w:val="en-US"/>
        </w:rPr>
        <w:t xml:space="preserve"> invest in higher risk assets to achieve higher returns so that they could contribute less to the fund. </w:t>
      </w:r>
      <w:r w:rsidR="006E7B26">
        <w:rPr>
          <w:rFonts w:ascii="Century Gothic" w:hAnsi="Century Gothic" w:cs="Arial"/>
          <w:bCs/>
          <w:sz w:val="22"/>
          <w:szCs w:val="22"/>
          <w:lang w:val="en-US"/>
        </w:rPr>
        <w:t>However, r</w:t>
      </w:r>
      <w:r>
        <w:rPr>
          <w:rFonts w:ascii="Century Gothic" w:hAnsi="Century Gothic" w:cs="Arial"/>
          <w:bCs/>
          <w:sz w:val="22"/>
          <w:szCs w:val="22"/>
          <w:lang w:val="en-US"/>
        </w:rPr>
        <w:t xml:space="preserve">egulators may wish </w:t>
      </w:r>
      <w:r w:rsidR="006E7B26">
        <w:rPr>
          <w:rFonts w:ascii="Century Gothic" w:hAnsi="Century Gothic" w:cs="Arial"/>
          <w:bCs/>
          <w:sz w:val="22"/>
          <w:szCs w:val="22"/>
          <w:lang w:val="en-US"/>
        </w:rPr>
        <w:t xml:space="preserve">the </w:t>
      </w:r>
      <w:r w:rsidR="006E7B26">
        <w:rPr>
          <w:rFonts w:ascii="Century Gothic" w:hAnsi="Century Gothic" w:cs="Arial"/>
          <w:bCs/>
          <w:sz w:val="22"/>
          <w:szCs w:val="22"/>
          <w:lang w:val="en-US"/>
        </w:rPr>
        <w:lastRenderedPageBreak/>
        <w:t>employer take</w:t>
      </w:r>
      <w:r>
        <w:rPr>
          <w:rFonts w:ascii="Century Gothic" w:hAnsi="Century Gothic" w:cs="Arial"/>
          <w:bCs/>
          <w:sz w:val="22"/>
          <w:szCs w:val="22"/>
          <w:lang w:val="en-US"/>
        </w:rPr>
        <w:t xml:space="preserve"> </w:t>
      </w:r>
      <w:r w:rsidR="006E7B26">
        <w:rPr>
          <w:rFonts w:ascii="Century Gothic" w:hAnsi="Century Gothic" w:cs="Arial"/>
          <w:bCs/>
          <w:sz w:val="22"/>
          <w:szCs w:val="22"/>
          <w:lang w:val="en-US"/>
        </w:rPr>
        <w:t>low</w:t>
      </w:r>
      <w:r w:rsidRPr="0088224E">
        <w:rPr>
          <w:rFonts w:ascii="Century Gothic" w:hAnsi="Century Gothic" w:cs="Arial"/>
          <w:bCs/>
          <w:sz w:val="22"/>
          <w:szCs w:val="22"/>
          <w:lang w:val="en-US"/>
        </w:rPr>
        <w:t xml:space="preserve"> investment risk</w:t>
      </w:r>
      <w:r>
        <w:rPr>
          <w:rFonts w:ascii="Century Gothic" w:hAnsi="Century Gothic" w:cs="Arial"/>
          <w:bCs/>
          <w:sz w:val="22"/>
          <w:szCs w:val="22"/>
          <w:lang w:val="en-US"/>
        </w:rPr>
        <w:t xml:space="preserve"> to minimize the </w:t>
      </w:r>
      <w:r w:rsidR="006E7B26">
        <w:rPr>
          <w:rFonts w:ascii="Century Gothic" w:hAnsi="Century Gothic" w:cs="Arial"/>
          <w:bCs/>
          <w:sz w:val="22"/>
          <w:szCs w:val="22"/>
          <w:lang w:val="en-US"/>
        </w:rPr>
        <w:t>likelihood</w:t>
      </w:r>
      <w:r w:rsidRPr="0088224E">
        <w:rPr>
          <w:rFonts w:ascii="Century Gothic" w:hAnsi="Century Gothic" w:cs="Arial"/>
          <w:bCs/>
          <w:sz w:val="22"/>
          <w:szCs w:val="22"/>
          <w:lang w:val="en-US"/>
        </w:rPr>
        <w:t xml:space="preserve"> </w:t>
      </w:r>
      <w:r>
        <w:rPr>
          <w:rFonts w:ascii="Century Gothic" w:hAnsi="Century Gothic" w:cs="Arial"/>
          <w:bCs/>
          <w:sz w:val="22"/>
          <w:szCs w:val="22"/>
          <w:lang w:val="en-US"/>
        </w:rPr>
        <w:t xml:space="preserve">that the employer is not able to meet the </w:t>
      </w:r>
      <w:r w:rsidR="00C5113B">
        <w:rPr>
          <w:rFonts w:ascii="Century Gothic" w:hAnsi="Century Gothic" w:cs="Arial"/>
          <w:bCs/>
          <w:sz w:val="22"/>
          <w:szCs w:val="22"/>
          <w:lang w:val="en-US"/>
        </w:rPr>
        <w:t>obligations</w:t>
      </w:r>
      <w:r>
        <w:rPr>
          <w:rFonts w:ascii="Century Gothic" w:hAnsi="Century Gothic" w:cs="Arial"/>
          <w:bCs/>
          <w:sz w:val="22"/>
          <w:szCs w:val="22"/>
          <w:lang w:val="en-US"/>
        </w:rPr>
        <w:t>.</w:t>
      </w:r>
    </w:p>
    <w:p w:rsidR="0088224E" w:rsidRDefault="0088224E" w:rsidP="00624125">
      <w:pPr>
        <w:spacing w:before="60" w:after="60" w:line="276" w:lineRule="auto"/>
        <w:jc w:val="both"/>
        <w:rPr>
          <w:rFonts w:ascii="Century Gothic" w:hAnsi="Century Gothic" w:cs="Arial"/>
          <w:bCs/>
          <w:sz w:val="22"/>
          <w:szCs w:val="22"/>
          <w:lang w:val="en-US"/>
        </w:rPr>
      </w:pPr>
    </w:p>
    <w:p w:rsidR="006E7B26" w:rsidRDefault="006E7B26" w:rsidP="00624125">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Therefore, the i</w:t>
      </w:r>
      <w:r w:rsidRPr="006E7B26">
        <w:rPr>
          <w:rFonts w:ascii="Century Gothic" w:hAnsi="Century Gothic" w:cs="Arial"/>
          <w:bCs/>
          <w:sz w:val="22"/>
          <w:szCs w:val="22"/>
          <w:lang w:val="en-US"/>
        </w:rPr>
        <w:t>nvestment strategy</w:t>
      </w:r>
      <w:r>
        <w:rPr>
          <w:rFonts w:ascii="Century Gothic" w:hAnsi="Century Gothic" w:cs="Arial"/>
          <w:bCs/>
          <w:sz w:val="22"/>
          <w:szCs w:val="22"/>
          <w:lang w:val="en-US"/>
        </w:rPr>
        <w:t xml:space="preserve"> of a scheme should be regularly reviewed by both employer and regulator to ensure a certain level of security is</w:t>
      </w:r>
      <w:r w:rsidR="00C5113B">
        <w:rPr>
          <w:rFonts w:ascii="Century Gothic" w:hAnsi="Century Gothic" w:cs="Arial"/>
          <w:bCs/>
          <w:sz w:val="22"/>
          <w:szCs w:val="22"/>
          <w:lang w:val="en-US"/>
        </w:rPr>
        <w:t xml:space="preserve"> </w:t>
      </w:r>
      <w:r w:rsidR="00C5113B">
        <w:rPr>
          <w:rFonts w:ascii="Century Gothic" w:hAnsi="Century Gothic" w:cs="Arial" w:hint="eastAsia"/>
          <w:bCs/>
          <w:sz w:val="22"/>
          <w:szCs w:val="22"/>
          <w:lang w:val="en-US" w:eastAsia="zh-CN"/>
        </w:rPr>
        <w:t>not</w:t>
      </w:r>
      <w:r w:rsidR="00C5113B">
        <w:rPr>
          <w:rFonts w:ascii="Century Gothic" w:hAnsi="Century Gothic" w:cs="Arial"/>
          <w:bCs/>
          <w:sz w:val="22"/>
          <w:szCs w:val="22"/>
          <w:lang w:val="en-US" w:eastAsia="zh-CN"/>
        </w:rPr>
        <w:t xml:space="preserve"> breached by taking </w:t>
      </w:r>
      <w:r w:rsidR="00C5113B" w:rsidRPr="00C5113B">
        <w:rPr>
          <w:rFonts w:ascii="Century Gothic" w:hAnsi="Century Gothic" w:cs="Arial"/>
          <w:bCs/>
          <w:sz w:val="22"/>
          <w:szCs w:val="22"/>
          <w:lang w:val="en-US" w:eastAsia="zh-CN"/>
        </w:rPr>
        <w:t xml:space="preserve">excessive </w:t>
      </w:r>
      <w:r w:rsidR="00C5113B">
        <w:rPr>
          <w:rFonts w:ascii="Century Gothic" w:hAnsi="Century Gothic" w:cs="Arial"/>
          <w:bCs/>
          <w:sz w:val="22"/>
          <w:szCs w:val="22"/>
          <w:lang w:val="en-US" w:eastAsia="zh-CN"/>
        </w:rPr>
        <w:t>investment risks</w:t>
      </w:r>
      <w:r>
        <w:rPr>
          <w:rFonts w:ascii="Century Gothic" w:hAnsi="Century Gothic" w:cs="Arial"/>
          <w:bCs/>
          <w:sz w:val="22"/>
          <w:szCs w:val="22"/>
          <w:lang w:val="en-US"/>
        </w:rPr>
        <w:t xml:space="preserve">. </w:t>
      </w:r>
      <w:r>
        <w:rPr>
          <w:rFonts w:ascii="Century Gothic" w:hAnsi="Century Gothic" w:cs="Arial" w:hint="eastAsia"/>
          <w:bCs/>
          <w:sz w:val="22"/>
          <w:szCs w:val="22"/>
          <w:lang w:val="en-US" w:eastAsia="zh-CN"/>
        </w:rPr>
        <w:t>T</w:t>
      </w:r>
      <w:r>
        <w:rPr>
          <w:rFonts w:ascii="Century Gothic" w:hAnsi="Century Gothic" w:cs="Arial"/>
          <w:bCs/>
          <w:sz w:val="22"/>
          <w:szCs w:val="22"/>
          <w:lang w:val="en-US" w:eastAsia="zh-CN"/>
        </w:rPr>
        <w:t>h</w:t>
      </w:r>
      <w:r>
        <w:rPr>
          <w:rFonts w:ascii="Century Gothic" w:hAnsi="Century Gothic" w:cs="Arial" w:hint="eastAsia"/>
          <w:bCs/>
          <w:sz w:val="22"/>
          <w:szCs w:val="22"/>
          <w:lang w:val="en-US" w:eastAsia="zh-CN"/>
        </w:rPr>
        <w:t>e</w:t>
      </w:r>
      <w:r>
        <w:rPr>
          <w:rFonts w:ascii="Century Gothic" w:hAnsi="Century Gothic" w:cs="Arial"/>
          <w:bCs/>
          <w:sz w:val="22"/>
          <w:szCs w:val="22"/>
          <w:lang w:val="en-US" w:eastAsia="zh-CN"/>
        </w:rPr>
        <w:t xml:space="preserve"> trustee could also advise on the inherent risk in the investment strategy chosen by the employer.</w:t>
      </w:r>
    </w:p>
    <w:p w:rsidR="006E7B26" w:rsidRDefault="006E7B26" w:rsidP="006E7B26">
      <w:pPr>
        <w:spacing w:before="60" w:after="60" w:line="276" w:lineRule="auto"/>
        <w:jc w:val="both"/>
        <w:rPr>
          <w:rFonts w:ascii="Century Gothic" w:hAnsi="Century Gothic" w:cs="Arial"/>
          <w:bCs/>
          <w:sz w:val="22"/>
          <w:szCs w:val="22"/>
          <w:lang w:val="en-US"/>
        </w:rPr>
      </w:pPr>
    </w:p>
    <w:p w:rsidR="006E7B26" w:rsidRPr="00E05A16" w:rsidRDefault="006E7B26" w:rsidP="006E7B26">
      <w:pPr>
        <w:spacing w:before="60" w:after="60" w:line="276" w:lineRule="auto"/>
        <w:jc w:val="both"/>
        <w:rPr>
          <w:rFonts w:ascii="Century Gothic" w:hAnsi="Century Gothic" w:cs="Arial"/>
          <w:b/>
          <w:bCs/>
          <w:sz w:val="22"/>
          <w:szCs w:val="22"/>
          <w:lang w:val="en-US"/>
        </w:rPr>
      </w:pPr>
      <w:r w:rsidRPr="00E05A16">
        <w:rPr>
          <w:rFonts w:ascii="Century Gothic" w:hAnsi="Century Gothic" w:cs="Arial"/>
          <w:b/>
          <w:bCs/>
          <w:sz w:val="22"/>
          <w:szCs w:val="22"/>
          <w:lang w:val="en-US"/>
        </w:rPr>
        <w:t xml:space="preserve">Different </w:t>
      </w:r>
      <w:r w:rsidR="00C5113B">
        <w:rPr>
          <w:rFonts w:ascii="Century Gothic" w:hAnsi="Century Gothic" w:cs="Arial"/>
          <w:b/>
          <w:bCs/>
          <w:sz w:val="22"/>
          <w:szCs w:val="22"/>
          <w:lang w:val="en-US"/>
        </w:rPr>
        <w:t>groups</w:t>
      </w:r>
      <w:r w:rsidRPr="00E05A16">
        <w:rPr>
          <w:rFonts w:ascii="Century Gothic" w:hAnsi="Century Gothic" w:cs="Arial"/>
          <w:b/>
          <w:bCs/>
          <w:sz w:val="22"/>
          <w:szCs w:val="22"/>
          <w:lang w:val="en-US"/>
        </w:rPr>
        <w:t xml:space="preserve"> of members</w:t>
      </w:r>
    </w:p>
    <w:p w:rsidR="00B4367F" w:rsidRDefault="00B4367F"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Different members may have different interests. Older members may put more focus on the financial strength of the scheme while younger members seek value growth over security</w:t>
      </w:r>
      <w:r w:rsidR="00F63C6D">
        <w:rPr>
          <w:rFonts w:ascii="Century Gothic" w:hAnsi="Century Gothic" w:cs="Arial"/>
          <w:bCs/>
          <w:sz w:val="22"/>
          <w:szCs w:val="22"/>
          <w:lang w:val="en-US"/>
        </w:rPr>
        <w:t xml:space="preserve"> </w:t>
      </w:r>
      <w:r w:rsidR="00F63C6D">
        <w:rPr>
          <w:rFonts w:ascii="Century Gothic" w:hAnsi="Century Gothic" w:cs="Arial" w:hint="eastAsia"/>
          <w:bCs/>
          <w:sz w:val="22"/>
          <w:szCs w:val="22"/>
          <w:lang w:val="en-US" w:eastAsia="zh-CN"/>
        </w:rPr>
        <w:t>since</w:t>
      </w:r>
      <w:r w:rsidR="00F63C6D">
        <w:rPr>
          <w:rFonts w:ascii="Century Gothic" w:hAnsi="Century Gothic" w:cs="Arial"/>
          <w:bCs/>
          <w:sz w:val="22"/>
          <w:szCs w:val="22"/>
          <w:lang w:val="en-US" w:eastAsia="zh-CN"/>
        </w:rPr>
        <w:t xml:space="preserve"> </w:t>
      </w:r>
      <w:r w:rsidR="00F63C6D" w:rsidRPr="00F63C6D">
        <w:rPr>
          <w:rFonts w:ascii="Century Gothic" w:hAnsi="Century Gothic" w:cs="Arial"/>
          <w:bCs/>
          <w:sz w:val="22"/>
          <w:szCs w:val="22"/>
          <w:lang w:val="en-US" w:eastAsia="zh-CN"/>
        </w:rPr>
        <w:t>they will not receive</w:t>
      </w:r>
      <w:r w:rsidR="00F63C6D">
        <w:rPr>
          <w:rFonts w:ascii="Century Gothic" w:hAnsi="Century Gothic" w:cs="Arial"/>
          <w:bCs/>
          <w:sz w:val="22"/>
          <w:szCs w:val="22"/>
          <w:lang w:val="en-US" w:eastAsia="zh-CN"/>
        </w:rPr>
        <w:t xml:space="preserve"> retirement benefits</w:t>
      </w:r>
      <w:r w:rsidR="00F63C6D" w:rsidRPr="00F63C6D">
        <w:rPr>
          <w:rFonts w:ascii="Century Gothic" w:hAnsi="Century Gothic" w:cs="Arial"/>
          <w:bCs/>
          <w:sz w:val="22"/>
          <w:szCs w:val="22"/>
          <w:lang w:val="en-US" w:eastAsia="zh-CN"/>
        </w:rPr>
        <w:t xml:space="preserve"> for decades</w:t>
      </w:r>
      <w:r w:rsidR="00F63C6D">
        <w:rPr>
          <w:rFonts w:ascii="Century Gothic" w:hAnsi="Century Gothic" w:cs="Arial"/>
          <w:bCs/>
          <w:sz w:val="22"/>
          <w:szCs w:val="22"/>
          <w:lang w:val="en-US" w:eastAsia="zh-CN"/>
        </w:rPr>
        <w:t>.</w:t>
      </w:r>
    </w:p>
    <w:p w:rsidR="00B4367F" w:rsidRDefault="00B4367F" w:rsidP="007C58B8">
      <w:pPr>
        <w:spacing w:before="60" w:after="60" w:line="276" w:lineRule="auto"/>
        <w:jc w:val="both"/>
        <w:rPr>
          <w:rFonts w:ascii="Century Gothic" w:hAnsi="Century Gothic" w:cs="Arial"/>
          <w:bCs/>
          <w:sz w:val="22"/>
          <w:szCs w:val="22"/>
          <w:lang w:val="en-US"/>
        </w:rPr>
      </w:pPr>
    </w:p>
    <w:p w:rsidR="000D591A" w:rsidRDefault="00B4367F"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Hence, different funding method and investment strategy could be </w:t>
      </w:r>
      <w:r w:rsidR="004101BC">
        <w:rPr>
          <w:rFonts w:ascii="Century Gothic" w:hAnsi="Century Gothic" w:cs="Arial"/>
          <w:bCs/>
          <w:sz w:val="22"/>
          <w:szCs w:val="22"/>
          <w:lang w:val="en-US"/>
        </w:rPr>
        <w:t>used for</w:t>
      </w:r>
      <w:r>
        <w:rPr>
          <w:rFonts w:ascii="Century Gothic" w:hAnsi="Century Gothic" w:cs="Arial"/>
          <w:bCs/>
          <w:sz w:val="22"/>
          <w:szCs w:val="22"/>
          <w:lang w:val="en-US"/>
        </w:rPr>
        <w:t xml:space="preserve"> different groups of members. For instance, for older group</w:t>
      </w:r>
      <w:r w:rsidR="00C5113B">
        <w:rPr>
          <w:rFonts w:ascii="Century Gothic" w:hAnsi="Century Gothic" w:cs="Arial"/>
          <w:bCs/>
          <w:sz w:val="22"/>
          <w:szCs w:val="22"/>
          <w:lang w:val="en-US"/>
        </w:rPr>
        <w:t>s</w:t>
      </w:r>
      <w:r w:rsidR="00A94337">
        <w:rPr>
          <w:rFonts w:ascii="Century Gothic" w:hAnsi="Century Gothic" w:cs="Arial"/>
          <w:bCs/>
          <w:sz w:val="22"/>
          <w:szCs w:val="22"/>
          <w:lang w:val="en-US"/>
        </w:rPr>
        <w:t xml:space="preserve"> who are expected to retire in near future</w:t>
      </w:r>
      <w:r>
        <w:rPr>
          <w:rFonts w:ascii="Century Gothic" w:hAnsi="Century Gothic" w:cs="Arial"/>
          <w:bCs/>
          <w:sz w:val="22"/>
          <w:szCs w:val="22"/>
          <w:lang w:val="en-US"/>
        </w:rPr>
        <w:t>, EAN method may be more in line with their interest</w:t>
      </w:r>
      <w:r w:rsidR="004101BC">
        <w:rPr>
          <w:rFonts w:ascii="Century Gothic" w:hAnsi="Century Gothic" w:cs="Arial"/>
          <w:bCs/>
          <w:sz w:val="22"/>
          <w:szCs w:val="22"/>
          <w:lang w:val="en-US"/>
        </w:rPr>
        <w:t xml:space="preserve"> </w:t>
      </w:r>
      <w:r w:rsidR="00A94337">
        <w:rPr>
          <w:rFonts w:ascii="Century Gothic" w:hAnsi="Century Gothic" w:cs="Arial"/>
          <w:bCs/>
          <w:sz w:val="22"/>
          <w:szCs w:val="22"/>
          <w:lang w:val="en-US"/>
        </w:rPr>
        <w:t>since</w:t>
      </w:r>
      <w:r w:rsidR="004101BC">
        <w:rPr>
          <w:rFonts w:ascii="Century Gothic" w:hAnsi="Century Gothic" w:cs="Arial"/>
          <w:bCs/>
          <w:sz w:val="22"/>
          <w:szCs w:val="22"/>
          <w:lang w:val="en-US"/>
        </w:rPr>
        <w:t xml:space="preserve"> </w:t>
      </w:r>
      <w:r w:rsidR="00A94337">
        <w:rPr>
          <w:rFonts w:ascii="Century Gothic" w:hAnsi="Century Gothic" w:cs="Arial"/>
          <w:bCs/>
          <w:sz w:val="22"/>
          <w:szCs w:val="22"/>
          <w:lang w:val="en-US"/>
        </w:rPr>
        <w:t>its</w:t>
      </w:r>
      <w:r w:rsidR="004101BC">
        <w:rPr>
          <w:rFonts w:ascii="Century Gothic" w:hAnsi="Century Gothic" w:cs="Arial"/>
          <w:bCs/>
          <w:sz w:val="22"/>
          <w:szCs w:val="22"/>
          <w:lang w:val="en-US"/>
        </w:rPr>
        <w:t xml:space="preserve"> funding pace is faster, leading to a high level of funding</w:t>
      </w:r>
      <w:r w:rsidR="00A94337">
        <w:rPr>
          <w:rFonts w:ascii="Century Gothic" w:hAnsi="Century Gothic" w:cs="Arial"/>
          <w:bCs/>
          <w:sz w:val="22"/>
          <w:szCs w:val="22"/>
          <w:lang w:val="en-US"/>
        </w:rPr>
        <w:t xml:space="preserve"> in a short timeframe. Also, less risky</w:t>
      </w:r>
      <w:r w:rsidR="004101BC">
        <w:rPr>
          <w:rFonts w:ascii="Century Gothic" w:hAnsi="Century Gothic" w:cs="Arial"/>
          <w:bCs/>
          <w:sz w:val="22"/>
          <w:szCs w:val="22"/>
          <w:lang w:val="en-US"/>
        </w:rPr>
        <w:t xml:space="preserve"> assets should be invested to account for the </w:t>
      </w:r>
      <w:r w:rsidR="00A94337">
        <w:rPr>
          <w:rFonts w:ascii="Century Gothic" w:hAnsi="Century Gothic" w:cs="Arial"/>
          <w:bCs/>
          <w:sz w:val="22"/>
          <w:szCs w:val="22"/>
          <w:lang w:val="en-US"/>
        </w:rPr>
        <w:t>higher level of certainty</w:t>
      </w:r>
      <w:r w:rsidR="004839EB">
        <w:rPr>
          <w:rFonts w:ascii="Century Gothic" w:hAnsi="Century Gothic" w:cs="Arial"/>
          <w:bCs/>
          <w:sz w:val="22"/>
          <w:szCs w:val="22"/>
          <w:lang w:val="en-US"/>
        </w:rPr>
        <w:t xml:space="preserve"> that</w:t>
      </w:r>
      <w:r w:rsidR="00A94337">
        <w:rPr>
          <w:rFonts w:ascii="Century Gothic" w:hAnsi="Century Gothic" w:cs="Arial"/>
          <w:bCs/>
          <w:sz w:val="22"/>
          <w:szCs w:val="22"/>
          <w:lang w:val="en-US"/>
        </w:rPr>
        <w:t xml:space="preserve"> they desire.</w:t>
      </w:r>
    </w:p>
    <w:p w:rsidR="00A94337" w:rsidRDefault="00A94337" w:rsidP="007C58B8">
      <w:pPr>
        <w:spacing w:before="60" w:after="60" w:line="276" w:lineRule="auto"/>
        <w:jc w:val="both"/>
        <w:rPr>
          <w:rFonts w:ascii="Century Gothic" w:hAnsi="Century Gothic" w:cs="Arial"/>
          <w:bCs/>
          <w:sz w:val="22"/>
          <w:szCs w:val="22"/>
          <w:lang w:val="en-US"/>
        </w:rPr>
      </w:pPr>
    </w:p>
    <w:p w:rsidR="00082787" w:rsidRDefault="00223708"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Please let me know if you have any concerns or questions.</w:t>
      </w:r>
    </w:p>
    <w:p w:rsidR="00082787" w:rsidRPr="00082787" w:rsidRDefault="00082787" w:rsidP="007C58B8">
      <w:pPr>
        <w:spacing w:before="60" w:after="60" w:line="276" w:lineRule="auto"/>
        <w:jc w:val="both"/>
        <w:rPr>
          <w:rFonts w:ascii="Century Gothic" w:hAnsi="Century Gothic" w:cs="Arial"/>
          <w:bCs/>
          <w:sz w:val="22"/>
          <w:szCs w:val="22"/>
        </w:rPr>
      </w:pPr>
    </w:p>
    <w:p w:rsidR="00082787" w:rsidRPr="00082787" w:rsidRDefault="00082787" w:rsidP="007C58B8">
      <w:pPr>
        <w:spacing w:before="60" w:after="60" w:line="276" w:lineRule="auto"/>
        <w:jc w:val="both"/>
        <w:rPr>
          <w:rFonts w:ascii="Century Gothic" w:hAnsi="Century Gothic" w:cs="Arial"/>
          <w:bCs/>
          <w:sz w:val="22"/>
          <w:szCs w:val="22"/>
        </w:rPr>
      </w:pPr>
      <w:r w:rsidRPr="00082787">
        <w:rPr>
          <w:rFonts w:ascii="Century Gothic" w:hAnsi="Century Gothic" w:cs="Arial"/>
          <w:bCs/>
          <w:sz w:val="22"/>
          <w:szCs w:val="22"/>
        </w:rPr>
        <w:t>Regards</w:t>
      </w:r>
      <w:r>
        <w:rPr>
          <w:rFonts w:ascii="Century Gothic" w:hAnsi="Century Gothic" w:cs="Arial"/>
          <w:bCs/>
          <w:sz w:val="22"/>
          <w:szCs w:val="22"/>
        </w:rPr>
        <w:t>,</w:t>
      </w:r>
    </w:p>
    <w:p w:rsidR="00CB7529" w:rsidRDefault="00082787"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S</w:t>
      </w:r>
      <w:r w:rsidRPr="00082787">
        <w:rPr>
          <w:rFonts w:ascii="Century Gothic" w:hAnsi="Century Gothic" w:cs="Arial"/>
          <w:bCs/>
          <w:sz w:val="22"/>
          <w:szCs w:val="22"/>
        </w:rPr>
        <w:t>cheme actuary</w:t>
      </w:r>
    </w:p>
    <w:p w:rsidR="00082787" w:rsidRDefault="00082787" w:rsidP="007C58B8">
      <w:pPr>
        <w:spacing w:before="60" w:after="60" w:line="276" w:lineRule="auto"/>
        <w:jc w:val="both"/>
        <w:rPr>
          <w:rFonts w:ascii="Century Gothic" w:hAnsi="Century Gothic" w:cs="Arial"/>
          <w:b/>
          <w:bCs/>
          <w:sz w:val="22"/>
          <w:szCs w:val="22"/>
        </w:rPr>
      </w:pPr>
    </w:p>
    <w:p w:rsidR="008400BA" w:rsidRPr="005C688B" w:rsidRDefault="008400BA" w:rsidP="007C58B8">
      <w:pPr>
        <w:spacing w:before="60" w:after="60" w:line="276" w:lineRule="auto"/>
        <w:jc w:val="both"/>
        <w:rPr>
          <w:rFonts w:ascii="Century Gothic" w:hAnsi="Century Gothic" w:cs="Arial"/>
          <w:b/>
          <w:bCs/>
          <w:sz w:val="22"/>
          <w:szCs w:val="22"/>
        </w:rPr>
      </w:pPr>
    </w:p>
    <w:p w:rsidR="0052296D" w:rsidRDefault="0052296D">
      <w:pPr>
        <w:spacing w:after="160" w:line="259" w:lineRule="auto"/>
        <w:rPr>
          <w:rFonts w:ascii="Century Gothic" w:hAnsi="Century Gothic" w:cs="Arial"/>
          <w:b/>
          <w:bCs/>
          <w:sz w:val="22"/>
          <w:szCs w:val="22"/>
        </w:rPr>
      </w:pPr>
      <w:r>
        <w:rPr>
          <w:rFonts w:ascii="Century Gothic" w:hAnsi="Century Gothic" w:cs="Arial"/>
          <w:b/>
          <w:bCs/>
          <w:sz w:val="22"/>
          <w:szCs w:val="22"/>
        </w:rPr>
        <w:br w:type="page"/>
      </w:r>
    </w:p>
    <w:p w:rsidR="00CB7529" w:rsidRPr="00CE730E" w:rsidRDefault="00CE730E" w:rsidP="007C58B8">
      <w:pPr>
        <w:pStyle w:val="ListParagraph"/>
        <w:numPr>
          <w:ilvl w:val="0"/>
          <w:numId w:val="1"/>
        </w:numPr>
        <w:spacing w:before="60" w:after="60" w:line="276" w:lineRule="auto"/>
        <w:ind w:left="360"/>
        <w:jc w:val="both"/>
        <w:rPr>
          <w:rFonts w:ascii="Century Gothic" w:hAnsi="Century Gothic" w:cs="Arial"/>
          <w:b/>
          <w:bCs/>
          <w:sz w:val="22"/>
          <w:szCs w:val="22"/>
        </w:rPr>
      </w:pPr>
      <w:r>
        <w:rPr>
          <w:rFonts w:ascii="Century Gothic" w:hAnsi="Century Gothic" w:cs="Arial"/>
          <w:b/>
          <w:bCs/>
          <w:sz w:val="22"/>
          <w:szCs w:val="22"/>
        </w:rPr>
        <w:lastRenderedPageBreak/>
        <w:t>A</w:t>
      </w:r>
      <w:r w:rsidRPr="00CE730E">
        <w:rPr>
          <w:rFonts w:ascii="Century Gothic" w:hAnsi="Century Gothic" w:cs="Arial"/>
          <w:b/>
          <w:bCs/>
          <w:sz w:val="22"/>
          <w:szCs w:val="22"/>
        </w:rPr>
        <w:t>spects of the scheme relevant to</w:t>
      </w:r>
      <w:r>
        <w:rPr>
          <w:rFonts w:ascii="Century Gothic" w:hAnsi="Century Gothic" w:cs="Arial"/>
          <w:b/>
          <w:bCs/>
          <w:sz w:val="22"/>
          <w:szCs w:val="22"/>
        </w:rPr>
        <w:t xml:space="preserve"> </w:t>
      </w:r>
      <w:r w:rsidRPr="00CE730E">
        <w:rPr>
          <w:rFonts w:ascii="Century Gothic" w:hAnsi="Century Gothic" w:cs="Arial"/>
          <w:b/>
          <w:bCs/>
          <w:sz w:val="22"/>
          <w:szCs w:val="22"/>
        </w:rPr>
        <w:t>the Grade B employees</w:t>
      </w:r>
    </w:p>
    <w:p w:rsidR="006D3319" w:rsidRPr="00C90E30" w:rsidRDefault="006D3319" w:rsidP="007C58B8">
      <w:pPr>
        <w:spacing w:before="60" w:after="60" w:line="276" w:lineRule="auto"/>
        <w:jc w:val="both"/>
        <w:rPr>
          <w:rFonts w:ascii="Century Gothic" w:hAnsi="Century Gothic" w:cs="Arial"/>
          <w:bCs/>
          <w:color w:val="2E74B5" w:themeColor="accent1" w:themeShade="BF"/>
          <w:sz w:val="22"/>
          <w:szCs w:val="22"/>
          <w:u w:val="single"/>
        </w:rPr>
      </w:pPr>
      <w:r w:rsidRPr="00C90E30">
        <w:rPr>
          <w:rFonts w:ascii="Century Gothic" w:hAnsi="Century Gothic" w:cs="Arial"/>
          <w:bCs/>
          <w:color w:val="2E74B5" w:themeColor="accent1" w:themeShade="BF"/>
          <w:sz w:val="22"/>
          <w:szCs w:val="22"/>
          <w:u w:val="single"/>
        </w:rPr>
        <w:t xml:space="preserve">About the </w:t>
      </w:r>
      <w:r w:rsidR="0030137D" w:rsidRPr="00C90E30">
        <w:rPr>
          <w:rFonts w:ascii="Century Gothic" w:hAnsi="Century Gothic" w:cs="Arial"/>
          <w:bCs/>
          <w:color w:val="2E74B5" w:themeColor="accent1" w:themeShade="BF"/>
          <w:sz w:val="22"/>
          <w:szCs w:val="22"/>
          <w:u w:val="single"/>
        </w:rPr>
        <w:t>n</w:t>
      </w:r>
      <w:r w:rsidRPr="00C90E30">
        <w:rPr>
          <w:rFonts w:ascii="Century Gothic" w:hAnsi="Century Gothic" w:cs="Arial"/>
          <w:bCs/>
          <w:color w:val="2E74B5" w:themeColor="accent1" w:themeShade="BF"/>
          <w:sz w:val="22"/>
          <w:szCs w:val="22"/>
          <w:u w:val="single"/>
        </w:rPr>
        <w:t xml:space="preserve">ew </w:t>
      </w:r>
      <w:r w:rsidR="0030137D" w:rsidRPr="00C90E30">
        <w:rPr>
          <w:rFonts w:ascii="Century Gothic" w:hAnsi="Century Gothic" w:cs="Arial"/>
          <w:bCs/>
          <w:color w:val="2E74B5" w:themeColor="accent1" w:themeShade="BF"/>
          <w:sz w:val="22"/>
          <w:szCs w:val="22"/>
          <w:u w:val="single"/>
        </w:rPr>
        <w:t>s</w:t>
      </w:r>
      <w:r w:rsidRPr="00C90E30">
        <w:rPr>
          <w:rFonts w:ascii="Century Gothic" w:hAnsi="Century Gothic" w:cs="Arial"/>
          <w:bCs/>
          <w:color w:val="2E74B5" w:themeColor="accent1" w:themeShade="BF"/>
          <w:sz w:val="22"/>
          <w:szCs w:val="22"/>
          <w:u w:val="single"/>
        </w:rPr>
        <w:t>cheme</w:t>
      </w:r>
    </w:p>
    <w:p w:rsidR="00F63350" w:rsidRDefault="0052296D" w:rsidP="00F63350">
      <w:pPr>
        <w:spacing w:before="60" w:after="60" w:line="276" w:lineRule="auto"/>
        <w:jc w:val="both"/>
        <w:rPr>
          <w:rFonts w:ascii="Century Gothic" w:hAnsi="Century Gothic" w:cs="Arial"/>
          <w:bCs/>
          <w:sz w:val="22"/>
          <w:szCs w:val="22"/>
        </w:rPr>
      </w:pPr>
      <w:r>
        <w:rPr>
          <w:rFonts w:ascii="Century Gothic" w:hAnsi="Century Gothic" w:cs="Arial"/>
          <w:bCs/>
          <w:sz w:val="22"/>
          <w:szCs w:val="22"/>
        </w:rPr>
        <w:t xml:space="preserve">The new </w:t>
      </w:r>
      <w:r w:rsidR="00C90E30">
        <w:rPr>
          <w:rFonts w:ascii="Century Gothic" w:hAnsi="Century Gothic" w:cs="Arial"/>
          <w:bCs/>
          <w:sz w:val="22"/>
          <w:szCs w:val="22"/>
        </w:rPr>
        <w:t>scheme</w:t>
      </w:r>
      <w:r>
        <w:rPr>
          <w:rFonts w:ascii="Century Gothic" w:hAnsi="Century Gothic" w:cs="Arial"/>
          <w:bCs/>
          <w:sz w:val="22"/>
          <w:szCs w:val="22"/>
        </w:rPr>
        <w:t xml:space="preserve"> is </w:t>
      </w:r>
      <w:r w:rsidR="00C90E30">
        <w:rPr>
          <w:rFonts w:ascii="Century Gothic" w:hAnsi="Century Gothic" w:cs="Arial"/>
          <w:bCs/>
          <w:sz w:val="22"/>
          <w:szCs w:val="22"/>
        </w:rPr>
        <w:t xml:space="preserve">a </w:t>
      </w:r>
      <w:r>
        <w:rPr>
          <w:rFonts w:ascii="Century Gothic" w:hAnsi="Century Gothic" w:cs="Arial"/>
          <w:bCs/>
          <w:sz w:val="22"/>
          <w:szCs w:val="22"/>
        </w:rPr>
        <w:t xml:space="preserve">defined benefit fund, where </w:t>
      </w:r>
      <w:r w:rsidR="007F7A08">
        <w:rPr>
          <w:rFonts w:ascii="Century Gothic" w:hAnsi="Century Gothic" w:cs="Arial"/>
          <w:bCs/>
          <w:sz w:val="22"/>
          <w:szCs w:val="22"/>
        </w:rPr>
        <w:t xml:space="preserve">your employer </w:t>
      </w:r>
      <w:r w:rsidR="00C90E30">
        <w:rPr>
          <w:rFonts w:ascii="Century Gothic" w:hAnsi="Century Gothic" w:cs="Arial"/>
          <w:bCs/>
          <w:sz w:val="22"/>
          <w:szCs w:val="22"/>
        </w:rPr>
        <w:t xml:space="preserve">can </w:t>
      </w:r>
      <w:r w:rsidR="007F7A08">
        <w:rPr>
          <w:rFonts w:ascii="Century Gothic" w:hAnsi="Century Gothic" w:cs="Arial"/>
          <w:bCs/>
          <w:sz w:val="22"/>
          <w:szCs w:val="22"/>
        </w:rPr>
        <w:t>contribute on behalf of you to save for your retirement. Y</w:t>
      </w:r>
      <w:r>
        <w:rPr>
          <w:rFonts w:ascii="Century Gothic" w:hAnsi="Century Gothic" w:cs="Arial"/>
          <w:bCs/>
          <w:sz w:val="22"/>
          <w:szCs w:val="22"/>
        </w:rPr>
        <w:t>our</w:t>
      </w:r>
      <w:r w:rsidR="006E4C69">
        <w:rPr>
          <w:rFonts w:ascii="Century Gothic" w:hAnsi="Century Gothic" w:cs="Arial"/>
          <w:bCs/>
          <w:sz w:val="22"/>
          <w:szCs w:val="22"/>
        </w:rPr>
        <w:t xml:space="preserve"> </w:t>
      </w:r>
      <w:r>
        <w:rPr>
          <w:rFonts w:ascii="Century Gothic" w:hAnsi="Century Gothic" w:cs="Arial"/>
          <w:bCs/>
          <w:sz w:val="22"/>
          <w:szCs w:val="22"/>
        </w:rPr>
        <w:t>benefit is paid as a lump sum based on the following factors:</w:t>
      </w:r>
    </w:p>
    <w:p w:rsidR="00783F07" w:rsidRDefault="00783F07" w:rsidP="00F63350">
      <w:pPr>
        <w:spacing w:before="60" w:after="60" w:line="276" w:lineRule="auto"/>
        <w:jc w:val="both"/>
        <w:rPr>
          <w:rFonts w:ascii="Century Gothic" w:hAnsi="Century Gothic" w:cs="Arial"/>
          <w:bCs/>
          <w:sz w:val="22"/>
          <w:szCs w:val="22"/>
        </w:rPr>
      </w:pPr>
      <w:r>
        <w:rPr>
          <w:rFonts w:ascii="Century Gothic" w:hAnsi="Century Gothic" w:cs="Arial"/>
          <w:bCs/>
          <w:noProof/>
          <w:sz w:val="22"/>
          <w:szCs w:val="22"/>
          <w:lang w:val="en-US" w:eastAsia="zh-CN"/>
        </w:rPr>
        <w:drawing>
          <wp:anchor distT="0" distB="0" distL="114300" distR="114300" simplePos="0" relativeHeight="251660288" behindDoc="0" locked="0" layoutInCell="1" allowOverlap="1">
            <wp:simplePos x="0" y="0"/>
            <wp:positionH relativeFrom="margin">
              <wp:align>right</wp:align>
            </wp:positionH>
            <wp:positionV relativeFrom="paragraph">
              <wp:posOffset>39370</wp:posOffset>
            </wp:positionV>
            <wp:extent cx="3009900" cy="2352675"/>
            <wp:effectExtent l="0" t="3810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anchor>
        </w:drawing>
      </w:r>
    </w:p>
    <w:p w:rsidR="00783F07" w:rsidRPr="00783F07" w:rsidRDefault="00783F07" w:rsidP="00783F07">
      <w:pPr>
        <w:pStyle w:val="ListParagraph"/>
        <w:numPr>
          <w:ilvl w:val="0"/>
          <w:numId w:val="13"/>
        </w:numPr>
        <w:spacing w:before="120" w:after="120" w:line="360" w:lineRule="auto"/>
        <w:ind w:left="270" w:hanging="187"/>
        <w:jc w:val="both"/>
        <w:rPr>
          <w:rFonts w:ascii="Century Gothic" w:hAnsi="Century Gothic" w:cs="Arial"/>
          <w:bCs/>
          <w:i/>
          <w:sz w:val="21"/>
          <w:szCs w:val="21"/>
        </w:rPr>
      </w:pPr>
      <w:r w:rsidRPr="00783F07">
        <w:rPr>
          <w:rFonts w:ascii="Century Gothic" w:hAnsi="Century Gothic" w:cs="Arial"/>
          <w:bCs/>
          <w:i/>
          <w:sz w:val="21"/>
          <w:szCs w:val="21"/>
        </w:rPr>
        <w:t>your final ordinary earnings</w:t>
      </w:r>
    </w:p>
    <w:p w:rsidR="00783F07" w:rsidRPr="00783F07" w:rsidRDefault="00783F07" w:rsidP="00783F07">
      <w:pPr>
        <w:pStyle w:val="ListParagraph"/>
        <w:numPr>
          <w:ilvl w:val="0"/>
          <w:numId w:val="13"/>
        </w:numPr>
        <w:spacing w:before="120" w:after="120" w:line="360" w:lineRule="auto"/>
        <w:ind w:left="270" w:hanging="187"/>
        <w:jc w:val="both"/>
        <w:rPr>
          <w:rFonts w:ascii="Century Gothic" w:hAnsi="Century Gothic" w:cs="Arial"/>
          <w:bCs/>
          <w:i/>
          <w:sz w:val="21"/>
          <w:szCs w:val="21"/>
        </w:rPr>
      </w:pPr>
      <w:r w:rsidRPr="00783F07">
        <w:rPr>
          <w:rFonts w:ascii="Century Gothic" w:hAnsi="Century Gothic" w:cs="Arial"/>
          <w:bCs/>
          <w:i/>
          <w:sz w:val="21"/>
          <w:szCs w:val="21"/>
        </w:rPr>
        <w:t>your period of service</w:t>
      </w:r>
    </w:p>
    <w:p w:rsidR="00783F07" w:rsidRPr="00783F07" w:rsidRDefault="00783F07" w:rsidP="00783F07">
      <w:pPr>
        <w:pStyle w:val="ListParagraph"/>
        <w:numPr>
          <w:ilvl w:val="0"/>
          <w:numId w:val="13"/>
        </w:numPr>
        <w:spacing w:before="120" w:after="120" w:line="360" w:lineRule="auto"/>
        <w:ind w:left="270" w:hanging="187"/>
        <w:jc w:val="both"/>
        <w:rPr>
          <w:rFonts w:ascii="Century Gothic" w:hAnsi="Century Gothic" w:cs="Arial"/>
          <w:bCs/>
          <w:i/>
          <w:sz w:val="21"/>
          <w:szCs w:val="21"/>
        </w:rPr>
      </w:pPr>
      <w:r w:rsidRPr="00783F07">
        <w:rPr>
          <w:rFonts w:ascii="Century Gothic" w:hAnsi="Century Gothic" w:cs="Arial"/>
          <w:bCs/>
          <w:i/>
          <w:sz w:val="21"/>
          <w:szCs w:val="21"/>
        </w:rPr>
        <w:t>accrue rate defined by employer</w:t>
      </w:r>
    </w:p>
    <w:p w:rsidR="00783F07" w:rsidRDefault="00783F07" w:rsidP="00F63350">
      <w:pPr>
        <w:spacing w:before="60" w:after="60" w:line="276" w:lineRule="auto"/>
        <w:rPr>
          <w:rFonts w:ascii="Century Gothic" w:hAnsi="Century Gothic" w:cs="Arial"/>
          <w:bCs/>
          <w:sz w:val="22"/>
          <w:szCs w:val="22"/>
        </w:rPr>
      </w:pPr>
    </w:p>
    <w:p w:rsidR="00A101BB" w:rsidRPr="00A101BB" w:rsidRDefault="00A101BB" w:rsidP="00F63350">
      <w:pPr>
        <w:spacing w:before="60" w:after="60" w:line="276" w:lineRule="auto"/>
        <w:rPr>
          <w:rFonts w:ascii="Century Gothic" w:hAnsi="Century Gothic" w:cs="Arial"/>
          <w:bCs/>
          <w:sz w:val="22"/>
          <w:szCs w:val="22"/>
        </w:rPr>
      </w:pPr>
      <w:r w:rsidRPr="00A101BB">
        <w:rPr>
          <w:rFonts w:ascii="Century Gothic" w:hAnsi="Century Gothic" w:cs="Arial"/>
          <w:bCs/>
          <w:sz w:val="22"/>
          <w:szCs w:val="22"/>
        </w:rPr>
        <w:t>Please note your benefit is NOT impacted by the investment performance</w:t>
      </w:r>
      <w:r w:rsidR="00F63350">
        <w:rPr>
          <w:rFonts w:ascii="Century Gothic" w:hAnsi="Century Gothic" w:cs="Arial"/>
          <w:bCs/>
          <w:sz w:val="22"/>
          <w:szCs w:val="22"/>
        </w:rPr>
        <w:t xml:space="preserve"> of the scheme</w:t>
      </w:r>
      <w:r w:rsidRPr="00A101BB">
        <w:rPr>
          <w:rFonts w:ascii="Century Gothic" w:hAnsi="Century Gothic" w:cs="Arial"/>
          <w:bCs/>
          <w:sz w:val="22"/>
          <w:szCs w:val="22"/>
        </w:rPr>
        <w:t>.</w:t>
      </w:r>
    </w:p>
    <w:p w:rsidR="00783F07" w:rsidRDefault="00783F07" w:rsidP="007C58B8">
      <w:pPr>
        <w:spacing w:before="60" w:after="60" w:line="276" w:lineRule="auto"/>
        <w:jc w:val="both"/>
        <w:rPr>
          <w:rFonts w:ascii="Century Gothic" w:hAnsi="Century Gothic" w:cs="Arial"/>
          <w:bCs/>
          <w:sz w:val="10"/>
          <w:szCs w:val="10"/>
        </w:rPr>
      </w:pPr>
    </w:p>
    <w:p w:rsidR="00783F07" w:rsidRPr="009D0A5A" w:rsidRDefault="00783F07" w:rsidP="007C58B8">
      <w:pPr>
        <w:spacing w:before="60" w:after="60" w:line="276" w:lineRule="auto"/>
        <w:jc w:val="both"/>
        <w:rPr>
          <w:rFonts w:ascii="Century Gothic" w:hAnsi="Century Gothic" w:cs="Arial"/>
          <w:bCs/>
          <w:sz w:val="10"/>
          <w:szCs w:val="10"/>
        </w:rPr>
      </w:pPr>
    </w:p>
    <w:p w:rsidR="0030137D" w:rsidRPr="00C90E30" w:rsidRDefault="0030137D" w:rsidP="007C58B8">
      <w:pPr>
        <w:spacing w:before="60" w:after="60" w:line="276" w:lineRule="auto"/>
        <w:jc w:val="both"/>
        <w:rPr>
          <w:rFonts w:ascii="Century Gothic" w:hAnsi="Century Gothic" w:cs="Arial"/>
          <w:bCs/>
          <w:color w:val="2E74B5" w:themeColor="accent1" w:themeShade="BF"/>
          <w:sz w:val="22"/>
          <w:szCs w:val="22"/>
          <w:u w:val="single"/>
        </w:rPr>
      </w:pPr>
      <w:r w:rsidRPr="00C90E30">
        <w:rPr>
          <w:rFonts w:ascii="Century Gothic" w:hAnsi="Century Gothic" w:cs="Arial"/>
          <w:bCs/>
          <w:color w:val="2E74B5" w:themeColor="accent1" w:themeShade="BF"/>
          <w:sz w:val="22"/>
          <w:szCs w:val="22"/>
          <w:u w:val="single"/>
        </w:rPr>
        <w:t>How to join the scheme</w:t>
      </w:r>
    </w:p>
    <w:p w:rsidR="0030137D" w:rsidRPr="0030137D" w:rsidRDefault="00C90E30"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Your membership (years of service) with the scheme a</w:t>
      </w:r>
      <w:r w:rsidR="0030137D" w:rsidRPr="0030137D">
        <w:rPr>
          <w:rFonts w:ascii="Century Gothic" w:hAnsi="Century Gothic" w:cs="Arial"/>
          <w:bCs/>
          <w:sz w:val="22"/>
          <w:szCs w:val="22"/>
        </w:rPr>
        <w:t>utomatically</w:t>
      </w:r>
      <w:r w:rsidR="0030137D">
        <w:rPr>
          <w:rFonts w:ascii="Century Gothic" w:hAnsi="Century Gothic" w:cs="Arial"/>
          <w:bCs/>
          <w:sz w:val="22"/>
          <w:szCs w:val="22"/>
        </w:rPr>
        <w:t xml:space="preserve"> </w:t>
      </w:r>
      <w:r>
        <w:rPr>
          <w:rFonts w:ascii="Century Gothic" w:hAnsi="Century Gothic" w:cs="Arial"/>
          <w:bCs/>
          <w:sz w:val="22"/>
          <w:szCs w:val="22"/>
        </w:rPr>
        <w:t xml:space="preserve">starts </w:t>
      </w:r>
      <w:r w:rsidR="0030137D" w:rsidRPr="0030137D">
        <w:rPr>
          <w:rFonts w:ascii="Century Gothic" w:hAnsi="Century Gothic" w:cs="Arial"/>
          <w:bCs/>
          <w:sz w:val="22"/>
          <w:szCs w:val="22"/>
        </w:rPr>
        <w:t xml:space="preserve">upon </w:t>
      </w:r>
      <w:r>
        <w:rPr>
          <w:rFonts w:ascii="Century Gothic" w:hAnsi="Century Gothic" w:cs="Arial"/>
          <w:bCs/>
          <w:sz w:val="22"/>
          <w:szCs w:val="22"/>
        </w:rPr>
        <w:t xml:space="preserve">the launch </w:t>
      </w:r>
      <w:r w:rsidR="0030137D" w:rsidRPr="0030137D">
        <w:rPr>
          <w:rFonts w:ascii="Century Gothic" w:hAnsi="Century Gothic" w:cs="Arial"/>
          <w:bCs/>
          <w:sz w:val="22"/>
          <w:szCs w:val="22"/>
        </w:rPr>
        <w:t xml:space="preserve">of </w:t>
      </w:r>
      <w:r>
        <w:rPr>
          <w:rFonts w:ascii="Century Gothic" w:hAnsi="Century Gothic" w:cs="Arial"/>
          <w:bCs/>
          <w:sz w:val="22"/>
          <w:szCs w:val="22"/>
        </w:rPr>
        <w:t>the scheme or the c</w:t>
      </w:r>
      <w:r w:rsidRPr="0030137D">
        <w:rPr>
          <w:rFonts w:ascii="Century Gothic" w:hAnsi="Century Gothic" w:cs="Arial"/>
          <w:bCs/>
          <w:sz w:val="22"/>
          <w:szCs w:val="22"/>
        </w:rPr>
        <w:t xml:space="preserve">ommencement </w:t>
      </w:r>
      <w:r>
        <w:rPr>
          <w:rFonts w:ascii="Century Gothic" w:hAnsi="Century Gothic" w:cs="Arial"/>
          <w:bCs/>
          <w:sz w:val="22"/>
          <w:szCs w:val="22"/>
        </w:rPr>
        <w:t xml:space="preserve">of </w:t>
      </w:r>
      <w:r w:rsidRPr="0030137D">
        <w:rPr>
          <w:rFonts w:ascii="Century Gothic" w:hAnsi="Century Gothic" w:cs="Arial"/>
          <w:bCs/>
          <w:sz w:val="22"/>
          <w:szCs w:val="22"/>
        </w:rPr>
        <w:t>employment</w:t>
      </w:r>
      <w:r>
        <w:rPr>
          <w:rFonts w:ascii="Century Gothic" w:hAnsi="Century Gothic" w:cs="Arial"/>
          <w:bCs/>
          <w:sz w:val="22"/>
          <w:szCs w:val="22"/>
        </w:rPr>
        <w:t xml:space="preserve"> with the employer after the scheme is launched.</w:t>
      </w:r>
    </w:p>
    <w:p w:rsidR="00F63350" w:rsidRDefault="00F63350" w:rsidP="007C58B8">
      <w:pPr>
        <w:spacing w:before="60" w:after="60" w:line="276" w:lineRule="auto"/>
        <w:jc w:val="both"/>
        <w:rPr>
          <w:rFonts w:ascii="Century Gothic" w:hAnsi="Century Gothic" w:cs="Arial"/>
          <w:bCs/>
          <w:color w:val="2E74B5" w:themeColor="accent1" w:themeShade="BF"/>
          <w:sz w:val="22"/>
          <w:szCs w:val="22"/>
          <w:u w:val="single"/>
        </w:rPr>
      </w:pPr>
    </w:p>
    <w:p w:rsidR="006D3319" w:rsidRPr="00C90E30" w:rsidRDefault="0030137D" w:rsidP="007C58B8">
      <w:pPr>
        <w:spacing w:before="60" w:after="60" w:line="276" w:lineRule="auto"/>
        <w:jc w:val="both"/>
        <w:rPr>
          <w:rFonts w:ascii="Century Gothic" w:hAnsi="Century Gothic" w:cs="Arial"/>
          <w:bCs/>
          <w:color w:val="2E74B5" w:themeColor="accent1" w:themeShade="BF"/>
          <w:sz w:val="22"/>
          <w:szCs w:val="22"/>
          <w:u w:val="single"/>
        </w:rPr>
      </w:pPr>
      <w:r w:rsidRPr="00C90E30">
        <w:rPr>
          <w:rFonts w:ascii="Century Gothic" w:hAnsi="Century Gothic" w:cs="Arial"/>
          <w:bCs/>
          <w:color w:val="2E74B5" w:themeColor="accent1" w:themeShade="BF"/>
          <w:sz w:val="22"/>
          <w:szCs w:val="22"/>
          <w:u w:val="single"/>
        </w:rPr>
        <w:t>Benefit t</w:t>
      </w:r>
      <w:r w:rsidR="006D3319" w:rsidRPr="00C90E30">
        <w:rPr>
          <w:rFonts w:ascii="Century Gothic" w:hAnsi="Century Gothic" w:cs="Arial"/>
          <w:bCs/>
          <w:color w:val="2E74B5" w:themeColor="accent1" w:themeShade="BF"/>
          <w:sz w:val="22"/>
          <w:szCs w:val="22"/>
          <w:u w:val="single"/>
        </w:rPr>
        <w:t>ype</w:t>
      </w:r>
      <w:r w:rsidR="00494601">
        <w:rPr>
          <w:rFonts w:ascii="Century Gothic" w:hAnsi="Century Gothic" w:cs="Arial"/>
          <w:bCs/>
          <w:color w:val="2E74B5" w:themeColor="accent1" w:themeShade="BF"/>
          <w:sz w:val="22"/>
          <w:szCs w:val="22"/>
          <w:u w:val="single"/>
        </w:rPr>
        <w:t>s</w:t>
      </w:r>
    </w:p>
    <w:p w:rsidR="009D0A5A" w:rsidRPr="0030137D" w:rsidRDefault="00C90E30" w:rsidP="00494601">
      <w:pPr>
        <w:spacing w:before="60" w:after="60" w:line="276" w:lineRule="auto"/>
        <w:jc w:val="both"/>
        <w:rPr>
          <w:rFonts w:ascii="Century Gothic" w:hAnsi="Century Gothic" w:cs="Arial"/>
          <w:bCs/>
          <w:sz w:val="22"/>
          <w:szCs w:val="22"/>
        </w:rPr>
      </w:pPr>
      <w:r>
        <w:rPr>
          <w:rFonts w:ascii="Century Gothic" w:hAnsi="Century Gothic" w:cs="Arial"/>
          <w:bCs/>
          <w:sz w:val="22"/>
          <w:szCs w:val="22"/>
        </w:rPr>
        <w:t xml:space="preserve">A </w:t>
      </w:r>
      <w:r w:rsidRPr="00C90E30">
        <w:rPr>
          <w:rFonts w:ascii="Century Gothic" w:hAnsi="Century Gothic" w:cs="Arial"/>
          <w:b/>
          <w:bCs/>
          <w:sz w:val="22"/>
          <w:szCs w:val="22"/>
        </w:rPr>
        <w:t>l</w:t>
      </w:r>
      <w:r w:rsidR="006D3319" w:rsidRPr="00C90E30">
        <w:rPr>
          <w:rFonts w:ascii="Century Gothic" w:hAnsi="Century Gothic" w:cs="Arial"/>
          <w:b/>
          <w:bCs/>
          <w:sz w:val="22"/>
          <w:szCs w:val="22"/>
        </w:rPr>
        <w:t>ump sum</w:t>
      </w:r>
      <w:r>
        <w:rPr>
          <w:rFonts w:ascii="Century Gothic" w:hAnsi="Century Gothic" w:cs="Arial"/>
          <w:bCs/>
          <w:sz w:val="22"/>
          <w:szCs w:val="22"/>
        </w:rPr>
        <w:t xml:space="preserve"> benefit is </w:t>
      </w:r>
      <w:r w:rsidR="006D3319" w:rsidRPr="0030137D">
        <w:rPr>
          <w:rFonts w:ascii="Century Gothic" w:hAnsi="Century Gothic" w:cs="Arial"/>
          <w:bCs/>
          <w:sz w:val="22"/>
          <w:szCs w:val="22"/>
        </w:rPr>
        <w:t xml:space="preserve">paid on retirement, </w:t>
      </w:r>
      <w:r w:rsidR="007F454D">
        <w:rPr>
          <w:rFonts w:ascii="Century Gothic" w:hAnsi="Century Gothic" w:cs="Arial"/>
          <w:bCs/>
          <w:sz w:val="22"/>
          <w:szCs w:val="22"/>
        </w:rPr>
        <w:t>voluntary withdrawal (</w:t>
      </w:r>
      <w:r w:rsidR="006D3319" w:rsidRPr="0030137D">
        <w:rPr>
          <w:rFonts w:ascii="Century Gothic" w:hAnsi="Century Gothic" w:cs="Arial"/>
          <w:bCs/>
          <w:sz w:val="22"/>
          <w:szCs w:val="22"/>
        </w:rPr>
        <w:t>resignation</w:t>
      </w:r>
      <w:r w:rsidR="007F454D">
        <w:rPr>
          <w:rFonts w:ascii="Century Gothic" w:hAnsi="Century Gothic" w:cs="Arial"/>
          <w:bCs/>
          <w:sz w:val="22"/>
          <w:szCs w:val="22"/>
        </w:rPr>
        <w:t>)</w:t>
      </w:r>
      <w:r w:rsidR="0030137D" w:rsidRPr="0030137D">
        <w:rPr>
          <w:rFonts w:ascii="Century Gothic" w:hAnsi="Century Gothic" w:cs="Arial"/>
          <w:bCs/>
          <w:sz w:val="22"/>
          <w:szCs w:val="22"/>
        </w:rPr>
        <w:t xml:space="preserve"> or redundancy</w:t>
      </w:r>
      <w:r>
        <w:rPr>
          <w:rFonts w:ascii="Century Gothic" w:hAnsi="Century Gothic" w:cs="Arial"/>
          <w:bCs/>
          <w:sz w:val="22"/>
          <w:szCs w:val="22"/>
        </w:rPr>
        <w:t xml:space="preserve"> event.</w:t>
      </w:r>
      <w:r w:rsidR="00494601">
        <w:rPr>
          <w:rFonts w:ascii="Century Gothic" w:hAnsi="Century Gothic" w:cs="Arial"/>
          <w:bCs/>
          <w:sz w:val="22"/>
          <w:szCs w:val="22"/>
        </w:rPr>
        <w:t xml:space="preserve"> </w:t>
      </w:r>
      <w:r w:rsidR="00494601" w:rsidRPr="00494601">
        <w:rPr>
          <w:rFonts w:ascii="Century Gothic" w:hAnsi="Century Gothic" w:cs="Arial"/>
          <w:bCs/>
          <w:sz w:val="22"/>
          <w:szCs w:val="22"/>
        </w:rPr>
        <w:t xml:space="preserve">Once </w:t>
      </w:r>
      <w:r w:rsidR="00494601">
        <w:rPr>
          <w:rFonts w:ascii="Century Gothic" w:hAnsi="Century Gothic" w:cs="Arial"/>
          <w:bCs/>
          <w:sz w:val="22"/>
          <w:szCs w:val="22"/>
        </w:rPr>
        <w:t xml:space="preserve">any type of your lump sum benefit has </w:t>
      </w:r>
      <w:r w:rsidR="00494601" w:rsidRPr="00494601">
        <w:rPr>
          <w:rFonts w:ascii="Century Gothic" w:hAnsi="Century Gothic" w:cs="Arial"/>
          <w:bCs/>
          <w:sz w:val="22"/>
          <w:szCs w:val="22"/>
        </w:rPr>
        <w:t xml:space="preserve">been </w:t>
      </w:r>
      <w:r w:rsidR="00494601">
        <w:rPr>
          <w:rFonts w:ascii="Century Gothic" w:hAnsi="Century Gothic" w:cs="Arial"/>
          <w:bCs/>
          <w:sz w:val="22"/>
          <w:szCs w:val="22"/>
        </w:rPr>
        <w:t>paid</w:t>
      </w:r>
      <w:r w:rsidR="00494601" w:rsidRPr="00494601">
        <w:rPr>
          <w:rFonts w:ascii="Century Gothic" w:hAnsi="Century Gothic" w:cs="Arial"/>
          <w:bCs/>
          <w:sz w:val="22"/>
          <w:szCs w:val="22"/>
        </w:rPr>
        <w:t xml:space="preserve">, there will be no further </w:t>
      </w:r>
      <w:r w:rsidR="00494601">
        <w:rPr>
          <w:rFonts w:ascii="Century Gothic" w:hAnsi="Century Gothic" w:cs="Arial"/>
          <w:bCs/>
          <w:sz w:val="22"/>
          <w:szCs w:val="22"/>
        </w:rPr>
        <w:t>benefits</w:t>
      </w:r>
      <w:r w:rsidR="00494601" w:rsidRPr="00494601">
        <w:rPr>
          <w:rFonts w:ascii="Century Gothic" w:hAnsi="Century Gothic" w:cs="Arial"/>
          <w:bCs/>
          <w:sz w:val="22"/>
          <w:szCs w:val="22"/>
        </w:rPr>
        <w:t>.</w:t>
      </w:r>
    </w:p>
    <w:p w:rsidR="0030137D" w:rsidRPr="009D0A5A" w:rsidRDefault="0030137D" w:rsidP="007C58B8">
      <w:pPr>
        <w:spacing w:before="60" w:after="60" w:line="276" w:lineRule="auto"/>
        <w:jc w:val="both"/>
        <w:rPr>
          <w:rFonts w:ascii="Century Gothic" w:hAnsi="Century Gothic" w:cs="Arial"/>
          <w:bCs/>
          <w:sz w:val="10"/>
          <w:szCs w:val="10"/>
        </w:rPr>
      </w:pPr>
    </w:p>
    <w:p w:rsidR="006D3319" w:rsidRPr="00494601" w:rsidRDefault="006D3319" w:rsidP="00494601">
      <w:pPr>
        <w:pStyle w:val="ListParagraph"/>
        <w:numPr>
          <w:ilvl w:val="0"/>
          <w:numId w:val="12"/>
        </w:numPr>
        <w:spacing w:before="60" w:after="60" w:line="276" w:lineRule="auto"/>
        <w:ind w:left="180" w:hanging="180"/>
        <w:jc w:val="both"/>
        <w:rPr>
          <w:rFonts w:ascii="Century Gothic" w:hAnsi="Century Gothic" w:cs="Arial"/>
          <w:bCs/>
          <w:sz w:val="22"/>
          <w:szCs w:val="22"/>
        </w:rPr>
      </w:pPr>
      <w:r w:rsidRPr="00494601">
        <w:rPr>
          <w:rFonts w:ascii="Century Gothic" w:hAnsi="Century Gothic" w:cs="Arial"/>
          <w:bCs/>
          <w:sz w:val="22"/>
          <w:szCs w:val="22"/>
        </w:rPr>
        <w:t>Retirement benefit</w:t>
      </w:r>
    </w:p>
    <w:p w:rsidR="004310D1" w:rsidRPr="004310D1" w:rsidRDefault="004310D1" w:rsidP="00CE08FF">
      <w:pPr>
        <w:spacing w:before="60" w:after="100" w:line="276" w:lineRule="auto"/>
        <w:ind w:left="187"/>
        <w:jc w:val="both"/>
        <w:rPr>
          <w:rFonts w:ascii="Century Gothic" w:hAnsi="Century Gothic" w:cs="Arial"/>
          <w:bCs/>
          <w:sz w:val="22"/>
          <w:szCs w:val="22"/>
        </w:rPr>
      </w:pPr>
      <w:r w:rsidRPr="004310D1">
        <w:rPr>
          <w:rFonts w:ascii="Century Gothic" w:hAnsi="Century Gothic" w:cs="Arial"/>
          <w:bCs/>
          <w:sz w:val="22"/>
          <w:szCs w:val="22"/>
        </w:rPr>
        <w:t xml:space="preserve">Your retirement benefit is </w:t>
      </w:r>
      <w:r w:rsidR="00494601">
        <w:rPr>
          <w:rFonts w:ascii="Century Gothic" w:hAnsi="Century Gothic" w:cs="Arial"/>
          <w:bCs/>
          <w:sz w:val="22"/>
          <w:szCs w:val="22"/>
        </w:rPr>
        <w:t xml:space="preserve">paid </w:t>
      </w:r>
      <w:r w:rsidR="007F454D">
        <w:rPr>
          <w:rFonts w:ascii="Century Gothic" w:hAnsi="Century Gothic" w:cs="Arial"/>
          <w:bCs/>
          <w:sz w:val="22"/>
          <w:szCs w:val="22"/>
        </w:rPr>
        <w:t xml:space="preserve">as a lump sum </w:t>
      </w:r>
      <w:r w:rsidR="00494601">
        <w:rPr>
          <w:rFonts w:ascii="Century Gothic" w:hAnsi="Century Gothic" w:cs="Arial"/>
          <w:bCs/>
          <w:sz w:val="22"/>
          <w:szCs w:val="22"/>
        </w:rPr>
        <w:t>on your retirement date</w:t>
      </w:r>
      <w:r w:rsidR="007F454D">
        <w:rPr>
          <w:rFonts w:ascii="Century Gothic" w:hAnsi="Century Gothic" w:cs="Arial"/>
          <w:bCs/>
          <w:sz w:val="22"/>
          <w:szCs w:val="22"/>
        </w:rPr>
        <w:t>. The amount is</w:t>
      </w:r>
      <w:r w:rsidRPr="004310D1">
        <w:rPr>
          <w:rFonts w:ascii="Century Gothic" w:hAnsi="Century Gothic" w:cs="Arial"/>
          <w:bCs/>
          <w:sz w:val="22"/>
          <w:szCs w:val="22"/>
        </w:rPr>
        <w:t xml:space="preserve"> </w:t>
      </w:r>
      <w:r w:rsidR="007F454D">
        <w:rPr>
          <w:rFonts w:ascii="Century Gothic" w:hAnsi="Century Gothic" w:cs="Arial"/>
          <w:bCs/>
          <w:sz w:val="22"/>
          <w:szCs w:val="22"/>
        </w:rPr>
        <w:t>based on</w:t>
      </w:r>
      <w:r w:rsidRPr="004310D1">
        <w:rPr>
          <w:rFonts w:ascii="Century Gothic" w:hAnsi="Century Gothic" w:cs="Arial"/>
          <w:bCs/>
          <w:sz w:val="22"/>
          <w:szCs w:val="22"/>
        </w:rPr>
        <w:t xml:space="preserve"> your </w:t>
      </w:r>
      <w:r w:rsidR="007F454D">
        <w:rPr>
          <w:rFonts w:ascii="Century Gothic" w:hAnsi="Century Gothic" w:cs="Arial"/>
          <w:bCs/>
          <w:sz w:val="22"/>
          <w:szCs w:val="22"/>
        </w:rPr>
        <w:t>years of service with the scheme, final ordinary earnings and the accrue rate, which is 5% for all Grade B members.</w:t>
      </w:r>
    </w:p>
    <w:p w:rsidR="00CE08FF" w:rsidRPr="00CE08FF" w:rsidRDefault="00CE08FF" w:rsidP="00CE08FF">
      <w:pPr>
        <w:spacing w:before="60" w:after="60" w:line="276" w:lineRule="auto"/>
        <w:ind w:left="180"/>
        <w:jc w:val="both"/>
        <w:rPr>
          <w:rFonts w:ascii="Century Gothic" w:hAnsi="Century Gothic" w:cs="Arial"/>
          <w:bCs/>
          <w:i/>
        </w:rPr>
      </w:pPr>
      <w:r w:rsidRPr="00CE08FF">
        <w:rPr>
          <w:rFonts w:ascii="Century Gothic" w:hAnsi="Century Gothic" w:cs="Arial"/>
          <w:bCs/>
          <w:i/>
        </w:rPr>
        <w:t>Example:</w:t>
      </w:r>
    </w:p>
    <w:p w:rsidR="00CE08FF" w:rsidRPr="00CE08FF" w:rsidRDefault="000A4AEE" w:rsidP="00CE08FF">
      <w:pPr>
        <w:spacing w:before="60" w:after="60" w:line="276" w:lineRule="auto"/>
        <w:ind w:left="180"/>
        <w:jc w:val="both"/>
        <w:rPr>
          <w:rFonts w:ascii="Century Gothic" w:hAnsi="Century Gothic" w:cs="Arial"/>
          <w:bCs/>
          <w:i/>
        </w:rPr>
      </w:pPr>
      <w:r>
        <w:rPr>
          <w:rFonts w:ascii="Century Gothic" w:hAnsi="Century Gothic" w:cs="Arial"/>
          <w:bCs/>
          <w:i/>
        </w:rPr>
        <w:t>Assuming</w:t>
      </w:r>
      <w:r w:rsidR="00CE08FF" w:rsidRPr="00CE08FF">
        <w:rPr>
          <w:rFonts w:ascii="Century Gothic" w:hAnsi="Century Gothic" w:cs="Arial"/>
          <w:bCs/>
          <w:i/>
        </w:rPr>
        <w:t xml:space="preserve"> your employment with the employer starts when you </w:t>
      </w:r>
      <w:r>
        <w:rPr>
          <w:rFonts w:ascii="Century Gothic" w:hAnsi="Century Gothic" w:cs="Arial"/>
          <w:bCs/>
          <w:i/>
        </w:rPr>
        <w:t>were</w:t>
      </w:r>
      <w:r w:rsidR="00CE08FF" w:rsidRPr="00CE08FF">
        <w:rPr>
          <w:rFonts w:ascii="Century Gothic" w:hAnsi="Century Gothic" w:cs="Arial"/>
          <w:bCs/>
          <w:i/>
        </w:rPr>
        <w:t xml:space="preserve"> at age 30 and you retire at </w:t>
      </w:r>
      <w:r>
        <w:rPr>
          <w:rFonts w:ascii="Century Gothic" w:hAnsi="Century Gothic" w:cs="Arial"/>
          <w:bCs/>
          <w:i/>
        </w:rPr>
        <w:t xml:space="preserve">the </w:t>
      </w:r>
      <w:r w:rsidRPr="000A4AEE">
        <w:rPr>
          <w:rFonts w:ascii="Century Gothic" w:hAnsi="Century Gothic" w:cs="Arial"/>
          <w:bCs/>
          <w:i/>
        </w:rPr>
        <w:t>normal retirement age</w:t>
      </w:r>
      <w:r>
        <w:rPr>
          <w:rFonts w:ascii="Century Gothic" w:hAnsi="Century Gothic" w:cs="Arial"/>
          <w:bCs/>
          <w:i/>
        </w:rPr>
        <w:t xml:space="preserve"> 60</w:t>
      </w:r>
      <w:r w:rsidR="00CE08FF" w:rsidRPr="00CE08FF">
        <w:rPr>
          <w:rFonts w:ascii="Century Gothic" w:hAnsi="Century Gothic" w:cs="Arial"/>
          <w:bCs/>
          <w:i/>
        </w:rPr>
        <w:t>, you</w:t>
      </w:r>
      <w:r>
        <w:rPr>
          <w:rFonts w:ascii="Century Gothic" w:hAnsi="Century Gothic" w:cs="Arial"/>
          <w:bCs/>
          <w:i/>
        </w:rPr>
        <w:t>r</w:t>
      </w:r>
      <w:r w:rsidR="00CE08FF" w:rsidRPr="00CE08FF">
        <w:rPr>
          <w:rFonts w:ascii="Century Gothic" w:hAnsi="Century Gothic" w:cs="Arial"/>
          <w:bCs/>
          <w:i/>
        </w:rPr>
        <w:t xml:space="preserve"> ordinary earnings before retirement is $100,000 p.a., the lump sum retirement benefit you </w:t>
      </w:r>
      <w:r>
        <w:rPr>
          <w:rFonts w:ascii="Century Gothic" w:hAnsi="Century Gothic" w:cs="Arial"/>
          <w:bCs/>
          <w:i/>
        </w:rPr>
        <w:t xml:space="preserve">are </w:t>
      </w:r>
      <w:r w:rsidR="00CE08FF" w:rsidRPr="00CE08FF">
        <w:rPr>
          <w:rFonts w:ascii="Century Gothic" w:hAnsi="Century Gothic" w:cs="Arial"/>
          <w:bCs/>
          <w:i/>
        </w:rPr>
        <w:t xml:space="preserve">entitled to at the date of retirement is: </w:t>
      </w:r>
    </w:p>
    <w:p w:rsidR="00CE08FF" w:rsidRDefault="00CE08FF" w:rsidP="00CE08FF">
      <w:pPr>
        <w:spacing w:before="60" w:after="60" w:line="276" w:lineRule="auto"/>
        <w:ind w:firstLine="144"/>
        <w:jc w:val="center"/>
        <w:rPr>
          <w:rFonts w:ascii="Century Gothic" w:hAnsi="Century Gothic" w:cs="Arial"/>
          <w:bCs/>
          <w:i/>
        </w:rPr>
      </w:pPr>
      <w:r w:rsidRPr="00CE08FF">
        <w:rPr>
          <w:rFonts w:ascii="Century Gothic" w:hAnsi="Century Gothic" w:cs="Arial"/>
          <w:bCs/>
          <w:i/>
        </w:rPr>
        <w:t>150,000 = (60 – 30) * 100,000 * 5%</w:t>
      </w:r>
    </w:p>
    <w:p w:rsidR="000A4AEE" w:rsidRPr="009D0A5A" w:rsidRDefault="000A4AEE" w:rsidP="00955568">
      <w:pPr>
        <w:spacing w:before="60" w:after="60" w:line="276" w:lineRule="auto"/>
        <w:jc w:val="both"/>
        <w:rPr>
          <w:rFonts w:ascii="Century Gothic" w:hAnsi="Century Gothic" w:cs="Arial"/>
          <w:bCs/>
          <w:sz w:val="10"/>
          <w:szCs w:val="10"/>
        </w:rPr>
      </w:pPr>
    </w:p>
    <w:p w:rsidR="006D3319" w:rsidRDefault="007F454D" w:rsidP="008F201F">
      <w:pPr>
        <w:pStyle w:val="ListParagraph"/>
        <w:numPr>
          <w:ilvl w:val="0"/>
          <w:numId w:val="12"/>
        </w:numPr>
        <w:spacing w:before="60" w:after="60" w:line="276" w:lineRule="auto"/>
        <w:ind w:left="180" w:hanging="180"/>
        <w:jc w:val="both"/>
        <w:rPr>
          <w:rFonts w:ascii="Century Gothic" w:hAnsi="Century Gothic" w:cs="Arial"/>
          <w:bCs/>
          <w:sz w:val="22"/>
          <w:szCs w:val="22"/>
        </w:rPr>
      </w:pPr>
      <w:r>
        <w:rPr>
          <w:rFonts w:ascii="Century Gothic" w:hAnsi="Century Gothic" w:cs="Arial"/>
          <w:bCs/>
          <w:sz w:val="22"/>
          <w:szCs w:val="22"/>
        </w:rPr>
        <w:t>W</w:t>
      </w:r>
      <w:r w:rsidRPr="0030137D">
        <w:rPr>
          <w:rFonts w:ascii="Century Gothic" w:hAnsi="Century Gothic" w:cs="Arial"/>
          <w:bCs/>
          <w:sz w:val="22"/>
          <w:szCs w:val="22"/>
        </w:rPr>
        <w:t>ithdraw</w:t>
      </w:r>
      <w:r>
        <w:rPr>
          <w:rFonts w:ascii="Century Gothic" w:hAnsi="Century Gothic" w:cs="Arial"/>
          <w:bCs/>
          <w:sz w:val="22"/>
          <w:szCs w:val="22"/>
        </w:rPr>
        <w:t>al (r</w:t>
      </w:r>
      <w:r w:rsidRPr="007F454D">
        <w:rPr>
          <w:rFonts w:ascii="Century Gothic" w:hAnsi="Century Gothic" w:cs="Arial"/>
          <w:bCs/>
          <w:sz w:val="22"/>
          <w:szCs w:val="22"/>
        </w:rPr>
        <w:t>esignation</w:t>
      </w:r>
      <w:r>
        <w:rPr>
          <w:rFonts w:ascii="Century Gothic" w:hAnsi="Century Gothic" w:cs="Arial"/>
          <w:bCs/>
          <w:sz w:val="22"/>
          <w:szCs w:val="22"/>
        </w:rPr>
        <w:t>)</w:t>
      </w:r>
      <w:r w:rsidR="006D3319" w:rsidRPr="0030137D">
        <w:rPr>
          <w:rFonts w:ascii="Century Gothic" w:hAnsi="Century Gothic" w:cs="Arial"/>
          <w:bCs/>
          <w:sz w:val="22"/>
          <w:szCs w:val="22"/>
        </w:rPr>
        <w:t xml:space="preserve"> benefit</w:t>
      </w:r>
    </w:p>
    <w:p w:rsidR="0068573C" w:rsidRDefault="008F201F" w:rsidP="0059533A">
      <w:pPr>
        <w:spacing w:before="60" w:after="100" w:line="276" w:lineRule="auto"/>
        <w:ind w:left="187"/>
        <w:jc w:val="both"/>
        <w:rPr>
          <w:rFonts w:ascii="Century Gothic" w:hAnsi="Century Gothic" w:cs="Arial"/>
          <w:bCs/>
          <w:sz w:val="22"/>
          <w:szCs w:val="22"/>
        </w:rPr>
      </w:pPr>
      <w:r>
        <w:rPr>
          <w:rFonts w:ascii="Century Gothic" w:hAnsi="Century Gothic" w:cs="Arial"/>
          <w:bCs/>
          <w:sz w:val="22"/>
          <w:szCs w:val="22"/>
        </w:rPr>
        <w:lastRenderedPageBreak/>
        <w:t>A w</w:t>
      </w:r>
      <w:r w:rsidRPr="0030137D">
        <w:rPr>
          <w:rFonts w:ascii="Century Gothic" w:hAnsi="Century Gothic" w:cs="Arial"/>
          <w:bCs/>
          <w:sz w:val="22"/>
          <w:szCs w:val="22"/>
        </w:rPr>
        <w:t>ithdraw</w:t>
      </w:r>
      <w:r>
        <w:rPr>
          <w:rFonts w:ascii="Century Gothic" w:hAnsi="Century Gothic" w:cs="Arial"/>
          <w:bCs/>
          <w:sz w:val="22"/>
          <w:szCs w:val="22"/>
        </w:rPr>
        <w:t xml:space="preserve">al </w:t>
      </w:r>
      <w:r w:rsidR="004310D1" w:rsidRPr="004310D1">
        <w:rPr>
          <w:rFonts w:ascii="Century Gothic" w:hAnsi="Century Gothic" w:cs="Arial"/>
          <w:bCs/>
          <w:sz w:val="22"/>
          <w:szCs w:val="22"/>
        </w:rPr>
        <w:t>benefit i</w:t>
      </w:r>
      <w:r w:rsidR="004310D1">
        <w:rPr>
          <w:rFonts w:ascii="Century Gothic" w:hAnsi="Century Gothic" w:cs="Arial"/>
          <w:bCs/>
          <w:sz w:val="22"/>
          <w:szCs w:val="22"/>
        </w:rPr>
        <w:t>s paid as a lump sum</w:t>
      </w:r>
      <w:r w:rsidR="00CC7FBD" w:rsidRPr="00CC7FBD">
        <w:rPr>
          <w:rFonts w:ascii="Century Gothic" w:hAnsi="Century Gothic" w:cs="Arial"/>
          <w:bCs/>
          <w:sz w:val="22"/>
          <w:szCs w:val="22"/>
        </w:rPr>
        <w:t>*</w:t>
      </w:r>
      <w:r w:rsidR="004310D1">
        <w:rPr>
          <w:rFonts w:ascii="Century Gothic" w:hAnsi="Century Gothic" w:cs="Arial"/>
          <w:bCs/>
          <w:sz w:val="22"/>
          <w:szCs w:val="22"/>
        </w:rPr>
        <w:t xml:space="preserve"> </w:t>
      </w:r>
      <w:r w:rsidR="0068573C">
        <w:rPr>
          <w:rFonts w:ascii="Century Gothic" w:hAnsi="Century Gothic" w:cs="Arial"/>
          <w:bCs/>
          <w:sz w:val="22"/>
          <w:szCs w:val="22"/>
        </w:rPr>
        <w:t>if you voluntarily</w:t>
      </w:r>
      <w:r w:rsidR="004310D1" w:rsidRPr="004310D1">
        <w:rPr>
          <w:rFonts w:ascii="Century Gothic" w:hAnsi="Century Gothic" w:cs="Arial"/>
          <w:bCs/>
          <w:sz w:val="22"/>
          <w:szCs w:val="22"/>
        </w:rPr>
        <w:t xml:space="preserve"> resign </w:t>
      </w:r>
      <w:r w:rsidR="0059533A">
        <w:rPr>
          <w:rFonts w:ascii="Century Gothic" w:hAnsi="Century Gothic" w:cs="Arial"/>
          <w:bCs/>
          <w:sz w:val="22"/>
          <w:szCs w:val="22"/>
        </w:rPr>
        <w:t xml:space="preserve">before </w:t>
      </w:r>
      <w:r w:rsidR="0068573C">
        <w:rPr>
          <w:rFonts w:ascii="Century Gothic" w:hAnsi="Century Gothic" w:cs="Arial"/>
          <w:bCs/>
          <w:sz w:val="22"/>
          <w:szCs w:val="22"/>
        </w:rPr>
        <w:t xml:space="preserve">the </w:t>
      </w:r>
      <w:r w:rsidR="000A4AEE">
        <w:rPr>
          <w:rFonts w:ascii="Century Gothic" w:hAnsi="Century Gothic" w:cs="Arial"/>
          <w:bCs/>
          <w:sz w:val="22"/>
          <w:szCs w:val="22"/>
        </w:rPr>
        <w:t>normal retirement age</w:t>
      </w:r>
      <w:r w:rsidR="004310D1" w:rsidRPr="004310D1">
        <w:rPr>
          <w:rFonts w:ascii="Century Gothic" w:hAnsi="Century Gothic" w:cs="Arial"/>
          <w:bCs/>
          <w:sz w:val="22"/>
          <w:szCs w:val="22"/>
        </w:rPr>
        <w:t>.</w:t>
      </w:r>
      <w:r w:rsidR="0068573C">
        <w:rPr>
          <w:rFonts w:ascii="Century Gothic" w:hAnsi="Century Gothic" w:cs="Arial"/>
          <w:bCs/>
          <w:sz w:val="22"/>
          <w:szCs w:val="22"/>
        </w:rPr>
        <w:t xml:space="preserve"> </w:t>
      </w:r>
      <w:bookmarkStart w:id="5" w:name="OLE_LINK1"/>
      <w:bookmarkStart w:id="6" w:name="OLE_LINK2"/>
      <w:r w:rsidR="0089198D">
        <w:rPr>
          <w:rFonts w:ascii="Century Gothic" w:hAnsi="Century Gothic" w:cs="Arial"/>
          <w:bCs/>
          <w:sz w:val="22"/>
          <w:szCs w:val="22"/>
        </w:rPr>
        <w:t>Voluntary</w:t>
      </w:r>
      <w:r w:rsidR="0068573C">
        <w:rPr>
          <w:rFonts w:ascii="Century Gothic" w:hAnsi="Century Gothic" w:cs="Arial"/>
          <w:bCs/>
          <w:sz w:val="22"/>
          <w:szCs w:val="22"/>
        </w:rPr>
        <w:t xml:space="preserve"> withdrawal </w:t>
      </w:r>
      <w:bookmarkEnd w:id="5"/>
      <w:bookmarkEnd w:id="6"/>
      <w:r w:rsidR="0089198D">
        <w:rPr>
          <w:rFonts w:ascii="Century Gothic" w:hAnsi="Century Gothic" w:cs="Arial"/>
          <w:bCs/>
          <w:sz w:val="22"/>
          <w:szCs w:val="22"/>
        </w:rPr>
        <w:t>benefit is subject to penalty</w:t>
      </w:r>
      <w:r w:rsidR="0068573C">
        <w:rPr>
          <w:rFonts w:ascii="Century Gothic" w:hAnsi="Century Gothic" w:cs="Arial"/>
          <w:bCs/>
          <w:sz w:val="22"/>
          <w:szCs w:val="22"/>
        </w:rPr>
        <w:t xml:space="preserve">, which is 25% of </w:t>
      </w:r>
      <w:r w:rsidR="0059533A">
        <w:rPr>
          <w:rFonts w:ascii="Century Gothic" w:hAnsi="Century Gothic" w:cs="Arial"/>
          <w:bCs/>
          <w:sz w:val="22"/>
          <w:szCs w:val="22"/>
        </w:rPr>
        <w:t>the fund</w:t>
      </w:r>
      <w:r w:rsidR="009F3FFA">
        <w:rPr>
          <w:rStyle w:val="FootnoteReference"/>
          <w:rFonts w:ascii="Century Gothic" w:hAnsi="Century Gothic" w:cs="Arial"/>
          <w:bCs/>
          <w:sz w:val="22"/>
          <w:szCs w:val="22"/>
        </w:rPr>
        <w:footnoteReference w:id="3"/>
      </w:r>
      <w:r w:rsidR="0059533A">
        <w:rPr>
          <w:rFonts w:ascii="Century Gothic" w:hAnsi="Century Gothic" w:cs="Arial"/>
          <w:bCs/>
          <w:sz w:val="22"/>
          <w:szCs w:val="22"/>
        </w:rPr>
        <w:t xml:space="preserve"> value</w:t>
      </w:r>
      <w:r w:rsidR="0068573C">
        <w:rPr>
          <w:rFonts w:ascii="Century Gothic" w:hAnsi="Century Gothic" w:cs="Arial"/>
          <w:bCs/>
          <w:sz w:val="22"/>
          <w:szCs w:val="22"/>
        </w:rPr>
        <w:t xml:space="preserve"> </w:t>
      </w:r>
      <w:r w:rsidR="0059533A">
        <w:rPr>
          <w:rFonts w:ascii="Century Gothic" w:hAnsi="Century Gothic" w:cs="Arial"/>
          <w:bCs/>
          <w:sz w:val="22"/>
          <w:szCs w:val="22"/>
        </w:rPr>
        <w:t>held by the scheme.</w:t>
      </w:r>
    </w:p>
    <w:p w:rsidR="000A4AEE" w:rsidRPr="00CC7FBD" w:rsidRDefault="00CC7FBD" w:rsidP="0068573C">
      <w:pPr>
        <w:spacing w:before="60" w:after="60" w:line="276" w:lineRule="auto"/>
        <w:ind w:left="180"/>
        <w:jc w:val="both"/>
        <w:rPr>
          <w:rFonts w:ascii="Century Gothic" w:hAnsi="Century Gothic" w:cs="Arial"/>
          <w:bCs/>
          <w:i/>
          <w:lang w:val="en-US" w:eastAsia="zh-CN"/>
        </w:rPr>
      </w:pPr>
      <w:r w:rsidRPr="00CC7FBD">
        <w:rPr>
          <w:rFonts w:ascii="Century Gothic" w:hAnsi="Century Gothic" w:cs="Arial"/>
          <w:bCs/>
          <w:i/>
        </w:rPr>
        <w:t>*</w:t>
      </w:r>
      <w:r w:rsidR="003C0B74">
        <w:rPr>
          <w:rFonts w:ascii="Century Gothic" w:hAnsi="Century Gothic" w:cs="Arial"/>
          <w:bCs/>
          <w:i/>
        </w:rPr>
        <w:t>T</w:t>
      </w:r>
      <w:r w:rsidR="0068573C" w:rsidRPr="00CC7FBD">
        <w:rPr>
          <w:rFonts w:ascii="Century Gothic" w:hAnsi="Century Gothic" w:cs="Arial"/>
          <w:bCs/>
          <w:i/>
        </w:rPr>
        <w:t>he</w:t>
      </w:r>
      <w:r w:rsidR="000A4AEE" w:rsidRPr="00CC7FBD">
        <w:rPr>
          <w:rFonts w:ascii="Century Gothic" w:hAnsi="Century Gothic" w:cs="Arial"/>
          <w:bCs/>
          <w:i/>
        </w:rPr>
        <w:t xml:space="preserve"> jurisdiction </w:t>
      </w:r>
      <w:r w:rsidR="0068573C" w:rsidRPr="00CC7FBD">
        <w:rPr>
          <w:rFonts w:ascii="Century Gothic" w:hAnsi="Century Gothic" w:cs="Arial"/>
          <w:bCs/>
          <w:i/>
        </w:rPr>
        <w:t xml:space="preserve">may have </w:t>
      </w:r>
      <w:r w:rsidR="000A4AEE" w:rsidRPr="00CC7FBD">
        <w:rPr>
          <w:rFonts w:ascii="Century Gothic" w:hAnsi="Century Gothic" w:cs="Arial"/>
          <w:bCs/>
          <w:i/>
        </w:rPr>
        <w:t xml:space="preserve">strict rules </w:t>
      </w:r>
      <w:r w:rsidR="0068573C" w:rsidRPr="00CC7FBD">
        <w:rPr>
          <w:rFonts w:ascii="Century Gothic" w:hAnsi="Century Gothic" w:cs="Arial"/>
          <w:bCs/>
          <w:i/>
        </w:rPr>
        <w:t>and you may not</w:t>
      </w:r>
      <w:r w:rsidR="000A4AEE" w:rsidRPr="00CC7FBD">
        <w:rPr>
          <w:rFonts w:ascii="Century Gothic" w:hAnsi="Century Gothic" w:cs="Arial"/>
          <w:bCs/>
          <w:i/>
        </w:rPr>
        <w:t xml:space="preserve"> </w:t>
      </w:r>
      <w:r w:rsidR="0068573C" w:rsidRPr="00CC7FBD">
        <w:rPr>
          <w:rFonts w:ascii="Century Gothic" w:hAnsi="Century Gothic" w:cs="Arial"/>
          <w:bCs/>
          <w:i/>
        </w:rPr>
        <w:t xml:space="preserve">have access to your withdrawal benefit until you reach the normal retirement age. The withdrawal benefit may move to the scheme with your new employer or </w:t>
      </w:r>
      <w:r w:rsidR="0068573C" w:rsidRPr="00CC7FBD">
        <w:rPr>
          <w:rFonts w:ascii="Century Gothic" w:hAnsi="Century Gothic" w:cs="Arial" w:hint="eastAsia"/>
          <w:bCs/>
          <w:i/>
          <w:lang w:eastAsia="zh-CN"/>
        </w:rPr>
        <w:t>remain</w:t>
      </w:r>
      <w:r w:rsidR="0068573C" w:rsidRPr="00CC7FBD">
        <w:rPr>
          <w:rFonts w:ascii="Century Gothic" w:hAnsi="Century Gothic" w:cs="Arial"/>
          <w:bCs/>
          <w:i/>
          <w:lang w:eastAsia="zh-CN"/>
        </w:rPr>
        <w:t xml:space="preserve"> </w:t>
      </w:r>
      <w:r w:rsidR="0068573C" w:rsidRPr="00CC7FBD">
        <w:rPr>
          <w:rFonts w:ascii="Century Gothic" w:hAnsi="Century Gothic" w:cs="Arial"/>
          <w:bCs/>
          <w:i/>
          <w:lang w:val="en-US" w:eastAsia="zh-CN"/>
        </w:rPr>
        <w:t>as a compulsory deposit with us.</w:t>
      </w:r>
    </w:p>
    <w:p w:rsidR="0059533A" w:rsidRPr="009D0A5A" w:rsidRDefault="0059533A" w:rsidP="00955568">
      <w:pPr>
        <w:spacing w:before="60" w:after="60" w:line="276" w:lineRule="auto"/>
        <w:jc w:val="both"/>
        <w:rPr>
          <w:rFonts w:ascii="Century Gothic" w:hAnsi="Century Gothic" w:cs="Arial"/>
          <w:bCs/>
          <w:sz w:val="10"/>
          <w:szCs w:val="10"/>
        </w:rPr>
      </w:pPr>
    </w:p>
    <w:p w:rsidR="006D3319" w:rsidRPr="0030137D" w:rsidRDefault="006D3319" w:rsidP="00EF30A4">
      <w:pPr>
        <w:pStyle w:val="ListParagraph"/>
        <w:numPr>
          <w:ilvl w:val="0"/>
          <w:numId w:val="12"/>
        </w:numPr>
        <w:spacing w:before="60" w:after="60" w:line="276" w:lineRule="auto"/>
        <w:ind w:left="180" w:hanging="180"/>
        <w:jc w:val="both"/>
        <w:rPr>
          <w:rFonts w:ascii="Century Gothic" w:hAnsi="Century Gothic" w:cs="Arial"/>
          <w:bCs/>
          <w:sz w:val="22"/>
          <w:szCs w:val="22"/>
        </w:rPr>
      </w:pPr>
      <w:r w:rsidRPr="0030137D">
        <w:rPr>
          <w:rFonts w:ascii="Century Gothic" w:hAnsi="Century Gothic" w:cs="Arial"/>
          <w:bCs/>
          <w:sz w:val="22"/>
          <w:szCs w:val="22"/>
        </w:rPr>
        <w:t>Redundancy benefit</w:t>
      </w:r>
    </w:p>
    <w:p w:rsidR="00A84C0D" w:rsidRDefault="00B37DDB" w:rsidP="00663C8F">
      <w:pPr>
        <w:spacing w:before="60" w:after="100" w:line="276" w:lineRule="auto"/>
        <w:ind w:left="187"/>
        <w:jc w:val="both"/>
        <w:rPr>
          <w:rFonts w:ascii="Century Gothic" w:hAnsi="Century Gothic" w:cs="Arial"/>
          <w:bCs/>
          <w:sz w:val="22"/>
          <w:szCs w:val="22"/>
        </w:rPr>
      </w:pPr>
      <w:r>
        <w:rPr>
          <w:rFonts w:ascii="Century Gothic" w:hAnsi="Century Gothic" w:cs="Arial"/>
          <w:bCs/>
          <w:sz w:val="22"/>
          <w:szCs w:val="22"/>
        </w:rPr>
        <w:t>A</w:t>
      </w:r>
      <w:r w:rsidRPr="00B37DDB">
        <w:rPr>
          <w:rFonts w:ascii="Century Gothic" w:hAnsi="Century Gothic" w:cs="Arial"/>
          <w:bCs/>
          <w:sz w:val="22"/>
          <w:szCs w:val="22"/>
        </w:rPr>
        <w:t xml:space="preserve"> lump sum redundancy benefit is paid</w:t>
      </w:r>
      <w:r>
        <w:rPr>
          <w:rFonts w:ascii="Century Gothic" w:hAnsi="Century Gothic" w:cs="Arial"/>
          <w:bCs/>
          <w:sz w:val="22"/>
          <w:szCs w:val="22"/>
        </w:rPr>
        <w:t xml:space="preserve"> i</w:t>
      </w:r>
      <w:r w:rsidR="006D3319" w:rsidRPr="0030137D">
        <w:rPr>
          <w:rFonts w:ascii="Century Gothic" w:hAnsi="Century Gothic" w:cs="Arial"/>
          <w:bCs/>
          <w:sz w:val="22"/>
          <w:szCs w:val="22"/>
        </w:rPr>
        <w:t xml:space="preserve">f redundancy </w:t>
      </w:r>
      <w:r w:rsidR="0089198D">
        <w:rPr>
          <w:rFonts w:ascii="Century Gothic" w:hAnsi="Century Gothic" w:cs="Arial"/>
          <w:bCs/>
          <w:sz w:val="22"/>
          <w:szCs w:val="22"/>
        </w:rPr>
        <w:t xml:space="preserve">occurs and </w:t>
      </w:r>
      <w:r w:rsidR="0089198D" w:rsidRPr="0089198D">
        <w:rPr>
          <w:rFonts w:ascii="Century Gothic" w:hAnsi="Century Gothic" w:cs="Arial"/>
          <w:bCs/>
          <w:sz w:val="22"/>
          <w:szCs w:val="22"/>
        </w:rPr>
        <w:t>your employment is terminated by your employer</w:t>
      </w:r>
      <w:r>
        <w:rPr>
          <w:rFonts w:ascii="Century Gothic" w:hAnsi="Century Gothic" w:cs="Arial"/>
          <w:bCs/>
          <w:sz w:val="22"/>
          <w:szCs w:val="22"/>
        </w:rPr>
        <w:t xml:space="preserve"> prior to the normal retirement age.</w:t>
      </w:r>
      <w:r w:rsidR="00663C8F">
        <w:rPr>
          <w:rFonts w:ascii="Century Gothic" w:hAnsi="Century Gothic" w:cs="Arial"/>
          <w:bCs/>
          <w:sz w:val="22"/>
          <w:szCs w:val="22"/>
        </w:rPr>
        <w:t xml:space="preserve"> </w:t>
      </w:r>
      <w:r w:rsidR="009F3FFA">
        <w:rPr>
          <w:rFonts w:ascii="Century Gothic" w:hAnsi="Century Gothic" w:cs="Arial"/>
          <w:bCs/>
          <w:sz w:val="22"/>
          <w:szCs w:val="22"/>
        </w:rPr>
        <w:t>The amount would be</w:t>
      </w:r>
      <w:r w:rsidR="00663C8F">
        <w:rPr>
          <w:rFonts w:ascii="Century Gothic" w:hAnsi="Century Gothic" w:cs="Arial"/>
          <w:bCs/>
          <w:sz w:val="22"/>
          <w:szCs w:val="22"/>
        </w:rPr>
        <w:t xml:space="preserve"> </w:t>
      </w:r>
      <w:r w:rsidR="00663C8F" w:rsidRPr="00663C8F">
        <w:rPr>
          <w:rFonts w:ascii="Century Gothic" w:hAnsi="Century Gothic" w:cs="Arial"/>
          <w:bCs/>
          <w:sz w:val="22"/>
          <w:szCs w:val="22"/>
        </w:rPr>
        <w:t>the fund</w:t>
      </w:r>
      <w:r w:rsidR="009F3FFA">
        <w:rPr>
          <w:rStyle w:val="FootnoteReference"/>
          <w:rFonts w:ascii="Century Gothic" w:hAnsi="Century Gothic" w:cs="Arial"/>
          <w:bCs/>
          <w:sz w:val="22"/>
          <w:szCs w:val="22"/>
        </w:rPr>
        <w:footnoteReference w:id="4"/>
      </w:r>
      <w:r w:rsidR="00663C8F" w:rsidRPr="00663C8F">
        <w:rPr>
          <w:rFonts w:ascii="Century Gothic" w:hAnsi="Century Gothic" w:cs="Arial"/>
          <w:bCs/>
          <w:sz w:val="22"/>
          <w:szCs w:val="22"/>
        </w:rPr>
        <w:t xml:space="preserve"> value held by the scheme.</w:t>
      </w:r>
    </w:p>
    <w:p w:rsidR="00663C8F" w:rsidRPr="009D0A5A" w:rsidRDefault="00663C8F" w:rsidP="00955568">
      <w:pPr>
        <w:spacing w:before="60" w:after="60" w:line="276" w:lineRule="auto"/>
        <w:jc w:val="both"/>
        <w:rPr>
          <w:rFonts w:ascii="Century Gothic" w:hAnsi="Century Gothic" w:cs="Arial"/>
          <w:bCs/>
          <w:sz w:val="10"/>
          <w:szCs w:val="10"/>
        </w:rPr>
      </w:pPr>
    </w:p>
    <w:p w:rsidR="0015216A" w:rsidRPr="00C90E30" w:rsidRDefault="0015216A" w:rsidP="007C58B8">
      <w:pPr>
        <w:spacing w:before="60" w:after="60" w:line="276" w:lineRule="auto"/>
        <w:jc w:val="both"/>
        <w:rPr>
          <w:rFonts w:ascii="Century Gothic" w:hAnsi="Century Gothic" w:cs="Arial"/>
          <w:bCs/>
          <w:color w:val="2E74B5" w:themeColor="accent1" w:themeShade="BF"/>
          <w:sz w:val="22"/>
          <w:szCs w:val="22"/>
          <w:u w:val="single"/>
        </w:rPr>
      </w:pPr>
      <w:r w:rsidRPr="00C90E30">
        <w:rPr>
          <w:rFonts w:ascii="Century Gothic" w:hAnsi="Century Gothic" w:cs="Arial"/>
          <w:bCs/>
          <w:color w:val="2E74B5" w:themeColor="accent1" w:themeShade="BF"/>
          <w:sz w:val="22"/>
          <w:szCs w:val="22"/>
          <w:u w:val="single"/>
        </w:rPr>
        <w:t>Contributions</w:t>
      </w:r>
    </w:p>
    <w:p w:rsidR="00264FA4" w:rsidRDefault="0015216A" w:rsidP="00264FA4">
      <w:pPr>
        <w:spacing w:before="60" w:after="60" w:line="276" w:lineRule="auto"/>
        <w:jc w:val="both"/>
        <w:rPr>
          <w:rFonts w:ascii="Century Gothic" w:hAnsi="Century Gothic" w:cs="Arial"/>
          <w:bCs/>
          <w:sz w:val="22"/>
          <w:szCs w:val="22"/>
        </w:rPr>
      </w:pPr>
      <w:r>
        <w:rPr>
          <w:rFonts w:ascii="Century Gothic" w:hAnsi="Century Gothic" w:cs="Arial"/>
          <w:bCs/>
          <w:sz w:val="22"/>
          <w:szCs w:val="22"/>
        </w:rPr>
        <w:t xml:space="preserve">Contributions are only made by </w:t>
      </w:r>
      <w:r w:rsidR="00663C8F">
        <w:rPr>
          <w:rFonts w:ascii="Century Gothic" w:hAnsi="Century Gothic" w:cs="Arial"/>
          <w:bCs/>
          <w:sz w:val="22"/>
          <w:szCs w:val="22"/>
        </w:rPr>
        <w:t>the</w:t>
      </w:r>
      <w:r>
        <w:rPr>
          <w:rFonts w:ascii="Century Gothic" w:hAnsi="Century Gothic" w:cs="Arial"/>
          <w:bCs/>
          <w:sz w:val="22"/>
          <w:szCs w:val="22"/>
        </w:rPr>
        <w:t xml:space="preserve"> employer</w:t>
      </w:r>
      <w:r w:rsidR="00663C8F">
        <w:rPr>
          <w:rFonts w:ascii="Century Gothic" w:hAnsi="Century Gothic" w:cs="Arial"/>
          <w:bCs/>
          <w:sz w:val="22"/>
          <w:szCs w:val="22"/>
        </w:rPr>
        <w:t xml:space="preserve"> and t</w:t>
      </w:r>
      <w:r w:rsidR="00264FA4">
        <w:rPr>
          <w:rFonts w:ascii="Century Gothic" w:hAnsi="Century Gothic" w:cs="Arial"/>
          <w:bCs/>
          <w:sz w:val="22"/>
          <w:szCs w:val="22"/>
        </w:rPr>
        <w:t>hese contrib</w:t>
      </w:r>
      <w:r w:rsidR="00663C8F">
        <w:rPr>
          <w:rFonts w:ascii="Century Gothic" w:hAnsi="Century Gothic" w:cs="Arial"/>
          <w:bCs/>
          <w:sz w:val="22"/>
          <w:szCs w:val="22"/>
        </w:rPr>
        <w:t>utions are used</w:t>
      </w:r>
      <w:r w:rsidR="004310D1">
        <w:rPr>
          <w:rFonts w:ascii="Century Gothic" w:hAnsi="Century Gothic" w:cs="Arial"/>
          <w:bCs/>
          <w:sz w:val="22"/>
          <w:szCs w:val="22"/>
        </w:rPr>
        <w:t xml:space="preserve"> to pay </w:t>
      </w:r>
      <w:r w:rsidR="00264FA4" w:rsidRPr="00264FA4">
        <w:rPr>
          <w:rFonts w:ascii="Century Gothic" w:hAnsi="Century Gothic" w:cs="Arial"/>
          <w:bCs/>
          <w:sz w:val="22"/>
          <w:szCs w:val="22"/>
        </w:rPr>
        <w:t>all members’ benefits.</w:t>
      </w:r>
    </w:p>
    <w:p w:rsidR="00264FA4" w:rsidRPr="009D0A5A" w:rsidRDefault="00264FA4" w:rsidP="007C58B8">
      <w:pPr>
        <w:spacing w:before="60" w:after="60" w:line="276" w:lineRule="auto"/>
        <w:jc w:val="both"/>
        <w:rPr>
          <w:rFonts w:ascii="Century Gothic" w:hAnsi="Century Gothic" w:cs="Arial"/>
          <w:bCs/>
          <w:sz w:val="10"/>
          <w:szCs w:val="10"/>
        </w:rPr>
      </w:pPr>
    </w:p>
    <w:p w:rsidR="0030137D" w:rsidRPr="00C90E30" w:rsidRDefault="001F6934" w:rsidP="007C58B8">
      <w:pPr>
        <w:spacing w:before="60" w:after="60" w:line="276" w:lineRule="auto"/>
        <w:jc w:val="both"/>
        <w:rPr>
          <w:rFonts w:ascii="Century Gothic" w:hAnsi="Century Gothic" w:cs="Arial"/>
          <w:bCs/>
          <w:color w:val="2E74B5" w:themeColor="accent1" w:themeShade="BF"/>
          <w:sz w:val="22"/>
          <w:szCs w:val="22"/>
          <w:u w:val="single"/>
        </w:rPr>
      </w:pPr>
      <w:r>
        <w:rPr>
          <w:rFonts w:ascii="Century Gothic" w:hAnsi="Century Gothic" w:cs="Arial"/>
          <w:bCs/>
          <w:color w:val="2E74B5" w:themeColor="accent1" w:themeShade="BF"/>
          <w:sz w:val="22"/>
          <w:szCs w:val="22"/>
          <w:u w:val="single"/>
        </w:rPr>
        <w:t>M</w:t>
      </w:r>
      <w:r w:rsidR="0030137D" w:rsidRPr="00C90E30">
        <w:rPr>
          <w:rFonts w:ascii="Century Gothic" w:hAnsi="Century Gothic" w:cs="Arial"/>
          <w:bCs/>
          <w:color w:val="2E74B5" w:themeColor="accent1" w:themeShade="BF"/>
          <w:sz w:val="22"/>
          <w:szCs w:val="22"/>
          <w:u w:val="single"/>
        </w:rPr>
        <w:t>anagement</w:t>
      </w:r>
      <w:r>
        <w:rPr>
          <w:rFonts w:ascii="Century Gothic" w:hAnsi="Century Gothic" w:cs="Arial"/>
          <w:bCs/>
          <w:color w:val="2E74B5" w:themeColor="accent1" w:themeShade="BF"/>
          <w:sz w:val="22"/>
          <w:szCs w:val="22"/>
          <w:u w:val="single"/>
        </w:rPr>
        <w:t xml:space="preserve"> of the sc</w:t>
      </w:r>
      <w:r w:rsidRPr="00C90E30">
        <w:rPr>
          <w:rFonts w:ascii="Century Gothic" w:hAnsi="Century Gothic" w:cs="Arial"/>
          <w:bCs/>
          <w:color w:val="2E74B5" w:themeColor="accent1" w:themeShade="BF"/>
          <w:sz w:val="22"/>
          <w:szCs w:val="22"/>
          <w:u w:val="single"/>
        </w:rPr>
        <w:t>heme</w:t>
      </w:r>
    </w:p>
    <w:p w:rsidR="004310D1" w:rsidRDefault="0030137D"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The scheme is managed by the Trustee, whose responsibility</w:t>
      </w:r>
      <w:r w:rsidR="006E709E">
        <w:rPr>
          <w:rFonts w:ascii="Century Gothic" w:hAnsi="Century Gothic" w:cs="Arial"/>
          <w:bCs/>
          <w:sz w:val="22"/>
          <w:szCs w:val="22"/>
        </w:rPr>
        <w:t xml:space="preserve"> is to act in </w:t>
      </w:r>
      <w:r>
        <w:rPr>
          <w:rFonts w:ascii="Century Gothic" w:hAnsi="Century Gothic" w:cs="Arial"/>
          <w:bCs/>
          <w:sz w:val="22"/>
          <w:szCs w:val="22"/>
        </w:rPr>
        <w:t>your best interest</w:t>
      </w:r>
      <w:r w:rsidR="006E709E">
        <w:rPr>
          <w:rFonts w:ascii="Century Gothic" w:hAnsi="Century Gothic" w:cs="Arial"/>
          <w:bCs/>
          <w:sz w:val="22"/>
          <w:szCs w:val="22"/>
        </w:rPr>
        <w:t xml:space="preserve"> and to e</w:t>
      </w:r>
      <w:r>
        <w:rPr>
          <w:rFonts w:ascii="Century Gothic" w:hAnsi="Century Gothic" w:cs="Arial"/>
          <w:bCs/>
          <w:sz w:val="22"/>
          <w:szCs w:val="22"/>
        </w:rPr>
        <w:t>nsure</w:t>
      </w:r>
      <w:r w:rsidR="004310D1">
        <w:rPr>
          <w:rFonts w:ascii="Century Gothic" w:hAnsi="Century Gothic" w:cs="Arial"/>
          <w:bCs/>
          <w:sz w:val="22"/>
          <w:szCs w:val="22"/>
        </w:rPr>
        <w:t>:</w:t>
      </w:r>
    </w:p>
    <w:p w:rsidR="0030137D" w:rsidRDefault="0030137D" w:rsidP="006E709E">
      <w:pPr>
        <w:pStyle w:val="ListParagraph"/>
        <w:numPr>
          <w:ilvl w:val="0"/>
          <w:numId w:val="13"/>
        </w:numPr>
        <w:spacing w:before="60" w:after="60" w:line="276" w:lineRule="auto"/>
        <w:jc w:val="both"/>
        <w:rPr>
          <w:rFonts w:ascii="Century Gothic" w:hAnsi="Century Gothic" w:cs="Arial"/>
          <w:bCs/>
          <w:sz w:val="22"/>
          <w:szCs w:val="22"/>
        </w:rPr>
      </w:pPr>
      <w:r>
        <w:rPr>
          <w:rFonts w:ascii="Century Gothic" w:hAnsi="Century Gothic" w:cs="Arial"/>
          <w:bCs/>
          <w:sz w:val="22"/>
          <w:szCs w:val="22"/>
        </w:rPr>
        <w:t xml:space="preserve">all the </w:t>
      </w:r>
      <w:r w:rsidR="006E709E">
        <w:rPr>
          <w:rFonts w:ascii="Century Gothic" w:hAnsi="Century Gothic" w:cs="Arial"/>
          <w:bCs/>
          <w:sz w:val="22"/>
          <w:szCs w:val="22"/>
        </w:rPr>
        <w:t>members</w:t>
      </w:r>
      <w:r>
        <w:rPr>
          <w:rFonts w:ascii="Century Gothic" w:hAnsi="Century Gothic" w:cs="Arial"/>
          <w:bCs/>
          <w:sz w:val="22"/>
          <w:szCs w:val="22"/>
        </w:rPr>
        <w:t xml:space="preserve"> </w:t>
      </w:r>
      <w:r w:rsidR="006E709E">
        <w:rPr>
          <w:rFonts w:ascii="Century Gothic" w:hAnsi="Century Gothic" w:cs="Arial"/>
          <w:bCs/>
          <w:sz w:val="22"/>
          <w:szCs w:val="22"/>
        </w:rPr>
        <w:t>are</w:t>
      </w:r>
      <w:r>
        <w:rPr>
          <w:rFonts w:ascii="Century Gothic" w:hAnsi="Century Gothic" w:cs="Arial"/>
          <w:bCs/>
          <w:sz w:val="22"/>
          <w:szCs w:val="22"/>
        </w:rPr>
        <w:t xml:space="preserve"> well administrated</w:t>
      </w:r>
      <w:r w:rsidR="006E709E">
        <w:rPr>
          <w:rFonts w:ascii="Century Gothic" w:hAnsi="Century Gothic" w:cs="Arial"/>
          <w:bCs/>
          <w:sz w:val="22"/>
          <w:szCs w:val="22"/>
        </w:rPr>
        <w:t xml:space="preserve"> in the scheme</w:t>
      </w:r>
    </w:p>
    <w:p w:rsidR="0015216A" w:rsidRDefault="0015216A" w:rsidP="006E709E">
      <w:pPr>
        <w:pStyle w:val="ListParagraph"/>
        <w:numPr>
          <w:ilvl w:val="0"/>
          <w:numId w:val="13"/>
        </w:numPr>
        <w:spacing w:before="60" w:after="60" w:line="276" w:lineRule="auto"/>
        <w:jc w:val="both"/>
        <w:rPr>
          <w:rFonts w:ascii="Century Gothic" w:hAnsi="Century Gothic" w:cs="Arial"/>
          <w:bCs/>
          <w:sz w:val="22"/>
          <w:szCs w:val="22"/>
        </w:rPr>
      </w:pPr>
      <w:r>
        <w:rPr>
          <w:rFonts w:ascii="Century Gothic" w:hAnsi="Century Gothic" w:cs="Arial" w:hint="eastAsia"/>
          <w:bCs/>
          <w:sz w:val="22"/>
          <w:szCs w:val="22"/>
        </w:rPr>
        <w:t>right</w:t>
      </w:r>
      <w:r>
        <w:rPr>
          <w:rFonts w:ascii="Century Gothic" w:hAnsi="Century Gothic" w:cs="Arial"/>
          <w:bCs/>
          <w:sz w:val="22"/>
          <w:szCs w:val="22"/>
        </w:rPr>
        <w:t xml:space="preserve"> </w:t>
      </w:r>
      <w:r w:rsidRPr="006E709E">
        <w:rPr>
          <w:rFonts w:ascii="Century Gothic" w:hAnsi="Century Gothic" w:cs="Arial"/>
          <w:bCs/>
          <w:sz w:val="22"/>
          <w:szCs w:val="22"/>
        </w:rPr>
        <w:t xml:space="preserve">amount of </w:t>
      </w:r>
      <w:r>
        <w:rPr>
          <w:rFonts w:ascii="Century Gothic" w:hAnsi="Century Gothic" w:cs="Arial"/>
          <w:bCs/>
          <w:sz w:val="22"/>
          <w:szCs w:val="22"/>
        </w:rPr>
        <w:t>benefit</w:t>
      </w:r>
      <w:r w:rsidR="00A101BB">
        <w:rPr>
          <w:rFonts w:ascii="Century Gothic" w:hAnsi="Century Gothic" w:cs="Arial"/>
          <w:bCs/>
          <w:sz w:val="22"/>
          <w:szCs w:val="22"/>
        </w:rPr>
        <w:t>s</w:t>
      </w:r>
      <w:r>
        <w:rPr>
          <w:rFonts w:ascii="Century Gothic" w:hAnsi="Century Gothic" w:cs="Arial"/>
          <w:bCs/>
          <w:sz w:val="22"/>
          <w:szCs w:val="22"/>
        </w:rPr>
        <w:t xml:space="preserve"> </w:t>
      </w:r>
      <w:r w:rsidR="00A101BB">
        <w:rPr>
          <w:rFonts w:ascii="Century Gothic" w:hAnsi="Century Gothic" w:cs="Arial"/>
          <w:bCs/>
          <w:sz w:val="22"/>
          <w:szCs w:val="22"/>
        </w:rPr>
        <w:t>are</w:t>
      </w:r>
      <w:r>
        <w:rPr>
          <w:rFonts w:ascii="Century Gothic" w:hAnsi="Century Gothic" w:cs="Arial"/>
          <w:bCs/>
          <w:sz w:val="22"/>
          <w:szCs w:val="22"/>
        </w:rPr>
        <w:t xml:space="preserve"> paid in a timely manner</w:t>
      </w:r>
    </w:p>
    <w:p w:rsidR="0030137D" w:rsidRDefault="006E709E" w:rsidP="006E709E">
      <w:pPr>
        <w:pStyle w:val="ListParagraph"/>
        <w:numPr>
          <w:ilvl w:val="0"/>
          <w:numId w:val="13"/>
        </w:numPr>
        <w:spacing w:before="60" w:after="60" w:line="276" w:lineRule="auto"/>
        <w:jc w:val="both"/>
        <w:rPr>
          <w:rFonts w:ascii="Century Gothic" w:hAnsi="Century Gothic" w:cs="Arial"/>
          <w:bCs/>
          <w:sz w:val="22"/>
          <w:szCs w:val="22"/>
        </w:rPr>
      </w:pPr>
      <w:r>
        <w:rPr>
          <w:rFonts w:ascii="Century Gothic" w:hAnsi="Century Gothic" w:cs="Arial"/>
          <w:bCs/>
          <w:sz w:val="22"/>
          <w:szCs w:val="22"/>
        </w:rPr>
        <w:t>t</w:t>
      </w:r>
      <w:r w:rsidR="0030137D">
        <w:rPr>
          <w:rFonts w:ascii="Century Gothic" w:hAnsi="Century Gothic" w:cs="Arial"/>
          <w:bCs/>
          <w:sz w:val="22"/>
          <w:szCs w:val="22"/>
        </w:rPr>
        <w:t xml:space="preserve">he employer makes contribution to the scheme </w:t>
      </w:r>
      <w:r>
        <w:rPr>
          <w:rFonts w:ascii="Century Gothic" w:hAnsi="Century Gothic" w:cs="Arial"/>
          <w:bCs/>
          <w:sz w:val="22"/>
          <w:szCs w:val="22"/>
        </w:rPr>
        <w:t xml:space="preserve">as </w:t>
      </w:r>
      <w:r w:rsidR="00A101BB">
        <w:rPr>
          <w:rFonts w:ascii="Century Gothic" w:hAnsi="Century Gothic" w:cs="Arial"/>
          <w:bCs/>
          <w:sz w:val="22"/>
          <w:szCs w:val="22"/>
        </w:rPr>
        <w:t>required</w:t>
      </w:r>
    </w:p>
    <w:p w:rsidR="006D3319" w:rsidRDefault="006E709E" w:rsidP="006E709E">
      <w:pPr>
        <w:pStyle w:val="ListParagraph"/>
        <w:numPr>
          <w:ilvl w:val="0"/>
          <w:numId w:val="13"/>
        </w:numPr>
        <w:spacing w:before="60" w:after="60" w:line="276" w:lineRule="auto"/>
        <w:jc w:val="both"/>
        <w:rPr>
          <w:rFonts w:ascii="Century Gothic" w:hAnsi="Century Gothic" w:cs="Arial"/>
          <w:bCs/>
          <w:sz w:val="22"/>
          <w:szCs w:val="22"/>
        </w:rPr>
      </w:pPr>
      <w:r>
        <w:rPr>
          <w:rFonts w:ascii="Century Gothic" w:hAnsi="Century Gothic" w:cs="Arial"/>
          <w:bCs/>
          <w:sz w:val="22"/>
          <w:szCs w:val="22"/>
        </w:rPr>
        <w:t>t</w:t>
      </w:r>
      <w:r w:rsidR="0015216A">
        <w:rPr>
          <w:rFonts w:ascii="Century Gothic" w:hAnsi="Century Gothic" w:cs="Arial"/>
          <w:bCs/>
          <w:sz w:val="22"/>
          <w:szCs w:val="22"/>
        </w:rPr>
        <w:t xml:space="preserve">he scheme complies with all </w:t>
      </w:r>
      <w:r w:rsidR="0015216A" w:rsidRPr="0015216A">
        <w:rPr>
          <w:rFonts w:ascii="Century Gothic" w:hAnsi="Century Gothic" w:cs="Arial"/>
          <w:bCs/>
          <w:sz w:val="22"/>
          <w:szCs w:val="22"/>
        </w:rPr>
        <w:t>required legislation</w:t>
      </w:r>
      <w:r w:rsidR="0015216A">
        <w:rPr>
          <w:rFonts w:ascii="Century Gothic" w:hAnsi="Century Gothic" w:cs="Arial"/>
          <w:bCs/>
          <w:sz w:val="22"/>
          <w:szCs w:val="22"/>
        </w:rPr>
        <w:t xml:space="preserve"> at all time</w:t>
      </w:r>
    </w:p>
    <w:p w:rsidR="0015216A" w:rsidRPr="009D0A5A" w:rsidRDefault="0015216A" w:rsidP="0015216A">
      <w:pPr>
        <w:spacing w:before="60" w:after="60" w:line="276" w:lineRule="auto"/>
        <w:jc w:val="both"/>
        <w:rPr>
          <w:rFonts w:ascii="Century Gothic" w:hAnsi="Century Gothic" w:cs="Arial"/>
          <w:bCs/>
          <w:sz w:val="10"/>
          <w:szCs w:val="10"/>
        </w:rPr>
      </w:pPr>
    </w:p>
    <w:p w:rsidR="0030137D" w:rsidRDefault="00A101BB" w:rsidP="007C58B8">
      <w:pPr>
        <w:spacing w:before="60" w:after="60" w:line="276" w:lineRule="auto"/>
        <w:jc w:val="both"/>
        <w:rPr>
          <w:rFonts w:ascii="Century Gothic" w:hAnsi="Century Gothic" w:cs="Arial"/>
          <w:bCs/>
          <w:color w:val="2E74B5" w:themeColor="accent1" w:themeShade="BF"/>
          <w:sz w:val="22"/>
          <w:szCs w:val="22"/>
          <w:u w:val="single"/>
        </w:rPr>
      </w:pPr>
      <w:r>
        <w:rPr>
          <w:rFonts w:ascii="Century Gothic" w:hAnsi="Century Gothic" w:cs="Arial"/>
          <w:bCs/>
          <w:color w:val="2E74B5" w:themeColor="accent1" w:themeShade="BF"/>
          <w:sz w:val="22"/>
          <w:szCs w:val="22"/>
          <w:u w:val="single"/>
        </w:rPr>
        <w:t>C</w:t>
      </w:r>
      <w:r w:rsidRPr="00A101BB">
        <w:rPr>
          <w:rFonts w:ascii="Century Gothic" w:hAnsi="Century Gothic" w:cs="Arial"/>
          <w:bCs/>
          <w:color w:val="2E74B5" w:themeColor="accent1" w:themeShade="BF"/>
          <w:sz w:val="22"/>
          <w:szCs w:val="22"/>
          <w:u w:val="single"/>
        </w:rPr>
        <w:t xml:space="preserve">ircumstances under which </w:t>
      </w:r>
      <w:r w:rsidR="00B33304">
        <w:rPr>
          <w:rFonts w:ascii="Century Gothic" w:hAnsi="Century Gothic" w:cs="Arial"/>
          <w:bCs/>
          <w:color w:val="2E74B5" w:themeColor="accent1" w:themeShade="BF"/>
          <w:sz w:val="22"/>
          <w:szCs w:val="22"/>
          <w:u w:val="single"/>
        </w:rPr>
        <w:t xml:space="preserve">expected </w:t>
      </w:r>
      <w:r w:rsidRPr="00A101BB">
        <w:rPr>
          <w:rFonts w:ascii="Century Gothic" w:hAnsi="Century Gothic" w:cs="Arial"/>
          <w:bCs/>
          <w:color w:val="2E74B5" w:themeColor="accent1" w:themeShade="BF"/>
          <w:sz w:val="22"/>
          <w:szCs w:val="22"/>
          <w:u w:val="single"/>
        </w:rPr>
        <w:t xml:space="preserve">benefits might be </w:t>
      </w:r>
      <w:r w:rsidR="003D26FB">
        <w:rPr>
          <w:rFonts w:ascii="Century Gothic" w:hAnsi="Century Gothic" w:cs="Arial"/>
          <w:bCs/>
          <w:color w:val="2E74B5" w:themeColor="accent1" w:themeShade="BF"/>
          <w:sz w:val="22"/>
          <w:szCs w:val="22"/>
          <w:u w:val="single"/>
        </w:rPr>
        <w:t>affected</w:t>
      </w:r>
    </w:p>
    <w:p w:rsidR="001B14FD" w:rsidRDefault="00A63EB1"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B</w:t>
      </w:r>
      <w:r w:rsidR="008837E1">
        <w:rPr>
          <w:rFonts w:ascii="Century Gothic" w:hAnsi="Century Gothic" w:cs="Arial"/>
          <w:bCs/>
          <w:sz w:val="22"/>
          <w:szCs w:val="22"/>
        </w:rPr>
        <w:t xml:space="preserve">enefit amounts are </w:t>
      </w:r>
      <w:r w:rsidR="00884999">
        <w:rPr>
          <w:rFonts w:ascii="Century Gothic" w:hAnsi="Century Gothic" w:cs="Arial"/>
          <w:bCs/>
          <w:sz w:val="22"/>
          <w:szCs w:val="22"/>
        </w:rPr>
        <w:t xml:space="preserve">not guaranteed and they are </w:t>
      </w:r>
      <w:r w:rsidR="008837E1">
        <w:rPr>
          <w:rFonts w:ascii="Century Gothic" w:hAnsi="Century Gothic" w:cs="Arial"/>
          <w:bCs/>
          <w:sz w:val="22"/>
          <w:szCs w:val="22"/>
        </w:rPr>
        <w:t>subject to change</w:t>
      </w:r>
      <w:r w:rsidR="00884999">
        <w:rPr>
          <w:rFonts w:ascii="Century Gothic" w:hAnsi="Century Gothic" w:cs="Arial"/>
          <w:bCs/>
          <w:sz w:val="22"/>
          <w:szCs w:val="22"/>
        </w:rPr>
        <w:t>s</w:t>
      </w:r>
      <w:r w:rsidR="008837E1">
        <w:rPr>
          <w:rFonts w:ascii="Century Gothic" w:hAnsi="Century Gothic" w:cs="Arial"/>
          <w:bCs/>
          <w:sz w:val="22"/>
          <w:szCs w:val="22"/>
        </w:rPr>
        <w:t xml:space="preserve"> under some scenarios, which include </w:t>
      </w:r>
      <w:r w:rsidR="001B14FD" w:rsidRPr="001B14FD">
        <w:rPr>
          <w:rFonts w:ascii="Century Gothic" w:hAnsi="Century Gothic" w:cs="Arial"/>
          <w:bCs/>
          <w:sz w:val="22"/>
          <w:szCs w:val="22"/>
        </w:rPr>
        <w:t>but not limited to</w:t>
      </w:r>
      <w:r w:rsidR="001B14FD">
        <w:rPr>
          <w:rFonts w:ascii="Century Gothic" w:hAnsi="Century Gothic" w:cs="Arial"/>
          <w:bCs/>
          <w:sz w:val="22"/>
          <w:szCs w:val="22"/>
        </w:rPr>
        <w:t xml:space="preserve"> the following c</w:t>
      </w:r>
      <w:r w:rsidR="001B14FD" w:rsidRPr="001B14FD">
        <w:rPr>
          <w:rFonts w:ascii="Century Gothic" w:hAnsi="Century Gothic" w:cs="Arial"/>
          <w:bCs/>
          <w:sz w:val="22"/>
          <w:szCs w:val="22"/>
        </w:rPr>
        <w:t>ircumstances</w:t>
      </w:r>
      <w:r w:rsidR="001B14FD">
        <w:rPr>
          <w:rFonts w:ascii="Century Gothic" w:hAnsi="Century Gothic" w:cs="Arial"/>
          <w:bCs/>
          <w:sz w:val="22"/>
          <w:szCs w:val="22"/>
        </w:rPr>
        <w:t>:</w:t>
      </w:r>
    </w:p>
    <w:p w:rsidR="0052296D" w:rsidRDefault="00E5032C" w:rsidP="007C58B8">
      <w:pPr>
        <w:spacing w:before="60" w:after="60" w:line="276" w:lineRule="auto"/>
        <w:jc w:val="both"/>
        <w:rPr>
          <w:rFonts w:ascii="Century Gothic" w:hAnsi="Century Gothic" w:cs="Arial"/>
          <w:bCs/>
          <w:sz w:val="22"/>
          <w:szCs w:val="22"/>
        </w:rPr>
      </w:pPr>
      <w:r>
        <w:rPr>
          <w:rFonts w:ascii="Century Gothic" w:hAnsi="Century Gothic" w:cs="Arial"/>
          <w:bCs/>
          <w:noProof/>
          <w:sz w:val="22"/>
          <w:szCs w:val="22"/>
          <w:lang w:val="en-US" w:eastAsia="zh-CN"/>
        </w:rPr>
        <w:drawing>
          <wp:anchor distT="0" distB="0" distL="114300" distR="114300" simplePos="0" relativeHeight="251658240" behindDoc="0" locked="0" layoutInCell="1" allowOverlap="1">
            <wp:simplePos x="0" y="0"/>
            <wp:positionH relativeFrom="margin">
              <wp:posOffset>82550</wp:posOffset>
            </wp:positionH>
            <wp:positionV relativeFrom="paragraph">
              <wp:posOffset>819947</wp:posOffset>
            </wp:positionV>
            <wp:extent cx="249555" cy="24638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555" cy="246380"/>
                    </a:xfrm>
                    <a:prstGeom prst="rect">
                      <a:avLst/>
                    </a:prstGeom>
                    <a:noFill/>
                  </pic:spPr>
                </pic:pic>
              </a:graphicData>
            </a:graphic>
            <wp14:sizeRelH relativeFrom="margin">
              <wp14:pctWidth>0</wp14:pctWidth>
            </wp14:sizeRelH>
            <wp14:sizeRelV relativeFrom="margin">
              <wp14:pctHeight>0</wp14:pctHeight>
            </wp14:sizeRelV>
          </wp:anchor>
        </w:drawing>
      </w:r>
      <w:r>
        <w:rPr>
          <w:rFonts w:ascii="Century Gothic" w:hAnsi="Century Gothic" w:cs="Arial"/>
          <w:bCs/>
          <w:noProof/>
          <w:sz w:val="22"/>
          <w:szCs w:val="22"/>
          <w:lang w:val="en-US" w:eastAsia="zh-CN"/>
        </w:rPr>
        <w:drawing>
          <wp:anchor distT="0" distB="0" distL="114300" distR="114300" simplePos="0" relativeHeight="251659264" behindDoc="0" locked="0" layoutInCell="1" allowOverlap="1">
            <wp:simplePos x="0" y="0"/>
            <wp:positionH relativeFrom="margin">
              <wp:posOffset>66675</wp:posOffset>
            </wp:positionH>
            <wp:positionV relativeFrom="paragraph">
              <wp:posOffset>44923</wp:posOffset>
            </wp:positionV>
            <wp:extent cx="247650" cy="2489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650" cy="248920"/>
                    </a:xfrm>
                    <a:prstGeom prst="rect">
                      <a:avLst/>
                    </a:prstGeom>
                    <a:noFill/>
                  </pic:spPr>
                </pic:pic>
              </a:graphicData>
            </a:graphic>
            <wp14:sizeRelH relativeFrom="margin">
              <wp14:pctWidth>0</wp14:pctWidth>
            </wp14:sizeRelH>
            <wp14:sizeRelV relativeFrom="margin">
              <wp14:pctHeight>0</wp14:pctHeight>
            </wp14:sizeRelV>
          </wp:anchor>
        </w:drawing>
      </w:r>
      <w:r w:rsidR="009D0A5A">
        <w:rPr>
          <w:rFonts w:ascii="Century Gothic" w:hAnsi="Century Gothic" w:cs="Arial"/>
          <w:bCs/>
          <w:noProof/>
          <w:sz w:val="22"/>
          <w:szCs w:val="22"/>
          <w:lang w:val="en-US" w:eastAsia="zh-CN"/>
        </w:rPr>
        <w:drawing>
          <wp:inline distT="0" distB="0" distL="0" distR="0" wp14:anchorId="5B188E46" wp14:editId="581700D3">
            <wp:extent cx="5514975" cy="2305050"/>
            <wp:effectExtent l="0" t="0" r="476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sectPr w:rsidR="0052296D">
      <w:headerReference w:type="default"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1D2" w:rsidRDefault="00B401D2" w:rsidP="00C73260">
      <w:r>
        <w:separator/>
      </w:r>
    </w:p>
  </w:endnote>
  <w:endnote w:type="continuationSeparator" w:id="0">
    <w:p w:rsidR="00B401D2" w:rsidRDefault="00B401D2" w:rsidP="00C7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Gothic">
    <w:altName w:val="Century Gothic"/>
    <w:panose1 w:val="020B0502020202020204"/>
    <w:charset w:val="00"/>
    <w:family w:val="swiss"/>
    <w:pitch w:val="variable"/>
    <w:sig w:usb0="00000287" w:usb1="00000000" w:usb2="00000000" w:usb3="00000000" w:csb0="0000009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F0C" w:rsidRPr="00923BB5" w:rsidRDefault="000D3F0C" w:rsidP="00E46065">
    <w:pPr>
      <w:jc w:val="right"/>
      <w:rPr>
        <w:rFonts w:ascii="Century Gothic" w:hAnsi="Century Gothic"/>
        <w:noProof/>
        <w:sz w:val="22"/>
        <w:szCs w:val="22"/>
        <w:lang w:eastAsia="en-AU"/>
      </w:rPr>
    </w:pPr>
    <w:r w:rsidRPr="00923BB5">
      <w:rPr>
        <w:rFonts w:ascii="Century Gothic" w:hAnsi="Century Gothic"/>
        <w:noProof/>
        <w:sz w:val="22"/>
        <w:szCs w:val="22"/>
        <w:lang w:eastAsia="en-AU"/>
      </w:rPr>
      <w:t xml:space="preserve">Candidate Number: </w:t>
    </w:r>
    <w:r w:rsidRPr="00C06BA9">
      <w:rPr>
        <w:rFonts w:ascii="Century Gothic" w:hAnsi="Century Gothic"/>
        <w:noProof/>
        <w:sz w:val="22"/>
        <w:szCs w:val="22"/>
        <w:lang w:eastAsia="en-AU"/>
      </w:rPr>
      <w:t>201399</w:t>
    </w:r>
  </w:p>
  <w:p w:rsidR="000D3F0C" w:rsidRDefault="000D3F0C" w:rsidP="00E46065">
    <w:pPr>
      <w:pStyle w:val="Footer"/>
      <w:jc w:val="right"/>
    </w:pPr>
    <w:r w:rsidRPr="00923BB5">
      <w:rPr>
        <w:rFonts w:ascii="Century Gothic" w:hAnsi="Century Gothic"/>
        <w:noProof/>
        <w:sz w:val="22"/>
        <w:szCs w:val="22"/>
        <w:lang w:eastAsia="en-AU"/>
      </w:rPr>
      <w:t xml:space="preserve">Course: </w:t>
    </w:r>
    <w:r>
      <w:rPr>
        <w:rFonts w:ascii="Century Gothic" w:hAnsi="Century Gothic"/>
        <w:noProof/>
        <w:sz w:val="22"/>
        <w:szCs w:val="22"/>
        <w:lang w:eastAsia="en-AU"/>
      </w:rPr>
      <w:t>LIaRV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1D2" w:rsidRDefault="00B401D2" w:rsidP="00C73260">
      <w:r>
        <w:separator/>
      </w:r>
    </w:p>
  </w:footnote>
  <w:footnote w:type="continuationSeparator" w:id="0">
    <w:p w:rsidR="00B401D2" w:rsidRDefault="00B401D2" w:rsidP="00C73260">
      <w:r>
        <w:continuationSeparator/>
      </w:r>
    </w:p>
  </w:footnote>
  <w:footnote w:id="1">
    <w:p w:rsidR="000D3F0C" w:rsidRPr="00E3676D" w:rsidRDefault="000D3F0C" w:rsidP="00664879">
      <w:pPr>
        <w:pStyle w:val="Footer"/>
        <w:rPr>
          <w:rFonts w:ascii="Century Gothic" w:hAnsi="Century Gothic"/>
          <w:sz w:val="18"/>
          <w:szCs w:val="16"/>
          <w:lang w:val="en-US"/>
        </w:rPr>
      </w:pPr>
      <w:r w:rsidRPr="00E3676D">
        <w:rPr>
          <w:rStyle w:val="FootnoteReference"/>
          <w:rFonts w:ascii="Century Gothic" w:hAnsi="Century Gothic"/>
          <w:sz w:val="18"/>
          <w:szCs w:val="16"/>
        </w:rPr>
        <w:footnoteRef/>
      </w:r>
      <w:r w:rsidRPr="00E3676D">
        <w:rPr>
          <w:rFonts w:ascii="Century Gothic" w:hAnsi="Century Gothic"/>
          <w:sz w:val="18"/>
          <w:szCs w:val="16"/>
        </w:rPr>
        <w:t xml:space="preserve"> https://www.aigrouptalent.com.au/wp-content/uploads/Ai-Group-factsheet-Labour-Turnover-in-2019.pdf</w:t>
      </w:r>
    </w:p>
    <w:p w:rsidR="000D3F0C" w:rsidRPr="00E3676D" w:rsidRDefault="000D3F0C">
      <w:pPr>
        <w:pStyle w:val="FootnoteText"/>
        <w:rPr>
          <w:rFonts w:ascii="Century Gothic" w:hAnsi="Century Gothic"/>
          <w:lang w:val="en-US"/>
        </w:rPr>
      </w:pPr>
    </w:p>
  </w:footnote>
  <w:footnote w:id="2">
    <w:p w:rsidR="000D3F0C" w:rsidRPr="00E3676D" w:rsidRDefault="000D3F0C" w:rsidP="00E3676D">
      <w:pPr>
        <w:pStyle w:val="FootnoteText"/>
        <w:rPr>
          <w:rFonts w:ascii="Century Gothic" w:hAnsi="Century Gothic"/>
          <w:sz w:val="18"/>
          <w:lang w:val="en-US"/>
        </w:rPr>
      </w:pPr>
      <w:r w:rsidRPr="00E3676D">
        <w:rPr>
          <w:rStyle w:val="FootnoteReference"/>
          <w:rFonts w:ascii="Century Gothic" w:hAnsi="Century Gothic"/>
          <w:sz w:val="18"/>
        </w:rPr>
        <w:footnoteRef/>
      </w:r>
      <w:r w:rsidRPr="00E3676D">
        <w:rPr>
          <w:rFonts w:ascii="Century Gothic" w:hAnsi="Century Gothic"/>
          <w:sz w:val="18"/>
        </w:rPr>
        <w:t xml:space="preserve"> </w:t>
      </w:r>
      <w:r w:rsidRPr="00E3676D">
        <w:rPr>
          <w:rFonts w:ascii="Century Gothic" w:hAnsi="Century Gothic"/>
          <w:sz w:val="18"/>
          <w:lang w:val="en-US"/>
        </w:rPr>
        <w:t>Source from SOA website: https://mort.soa.org/ViewTable.aspx?&amp;TableIdentity=3127</w:t>
      </w:r>
    </w:p>
  </w:footnote>
  <w:footnote w:id="3">
    <w:p w:rsidR="009F3FFA" w:rsidRPr="009F3FFA" w:rsidRDefault="009F3FFA">
      <w:pPr>
        <w:pStyle w:val="FootnoteText"/>
        <w:rPr>
          <w:rFonts w:ascii="Century Gothic" w:hAnsi="Century Gothic"/>
          <w:sz w:val="18"/>
          <w:szCs w:val="18"/>
          <w:lang w:val="en-US"/>
        </w:rPr>
      </w:pPr>
      <w:r w:rsidRPr="009F3FFA">
        <w:rPr>
          <w:rStyle w:val="FootnoteReference"/>
          <w:rFonts w:ascii="Century Gothic" w:hAnsi="Century Gothic"/>
          <w:szCs w:val="18"/>
        </w:rPr>
        <w:footnoteRef/>
      </w:r>
      <w:r w:rsidRPr="009F3FFA">
        <w:rPr>
          <w:rFonts w:ascii="Century Gothic" w:hAnsi="Century Gothic"/>
          <w:szCs w:val="18"/>
        </w:rPr>
        <w:t xml:space="preserve"> </w:t>
      </w:r>
      <w:proofErr w:type="gramStart"/>
      <w:r w:rsidRPr="009F3FFA">
        <w:rPr>
          <w:rFonts w:ascii="Century Gothic" w:hAnsi="Century Gothic"/>
          <w:szCs w:val="18"/>
          <w:vertAlign w:val="superscript"/>
        </w:rPr>
        <w:t>&amp;</w:t>
      </w:r>
      <w:r w:rsidRPr="009F3FFA">
        <w:rPr>
          <w:rFonts w:ascii="Century Gothic" w:hAnsi="Century Gothic"/>
          <w:szCs w:val="18"/>
        </w:rPr>
        <w:t xml:space="preserve"> </w:t>
      </w:r>
      <w:proofErr w:type="gramEnd"/>
      <w:r w:rsidRPr="009F3FFA">
        <w:rPr>
          <w:rStyle w:val="FootnoteReference"/>
          <w:rFonts w:ascii="Century Gothic" w:hAnsi="Century Gothic"/>
          <w:szCs w:val="18"/>
        </w:rPr>
        <w:t>4</w:t>
      </w:r>
      <w:r w:rsidRPr="009F3FFA">
        <w:rPr>
          <w:rFonts w:ascii="Century Gothic" w:hAnsi="Century Gothic"/>
          <w:sz w:val="18"/>
          <w:szCs w:val="18"/>
        </w:rPr>
        <w:t>:</w:t>
      </w:r>
      <w:r>
        <w:rPr>
          <w:rFonts w:ascii="Century Gothic" w:hAnsi="Century Gothic"/>
          <w:sz w:val="18"/>
          <w:szCs w:val="18"/>
        </w:rPr>
        <w:t xml:space="preserve"> </w:t>
      </w:r>
      <w:r w:rsidRPr="009F3FFA">
        <w:rPr>
          <w:rFonts w:ascii="Century Gothic" w:hAnsi="Century Gothic"/>
          <w:sz w:val="18"/>
          <w:szCs w:val="18"/>
        </w:rPr>
        <w:t>The fund is set aside by employer in order to finance your future normal retirement benefit</w:t>
      </w:r>
      <w:r>
        <w:rPr>
          <w:rFonts w:ascii="Century Gothic" w:hAnsi="Century Gothic"/>
          <w:sz w:val="18"/>
          <w:szCs w:val="18"/>
        </w:rPr>
        <w:t>.</w:t>
      </w:r>
    </w:p>
  </w:footnote>
  <w:footnote w:id="4">
    <w:p w:rsidR="009F3FFA" w:rsidRPr="00E3442F" w:rsidRDefault="009F3FFA">
      <w:pPr>
        <w:pStyle w:val="FootnoteText"/>
        <w:rPr>
          <w:sz w:val="4"/>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F0C" w:rsidRPr="00923BB5" w:rsidRDefault="000D3F0C" w:rsidP="00C06BA9">
    <w:pPr>
      <w:jc w:val="right"/>
      <w:rPr>
        <w:rFonts w:ascii="Century Gothic" w:hAnsi="Century Gothic"/>
        <w:noProof/>
        <w:sz w:val="22"/>
        <w:szCs w:val="22"/>
        <w:lang w:eastAsia="en-AU"/>
      </w:rPr>
    </w:pPr>
    <w:r w:rsidRPr="00923BB5">
      <w:rPr>
        <w:rFonts w:ascii="Century Gothic" w:hAnsi="Century Gothic"/>
        <w:noProof/>
        <w:sz w:val="22"/>
        <w:szCs w:val="22"/>
        <w:lang w:val="en-US" w:eastAsia="zh-CN"/>
      </w:rPr>
      <w:drawing>
        <wp:anchor distT="0" distB="0" distL="114300" distR="114300" simplePos="0" relativeHeight="251659264" behindDoc="1" locked="0" layoutInCell="1" allowOverlap="1">
          <wp:simplePos x="0" y="0"/>
          <wp:positionH relativeFrom="margin">
            <wp:posOffset>0</wp:posOffset>
          </wp:positionH>
          <wp:positionV relativeFrom="paragraph">
            <wp:posOffset>-228600</wp:posOffset>
          </wp:positionV>
          <wp:extent cx="2095500" cy="676275"/>
          <wp:effectExtent l="0" t="0" r="0" b="9525"/>
          <wp:wrapTight wrapText="bothSides">
            <wp:wrapPolygon edited="0">
              <wp:start x="0" y="0"/>
              <wp:lineTo x="0" y="21296"/>
              <wp:lineTo x="21404" y="21296"/>
              <wp:lineTo x="21404" y="0"/>
              <wp:lineTo x="0" y="0"/>
            </wp:wrapPolygon>
          </wp:wrapTight>
          <wp:docPr id="2" name="Picture 2" descr="Actuaries-Logo-260x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ries-Logo-260x127"/>
                  <pic:cNvPicPr>
                    <a:picLocks noChangeAspect="1" noChangeArrowheads="1"/>
                  </pic:cNvPicPr>
                </pic:nvPicPr>
                <pic:blipFill>
                  <a:blip r:embed="rId1">
                    <a:extLst>
                      <a:ext uri="{28A0092B-C50C-407E-A947-70E740481C1C}">
                        <a14:useLocalDpi xmlns:a14="http://schemas.microsoft.com/office/drawing/2010/main" val="0"/>
                      </a:ext>
                    </a:extLst>
                  </a:blip>
                  <a:srcRect l="8461" t="25197" r="6923" b="18898"/>
                  <a:stretch>
                    <a:fillRect/>
                  </a:stretch>
                </pic:blipFill>
                <pic:spPr bwMode="auto">
                  <a:xfrm>
                    <a:off x="0" y="0"/>
                    <a:ext cx="209550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BB5">
      <w:rPr>
        <w:rFonts w:ascii="Century Gothic" w:hAnsi="Century Gothic"/>
        <w:noProof/>
        <w:sz w:val="22"/>
        <w:szCs w:val="22"/>
        <w:lang w:eastAsia="en-AU"/>
      </w:rPr>
      <w:t xml:space="preserve">Candidate Number: </w:t>
    </w:r>
    <w:r w:rsidRPr="00C06BA9">
      <w:rPr>
        <w:rFonts w:ascii="Century Gothic" w:hAnsi="Century Gothic"/>
        <w:noProof/>
        <w:sz w:val="22"/>
        <w:szCs w:val="22"/>
        <w:lang w:eastAsia="en-AU"/>
      </w:rPr>
      <w:t>201399</w:t>
    </w:r>
  </w:p>
  <w:p w:rsidR="000D3F0C" w:rsidRPr="00C06BA9" w:rsidRDefault="000D3F0C" w:rsidP="00C06BA9">
    <w:pPr>
      <w:jc w:val="right"/>
      <w:rPr>
        <w:noProof/>
        <w:sz w:val="22"/>
        <w:szCs w:val="22"/>
        <w:lang w:eastAsia="en-AU"/>
      </w:rPr>
    </w:pPr>
    <w:r w:rsidRPr="00923BB5">
      <w:rPr>
        <w:rFonts w:ascii="Century Gothic" w:hAnsi="Century Gothic"/>
        <w:noProof/>
        <w:sz w:val="22"/>
        <w:szCs w:val="22"/>
        <w:lang w:eastAsia="en-AU"/>
      </w:rPr>
      <w:t xml:space="preserve">Course: </w:t>
    </w:r>
    <w:r>
      <w:rPr>
        <w:rFonts w:ascii="Century Gothic" w:hAnsi="Century Gothic"/>
        <w:noProof/>
        <w:sz w:val="22"/>
        <w:szCs w:val="22"/>
        <w:lang w:eastAsia="en-AU"/>
      </w:rPr>
      <w:t>LIaRV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E792E"/>
    <w:multiLevelType w:val="hybridMultilevel"/>
    <w:tmpl w:val="729A0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07E7"/>
    <w:multiLevelType w:val="hybridMultilevel"/>
    <w:tmpl w:val="D1509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134FA9"/>
    <w:multiLevelType w:val="hybridMultilevel"/>
    <w:tmpl w:val="8FE6E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9B3A4E"/>
    <w:multiLevelType w:val="hybridMultilevel"/>
    <w:tmpl w:val="C7BACDB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260595"/>
    <w:multiLevelType w:val="hybridMultilevel"/>
    <w:tmpl w:val="C7BACDB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E34E88"/>
    <w:multiLevelType w:val="hybridMultilevel"/>
    <w:tmpl w:val="E1BC7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E7352"/>
    <w:multiLevelType w:val="hybridMultilevel"/>
    <w:tmpl w:val="C7BACDB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6074F6"/>
    <w:multiLevelType w:val="hybridMultilevel"/>
    <w:tmpl w:val="99943F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D763E"/>
    <w:multiLevelType w:val="hybridMultilevel"/>
    <w:tmpl w:val="176E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103C1"/>
    <w:multiLevelType w:val="hybridMultilevel"/>
    <w:tmpl w:val="8ABA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43F85"/>
    <w:multiLevelType w:val="multilevel"/>
    <w:tmpl w:val="5B7E42E0"/>
    <w:lvl w:ilvl="0">
      <w:start w:val="1"/>
      <w:numFmt w:val="lowerRoman"/>
      <w:lvlText w:val="%1."/>
      <w:lvlJc w:val="righ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DE14C1"/>
    <w:multiLevelType w:val="hybridMultilevel"/>
    <w:tmpl w:val="46B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BC4165"/>
    <w:multiLevelType w:val="hybridMultilevel"/>
    <w:tmpl w:val="9466A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121F47"/>
    <w:multiLevelType w:val="hybridMultilevel"/>
    <w:tmpl w:val="534A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2"/>
  </w:num>
  <w:num w:numId="4">
    <w:abstractNumId w:val="3"/>
  </w:num>
  <w:num w:numId="5">
    <w:abstractNumId w:val="10"/>
  </w:num>
  <w:num w:numId="6">
    <w:abstractNumId w:val="8"/>
  </w:num>
  <w:num w:numId="7">
    <w:abstractNumId w:val="5"/>
  </w:num>
  <w:num w:numId="8">
    <w:abstractNumId w:val="6"/>
  </w:num>
  <w:num w:numId="9">
    <w:abstractNumId w:val="1"/>
  </w:num>
  <w:num w:numId="10">
    <w:abstractNumId w:val="2"/>
  </w:num>
  <w:num w:numId="11">
    <w:abstractNumId w:val="13"/>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DB"/>
    <w:rsid w:val="00051957"/>
    <w:rsid w:val="00051972"/>
    <w:rsid w:val="00061CD9"/>
    <w:rsid w:val="00082787"/>
    <w:rsid w:val="0009064C"/>
    <w:rsid w:val="000A3762"/>
    <w:rsid w:val="000A4AEE"/>
    <w:rsid w:val="000B1704"/>
    <w:rsid w:val="000D1CF3"/>
    <w:rsid w:val="000D3F0C"/>
    <w:rsid w:val="000D591A"/>
    <w:rsid w:val="00101E05"/>
    <w:rsid w:val="001030E6"/>
    <w:rsid w:val="001215AF"/>
    <w:rsid w:val="001338AD"/>
    <w:rsid w:val="001516B4"/>
    <w:rsid w:val="0015216A"/>
    <w:rsid w:val="001522F6"/>
    <w:rsid w:val="00154F3C"/>
    <w:rsid w:val="0015704B"/>
    <w:rsid w:val="0016375D"/>
    <w:rsid w:val="00171CE7"/>
    <w:rsid w:val="00190331"/>
    <w:rsid w:val="001B14FD"/>
    <w:rsid w:val="001D148A"/>
    <w:rsid w:val="001D165D"/>
    <w:rsid w:val="001E16D9"/>
    <w:rsid w:val="001F6934"/>
    <w:rsid w:val="00223708"/>
    <w:rsid w:val="002329E0"/>
    <w:rsid w:val="002335E8"/>
    <w:rsid w:val="00241255"/>
    <w:rsid w:val="002644FE"/>
    <w:rsid w:val="00264FA4"/>
    <w:rsid w:val="002967A4"/>
    <w:rsid w:val="002A611D"/>
    <w:rsid w:val="002C46C5"/>
    <w:rsid w:val="002E5C83"/>
    <w:rsid w:val="0030003F"/>
    <w:rsid w:val="0030137D"/>
    <w:rsid w:val="003161E3"/>
    <w:rsid w:val="003201AC"/>
    <w:rsid w:val="00330062"/>
    <w:rsid w:val="003331CF"/>
    <w:rsid w:val="0034163E"/>
    <w:rsid w:val="003727C7"/>
    <w:rsid w:val="00381D41"/>
    <w:rsid w:val="003A2D22"/>
    <w:rsid w:val="003B4D23"/>
    <w:rsid w:val="003C0B74"/>
    <w:rsid w:val="003D26FB"/>
    <w:rsid w:val="003E5081"/>
    <w:rsid w:val="003F714B"/>
    <w:rsid w:val="00404551"/>
    <w:rsid w:val="00404DD3"/>
    <w:rsid w:val="004101BC"/>
    <w:rsid w:val="004310D1"/>
    <w:rsid w:val="00442D75"/>
    <w:rsid w:val="0045078B"/>
    <w:rsid w:val="00465735"/>
    <w:rsid w:val="00470747"/>
    <w:rsid w:val="00472B74"/>
    <w:rsid w:val="004731BA"/>
    <w:rsid w:val="00483600"/>
    <w:rsid w:val="004839EB"/>
    <w:rsid w:val="004923A2"/>
    <w:rsid w:val="00494601"/>
    <w:rsid w:val="0049462F"/>
    <w:rsid w:val="004A5199"/>
    <w:rsid w:val="004B4929"/>
    <w:rsid w:val="004C44DB"/>
    <w:rsid w:val="004D33E9"/>
    <w:rsid w:val="004E24AD"/>
    <w:rsid w:val="004E39C1"/>
    <w:rsid w:val="004E5439"/>
    <w:rsid w:val="004F2A3B"/>
    <w:rsid w:val="00503F8B"/>
    <w:rsid w:val="005205CF"/>
    <w:rsid w:val="0052296D"/>
    <w:rsid w:val="0056399D"/>
    <w:rsid w:val="005726DB"/>
    <w:rsid w:val="00574D8E"/>
    <w:rsid w:val="005864BE"/>
    <w:rsid w:val="00586DF1"/>
    <w:rsid w:val="005906D9"/>
    <w:rsid w:val="0059533A"/>
    <w:rsid w:val="005968DE"/>
    <w:rsid w:val="005A2654"/>
    <w:rsid w:val="005A4262"/>
    <w:rsid w:val="005B171B"/>
    <w:rsid w:val="005B6FAC"/>
    <w:rsid w:val="005C688B"/>
    <w:rsid w:val="005E2A32"/>
    <w:rsid w:val="006028D3"/>
    <w:rsid w:val="00604728"/>
    <w:rsid w:val="006166D8"/>
    <w:rsid w:val="00624125"/>
    <w:rsid w:val="00627FD0"/>
    <w:rsid w:val="0063287E"/>
    <w:rsid w:val="00643442"/>
    <w:rsid w:val="00652DC5"/>
    <w:rsid w:val="00653D0E"/>
    <w:rsid w:val="00663C8F"/>
    <w:rsid w:val="00664879"/>
    <w:rsid w:val="00665114"/>
    <w:rsid w:val="006839D6"/>
    <w:rsid w:val="0068573C"/>
    <w:rsid w:val="006A15D3"/>
    <w:rsid w:val="006B6125"/>
    <w:rsid w:val="006C20B8"/>
    <w:rsid w:val="006D052E"/>
    <w:rsid w:val="006D3319"/>
    <w:rsid w:val="006E4C69"/>
    <w:rsid w:val="006E709E"/>
    <w:rsid w:val="006E7B26"/>
    <w:rsid w:val="006F7941"/>
    <w:rsid w:val="00711E52"/>
    <w:rsid w:val="00720270"/>
    <w:rsid w:val="00720362"/>
    <w:rsid w:val="0072401E"/>
    <w:rsid w:val="00725E3D"/>
    <w:rsid w:val="007369C0"/>
    <w:rsid w:val="00741F39"/>
    <w:rsid w:val="007455E2"/>
    <w:rsid w:val="00770434"/>
    <w:rsid w:val="00775035"/>
    <w:rsid w:val="007813E7"/>
    <w:rsid w:val="00783F07"/>
    <w:rsid w:val="0079149A"/>
    <w:rsid w:val="007B4EA4"/>
    <w:rsid w:val="007C58B8"/>
    <w:rsid w:val="007D5848"/>
    <w:rsid w:val="007D68A2"/>
    <w:rsid w:val="007E2BFE"/>
    <w:rsid w:val="007E381B"/>
    <w:rsid w:val="007F08A8"/>
    <w:rsid w:val="007F454D"/>
    <w:rsid w:val="007F7A08"/>
    <w:rsid w:val="0080652C"/>
    <w:rsid w:val="00813B12"/>
    <w:rsid w:val="00820A3A"/>
    <w:rsid w:val="00824843"/>
    <w:rsid w:val="0083333E"/>
    <w:rsid w:val="008400BA"/>
    <w:rsid w:val="008553F6"/>
    <w:rsid w:val="0088224E"/>
    <w:rsid w:val="008837E1"/>
    <w:rsid w:val="00883DB9"/>
    <w:rsid w:val="00883F84"/>
    <w:rsid w:val="00884999"/>
    <w:rsid w:val="00891980"/>
    <w:rsid w:val="0089198D"/>
    <w:rsid w:val="00891D6F"/>
    <w:rsid w:val="00894FE4"/>
    <w:rsid w:val="008B380F"/>
    <w:rsid w:val="008C02E6"/>
    <w:rsid w:val="008E130F"/>
    <w:rsid w:val="008F201F"/>
    <w:rsid w:val="008F220A"/>
    <w:rsid w:val="00941502"/>
    <w:rsid w:val="0094184F"/>
    <w:rsid w:val="00955568"/>
    <w:rsid w:val="00970C3B"/>
    <w:rsid w:val="00996B13"/>
    <w:rsid w:val="009A12CA"/>
    <w:rsid w:val="009B0F12"/>
    <w:rsid w:val="009C7C83"/>
    <w:rsid w:val="009D0A5A"/>
    <w:rsid w:val="009F1DC4"/>
    <w:rsid w:val="009F3FFA"/>
    <w:rsid w:val="00A052EB"/>
    <w:rsid w:val="00A101BB"/>
    <w:rsid w:val="00A112B5"/>
    <w:rsid w:val="00A31E7A"/>
    <w:rsid w:val="00A37C61"/>
    <w:rsid w:val="00A63EB1"/>
    <w:rsid w:val="00A84247"/>
    <w:rsid w:val="00A849C0"/>
    <w:rsid w:val="00A84C0D"/>
    <w:rsid w:val="00A91516"/>
    <w:rsid w:val="00A94337"/>
    <w:rsid w:val="00AA47BB"/>
    <w:rsid w:val="00AB60FB"/>
    <w:rsid w:val="00AB7FD5"/>
    <w:rsid w:val="00AC04E1"/>
    <w:rsid w:val="00AF7A50"/>
    <w:rsid w:val="00B06D6A"/>
    <w:rsid w:val="00B33304"/>
    <w:rsid w:val="00B37DDB"/>
    <w:rsid w:val="00B401D2"/>
    <w:rsid w:val="00B4367F"/>
    <w:rsid w:val="00BA117A"/>
    <w:rsid w:val="00BA28F9"/>
    <w:rsid w:val="00BC1CA3"/>
    <w:rsid w:val="00BD0F14"/>
    <w:rsid w:val="00BD61C3"/>
    <w:rsid w:val="00BE424C"/>
    <w:rsid w:val="00BE678E"/>
    <w:rsid w:val="00BE7511"/>
    <w:rsid w:val="00BF65F4"/>
    <w:rsid w:val="00C06BA9"/>
    <w:rsid w:val="00C23241"/>
    <w:rsid w:val="00C5113B"/>
    <w:rsid w:val="00C63187"/>
    <w:rsid w:val="00C65EA8"/>
    <w:rsid w:val="00C726C5"/>
    <w:rsid w:val="00C73260"/>
    <w:rsid w:val="00C74A52"/>
    <w:rsid w:val="00C760CF"/>
    <w:rsid w:val="00C81DEB"/>
    <w:rsid w:val="00C90E30"/>
    <w:rsid w:val="00C92CA5"/>
    <w:rsid w:val="00CB7529"/>
    <w:rsid w:val="00CC02BE"/>
    <w:rsid w:val="00CC7FBD"/>
    <w:rsid w:val="00CD3463"/>
    <w:rsid w:val="00CD4AD1"/>
    <w:rsid w:val="00CE08FF"/>
    <w:rsid w:val="00CE730E"/>
    <w:rsid w:val="00CF1226"/>
    <w:rsid w:val="00CF1BCC"/>
    <w:rsid w:val="00CF611C"/>
    <w:rsid w:val="00D07416"/>
    <w:rsid w:val="00D174B0"/>
    <w:rsid w:val="00D175EF"/>
    <w:rsid w:val="00D40066"/>
    <w:rsid w:val="00D60E61"/>
    <w:rsid w:val="00D72B86"/>
    <w:rsid w:val="00D77CB3"/>
    <w:rsid w:val="00D84219"/>
    <w:rsid w:val="00D86C12"/>
    <w:rsid w:val="00DC27FB"/>
    <w:rsid w:val="00DD45B0"/>
    <w:rsid w:val="00DF588F"/>
    <w:rsid w:val="00E00939"/>
    <w:rsid w:val="00E05A16"/>
    <w:rsid w:val="00E25FD9"/>
    <w:rsid w:val="00E3442F"/>
    <w:rsid w:val="00E3676D"/>
    <w:rsid w:val="00E403D7"/>
    <w:rsid w:val="00E43473"/>
    <w:rsid w:val="00E46065"/>
    <w:rsid w:val="00E5032C"/>
    <w:rsid w:val="00E56B2A"/>
    <w:rsid w:val="00E71024"/>
    <w:rsid w:val="00E7183E"/>
    <w:rsid w:val="00EB46D7"/>
    <w:rsid w:val="00EC34A9"/>
    <w:rsid w:val="00EE1F54"/>
    <w:rsid w:val="00EE2795"/>
    <w:rsid w:val="00EF30A4"/>
    <w:rsid w:val="00EF4842"/>
    <w:rsid w:val="00F037C2"/>
    <w:rsid w:val="00F245B2"/>
    <w:rsid w:val="00F3393A"/>
    <w:rsid w:val="00F42A99"/>
    <w:rsid w:val="00F45649"/>
    <w:rsid w:val="00F53AC2"/>
    <w:rsid w:val="00F63350"/>
    <w:rsid w:val="00F63C6D"/>
    <w:rsid w:val="00F72702"/>
    <w:rsid w:val="00F846A5"/>
    <w:rsid w:val="00F977A8"/>
    <w:rsid w:val="00FB5AD1"/>
    <w:rsid w:val="00FF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2A99B6F2-E843-4EB4-88D8-41402618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C83"/>
    <w:pPr>
      <w:spacing w:after="0" w:line="240" w:lineRule="auto"/>
    </w:pPr>
    <w:rPr>
      <w:rFonts w:ascii="Times New Roman" w:hAnsi="Times New Roman" w:cs="Times New Roman"/>
      <w:sz w:val="20"/>
      <w:szCs w:val="20"/>
      <w:lang w:val="en-A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2CA"/>
    <w:pPr>
      <w:ind w:left="720"/>
      <w:contextualSpacing/>
    </w:pPr>
  </w:style>
  <w:style w:type="table" w:styleId="TableGrid">
    <w:name w:val="Table Grid"/>
    <w:basedOn w:val="TableNormal"/>
    <w:uiPriority w:val="39"/>
    <w:rsid w:val="009A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73260"/>
    <w:pPr>
      <w:tabs>
        <w:tab w:val="center" w:pos="4320"/>
        <w:tab w:val="right" w:pos="8640"/>
      </w:tabs>
    </w:pPr>
  </w:style>
  <w:style w:type="character" w:customStyle="1" w:styleId="HeaderChar">
    <w:name w:val="Header Char"/>
    <w:basedOn w:val="DefaultParagraphFont"/>
    <w:link w:val="Header"/>
    <w:uiPriority w:val="99"/>
    <w:rsid w:val="00C73260"/>
    <w:rPr>
      <w:rFonts w:ascii="Times New Roman" w:hAnsi="Times New Roman" w:cs="Times New Roman"/>
      <w:sz w:val="20"/>
      <w:szCs w:val="20"/>
      <w:lang w:val="en-AU" w:eastAsia="en-US"/>
    </w:rPr>
  </w:style>
  <w:style w:type="paragraph" w:styleId="Footer">
    <w:name w:val="footer"/>
    <w:basedOn w:val="Normal"/>
    <w:link w:val="FooterChar"/>
    <w:uiPriority w:val="99"/>
    <w:unhideWhenUsed/>
    <w:rsid w:val="00C73260"/>
    <w:pPr>
      <w:tabs>
        <w:tab w:val="center" w:pos="4320"/>
        <w:tab w:val="right" w:pos="8640"/>
      </w:tabs>
    </w:pPr>
  </w:style>
  <w:style w:type="character" w:customStyle="1" w:styleId="FooterChar">
    <w:name w:val="Footer Char"/>
    <w:basedOn w:val="DefaultParagraphFont"/>
    <w:link w:val="Footer"/>
    <w:uiPriority w:val="99"/>
    <w:rsid w:val="00C73260"/>
    <w:rPr>
      <w:rFonts w:ascii="Times New Roman" w:hAnsi="Times New Roman" w:cs="Times New Roman"/>
      <w:sz w:val="20"/>
      <w:szCs w:val="20"/>
      <w:lang w:val="en-AU" w:eastAsia="en-US"/>
    </w:rPr>
  </w:style>
  <w:style w:type="paragraph" w:styleId="FootnoteText">
    <w:name w:val="footnote text"/>
    <w:basedOn w:val="Normal"/>
    <w:link w:val="FootnoteTextChar"/>
    <w:uiPriority w:val="99"/>
    <w:semiHidden/>
    <w:unhideWhenUsed/>
    <w:rsid w:val="00664879"/>
  </w:style>
  <w:style w:type="character" w:customStyle="1" w:styleId="FootnoteTextChar">
    <w:name w:val="Footnote Text Char"/>
    <w:basedOn w:val="DefaultParagraphFont"/>
    <w:link w:val="FootnoteText"/>
    <w:uiPriority w:val="99"/>
    <w:semiHidden/>
    <w:rsid w:val="00664879"/>
    <w:rPr>
      <w:rFonts w:ascii="Times New Roman" w:hAnsi="Times New Roman" w:cs="Times New Roman"/>
      <w:sz w:val="20"/>
      <w:szCs w:val="20"/>
      <w:lang w:val="en-AU" w:eastAsia="en-US"/>
    </w:rPr>
  </w:style>
  <w:style w:type="character" w:styleId="FootnoteReference">
    <w:name w:val="footnote reference"/>
    <w:basedOn w:val="DefaultParagraphFont"/>
    <w:uiPriority w:val="99"/>
    <w:semiHidden/>
    <w:unhideWhenUsed/>
    <w:rsid w:val="00664879"/>
    <w:rPr>
      <w:vertAlign w:val="superscript"/>
    </w:rPr>
  </w:style>
  <w:style w:type="table" w:styleId="GridTable4-Accent1">
    <w:name w:val="Grid Table 4 Accent 1"/>
    <w:basedOn w:val="TableNormal"/>
    <w:uiPriority w:val="49"/>
    <w:rsid w:val="0094150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082787"/>
    <w:pPr>
      <w:autoSpaceDE w:val="0"/>
      <w:autoSpaceDN w:val="0"/>
      <w:adjustRightInd w:val="0"/>
      <w:spacing w:after="0" w:line="240" w:lineRule="auto"/>
    </w:pPr>
    <w:rPr>
      <w:rFonts w:ascii="Century Gothic" w:hAnsi="Century Gothic" w:cs="Century Gothic"/>
      <w:color w:val="000000"/>
      <w:sz w:val="24"/>
      <w:szCs w:val="24"/>
    </w:rPr>
  </w:style>
  <w:style w:type="paragraph" w:styleId="BodyText">
    <w:name w:val="Body Text"/>
    <w:basedOn w:val="Normal"/>
    <w:link w:val="BodyTextChar"/>
    <w:rsid w:val="00C06BA9"/>
    <w:pPr>
      <w:suppressAutoHyphens/>
      <w:jc w:val="both"/>
    </w:pPr>
    <w:rPr>
      <w:rFonts w:ascii="Univers" w:eastAsia="Times New Roman" w:hAnsi="Univers"/>
      <w:spacing w:val="-3"/>
      <w:lang w:val="en-US"/>
    </w:rPr>
  </w:style>
  <w:style w:type="character" w:customStyle="1" w:styleId="BodyTextChar">
    <w:name w:val="Body Text Char"/>
    <w:basedOn w:val="DefaultParagraphFont"/>
    <w:link w:val="BodyText"/>
    <w:rsid w:val="00C06BA9"/>
    <w:rPr>
      <w:rFonts w:ascii="Univers" w:eastAsia="Times New Roman" w:hAnsi="Univers" w:cs="Times New Roman"/>
      <w:spacing w:val="-3"/>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1013">
      <w:bodyDiv w:val="1"/>
      <w:marLeft w:val="0"/>
      <w:marRight w:val="0"/>
      <w:marTop w:val="0"/>
      <w:marBottom w:val="0"/>
      <w:divBdr>
        <w:top w:val="none" w:sz="0" w:space="0" w:color="auto"/>
        <w:left w:val="none" w:sz="0" w:space="0" w:color="auto"/>
        <w:bottom w:val="none" w:sz="0" w:space="0" w:color="auto"/>
        <w:right w:val="none" w:sz="0" w:space="0" w:color="auto"/>
      </w:divBdr>
    </w:div>
    <w:div w:id="218784138">
      <w:bodyDiv w:val="1"/>
      <w:marLeft w:val="0"/>
      <w:marRight w:val="0"/>
      <w:marTop w:val="0"/>
      <w:marBottom w:val="0"/>
      <w:divBdr>
        <w:top w:val="none" w:sz="0" w:space="0" w:color="auto"/>
        <w:left w:val="none" w:sz="0" w:space="0" w:color="auto"/>
        <w:bottom w:val="none" w:sz="0" w:space="0" w:color="auto"/>
        <w:right w:val="none" w:sz="0" w:space="0" w:color="auto"/>
      </w:divBdr>
    </w:div>
    <w:div w:id="328674828">
      <w:bodyDiv w:val="1"/>
      <w:marLeft w:val="0"/>
      <w:marRight w:val="0"/>
      <w:marTop w:val="0"/>
      <w:marBottom w:val="0"/>
      <w:divBdr>
        <w:top w:val="none" w:sz="0" w:space="0" w:color="auto"/>
        <w:left w:val="none" w:sz="0" w:space="0" w:color="auto"/>
        <w:bottom w:val="none" w:sz="0" w:space="0" w:color="auto"/>
        <w:right w:val="none" w:sz="0" w:space="0" w:color="auto"/>
      </w:divBdr>
    </w:div>
    <w:div w:id="540677722">
      <w:bodyDiv w:val="1"/>
      <w:marLeft w:val="0"/>
      <w:marRight w:val="0"/>
      <w:marTop w:val="0"/>
      <w:marBottom w:val="0"/>
      <w:divBdr>
        <w:top w:val="none" w:sz="0" w:space="0" w:color="auto"/>
        <w:left w:val="none" w:sz="0" w:space="0" w:color="auto"/>
        <w:bottom w:val="none" w:sz="0" w:space="0" w:color="auto"/>
        <w:right w:val="none" w:sz="0" w:space="0" w:color="auto"/>
      </w:divBdr>
    </w:div>
    <w:div w:id="543564930">
      <w:bodyDiv w:val="1"/>
      <w:marLeft w:val="0"/>
      <w:marRight w:val="0"/>
      <w:marTop w:val="0"/>
      <w:marBottom w:val="0"/>
      <w:divBdr>
        <w:top w:val="none" w:sz="0" w:space="0" w:color="auto"/>
        <w:left w:val="none" w:sz="0" w:space="0" w:color="auto"/>
        <w:bottom w:val="none" w:sz="0" w:space="0" w:color="auto"/>
        <w:right w:val="none" w:sz="0" w:space="0" w:color="auto"/>
      </w:divBdr>
    </w:div>
    <w:div w:id="558396747">
      <w:bodyDiv w:val="1"/>
      <w:marLeft w:val="0"/>
      <w:marRight w:val="0"/>
      <w:marTop w:val="0"/>
      <w:marBottom w:val="0"/>
      <w:divBdr>
        <w:top w:val="none" w:sz="0" w:space="0" w:color="auto"/>
        <w:left w:val="none" w:sz="0" w:space="0" w:color="auto"/>
        <w:bottom w:val="none" w:sz="0" w:space="0" w:color="auto"/>
        <w:right w:val="none" w:sz="0" w:space="0" w:color="auto"/>
      </w:divBdr>
    </w:div>
    <w:div w:id="750157606">
      <w:bodyDiv w:val="1"/>
      <w:marLeft w:val="0"/>
      <w:marRight w:val="0"/>
      <w:marTop w:val="0"/>
      <w:marBottom w:val="0"/>
      <w:divBdr>
        <w:top w:val="none" w:sz="0" w:space="0" w:color="auto"/>
        <w:left w:val="none" w:sz="0" w:space="0" w:color="auto"/>
        <w:bottom w:val="none" w:sz="0" w:space="0" w:color="auto"/>
        <w:right w:val="none" w:sz="0" w:space="0" w:color="auto"/>
      </w:divBdr>
    </w:div>
    <w:div w:id="782187018">
      <w:bodyDiv w:val="1"/>
      <w:marLeft w:val="0"/>
      <w:marRight w:val="0"/>
      <w:marTop w:val="0"/>
      <w:marBottom w:val="0"/>
      <w:divBdr>
        <w:top w:val="none" w:sz="0" w:space="0" w:color="auto"/>
        <w:left w:val="none" w:sz="0" w:space="0" w:color="auto"/>
        <w:bottom w:val="none" w:sz="0" w:space="0" w:color="auto"/>
        <w:right w:val="none" w:sz="0" w:space="0" w:color="auto"/>
      </w:divBdr>
    </w:div>
    <w:div w:id="823740623">
      <w:bodyDiv w:val="1"/>
      <w:marLeft w:val="0"/>
      <w:marRight w:val="0"/>
      <w:marTop w:val="0"/>
      <w:marBottom w:val="0"/>
      <w:divBdr>
        <w:top w:val="none" w:sz="0" w:space="0" w:color="auto"/>
        <w:left w:val="none" w:sz="0" w:space="0" w:color="auto"/>
        <w:bottom w:val="none" w:sz="0" w:space="0" w:color="auto"/>
        <w:right w:val="none" w:sz="0" w:space="0" w:color="auto"/>
      </w:divBdr>
    </w:div>
    <w:div w:id="826358166">
      <w:bodyDiv w:val="1"/>
      <w:marLeft w:val="0"/>
      <w:marRight w:val="0"/>
      <w:marTop w:val="0"/>
      <w:marBottom w:val="0"/>
      <w:divBdr>
        <w:top w:val="none" w:sz="0" w:space="0" w:color="auto"/>
        <w:left w:val="none" w:sz="0" w:space="0" w:color="auto"/>
        <w:bottom w:val="none" w:sz="0" w:space="0" w:color="auto"/>
        <w:right w:val="none" w:sz="0" w:space="0" w:color="auto"/>
      </w:divBdr>
    </w:div>
    <w:div w:id="835850005">
      <w:bodyDiv w:val="1"/>
      <w:marLeft w:val="0"/>
      <w:marRight w:val="0"/>
      <w:marTop w:val="0"/>
      <w:marBottom w:val="0"/>
      <w:divBdr>
        <w:top w:val="none" w:sz="0" w:space="0" w:color="auto"/>
        <w:left w:val="none" w:sz="0" w:space="0" w:color="auto"/>
        <w:bottom w:val="none" w:sz="0" w:space="0" w:color="auto"/>
        <w:right w:val="none" w:sz="0" w:space="0" w:color="auto"/>
      </w:divBdr>
    </w:div>
    <w:div w:id="868958566">
      <w:bodyDiv w:val="1"/>
      <w:marLeft w:val="0"/>
      <w:marRight w:val="0"/>
      <w:marTop w:val="0"/>
      <w:marBottom w:val="0"/>
      <w:divBdr>
        <w:top w:val="none" w:sz="0" w:space="0" w:color="auto"/>
        <w:left w:val="none" w:sz="0" w:space="0" w:color="auto"/>
        <w:bottom w:val="none" w:sz="0" w:space="0" w:color="auto"/>
        <w:right w:val="none" w:sz="0" w:space="0" w:color="auto"/>
      </w:divBdr>
    </w:div>
    <w:div w:id="920674405">
      <w:bodyDiv w:val="1"/>
      <w:marLeft w:val="0"/>
      <w:marRight w:val="0"/>
      <w:marTop w:val="0"/>
      <w:marBottom w:val="0"/>
      <w:divBdr>
        <w:top w:val="none" w:sz="0" w:space="0" w:color="auto"/>
        <w:left w:val="none" w:sz="0" w:space="0" w:color="auto"/>
        <w:bottom w:val="none" w:sz="0" w:space="0" w:color="auto"/>
        <w:right w:val="none" w:sz="0" w:space="0" w:color="auto"/>
      </w:divBdr>
    </w:div>
    <w:div w:id="982926358">
      <w:bodyDiv w:val="1"/>
      <w:marLeft w:val="0"/>
      <w:marRight w:val="0"/>
      <w:marTop w:val="0"/>
      <w:marBottom w:val="0"/>
      <w:divBdr>
        <w:top w:val="none" w:sz="0" w:space="0" w:color="auto"/>
        <w:left w:val="none" w:sz="0" w:space="0" w:color="auto"/>
        <w:bottom w:val="none" w:sz="0" w:space="0" w:color="auto"/>
        <w:right w:val="none" w:sz="0" w:space="0" w:color="auto"/>
      </w:divBdr>
    </w:div>
    <w:div w:id="987630547">
      <w:bodyDiv w:val="1"/>
      <w:marLeft w:val="0"/>
      <w:marRight w:val="0"/>
      <w:marTop w:val="0"/>
      <w:marBottom w:val="0"/>
      <w:divBdr>
        <w:top w:val="none" w:sz="0" w:space="0" w:color="auto"/>
        <w:left w:val="none" w:sz="0" w:space="0" w:color="auto"/>
        <w:bottom w:val="none" w:sz="0" w:space="0" w:color="auto"/>
        <w:right w:val="none" w:sz="0" w:space="0" w:color="auto"/>
      </w:divBdr>
    </w:div>
    <w:div w:id="989480023">
      <w:bodyDiv w:val="1"/>
      <w:marLeft w:val="0"/>
      <w:marRight w:val="0"/>
      <w:marTop w:val="0"/>
      <w:marBottom w:val="0"/>
      <w:divBdr>
        <w:top w:val="none" w:sz="0" w:space="0" w:color="auto"/>
        <w:left w:val="none" w:sz="0" w:space="0" w:color="auto"/>
        <w:bottom w:val="none" w:sz="0" w:space="0" w:color="auto"/>
        <w:right w:val="none" w:sz="0" w:space="0" w:color="auto"/>
      </w:divBdr>
    </w:div>
    <w:div w:id="1165898445">
      <w:bodyDiv w:val="1"/>
      <w:marLeft w:val="0"/>
      <w:marRight w:val="0"/>
      <w:marTop w:val="0"/>
      <w:marBottom w:val="0"/>
      <w:divBdr>
        <w:top w:val="none" w:sz="0" w:space="0" w:color="auto"/>
        <w:left w:val="none" w:sz="0" w:space="0" w:color="auto"/>
        <w:bottom w:val="none" w:sz="0" w:space="0" w:color="auto"/>
        <w:right w:val="none" w:sz="0" w:space="0" w:color="auto"/>
      </w:divBdr>
    </w:div>
    <w:div w:id="1294095737">
      <w:bodyDiv w:val="1"/>
      <w:marLeft w:val="0"/>
      <w:marRight w:val="0"/>
      <w:marTop w:val="0"/>
      <w:marBottom w:val="0"/>
      <w:divBdr>
        <w:top w:val="none" w:sz="0" w:space="0" w:color="auto"/>
        <w:left w:val="none" w:sz="0" w:space="0" w:color="auto"/>
        <w:bottom w:val="none" w:sz="0" w:space="0" w:color="auto"/>
        <w:right w:val="none" w:sz="0" w:space="0" w:color="auto"/>
      </w:divBdr>
    </w:div>
    <w:div w:id="1318652384">
      <w:bodyDiv w:val="1"/>
      <w:marLeft w:val="0"/>
      <w:marRight w:val="0"/>
      <w:marTop w:val="0"/>
      <w:marBottom w:val="0"/>
      <w:divBdr>
        <w:top w:val="none" w:sz="0" w:space="0" w:color="auto"/>
        <w:left w:val="none" w:sz="0" w:space="0" w:color="auto"/>
        <w:bottom w:val="none" w:sz="0" w:space="0" w:color="auto"/>
        <w:right w:val="none" w:sz="0" w:space="0" w:color="auto"/>
      </w:divBdr>
    </w:div>
    <w:div w:id="1353188558">
      <w:bodyDiv w:val="1"/>
      <w:marLeft w:val="0"/>
      <w:marRight w:val="0"/>
      <w:marTop w:val="0"/>
      <w:marBottom w:val="0"/>
      <w:divBdr>
        <w:top w:val="none" w:sz="0" w:space="0" w:color="auto"/>
        <w:left w:val="none" w:sz="0" w:space="0" w:color="auto"/>
        <w:bottom w:val="none" w:sz="0" w:space="0" w:color="auto"/>
        <w:right w:val="none" w:sz="0" w:space="0" w:color="auto"/>
      </w:divBdr>
    </w:div>
    <w:div w:id="1381978169">
      <w:bodyDiv w:val="1"/>
      <w:marLeft w:val="0"/>
      <w:marRight w:val="0"/>
      <w:marTop w:val="0"/>
      <w:marBottom w:val="0"/>
      <w:divBdr>
        <w:top w:val="none" w:sz="0" w:space="0" w:color="auto"/>
        <w:left w:val="none" w:sz="0" w:space="0" w:color="auto"/>
        <w:bottom w:val="none" w:sz="0" w:space="0" w:color="auto"/>
        <w:right w:val="none" w:sz="0" w:space="0" w:color="auto"/>
      </w:divBdr>
    </w:div>
    <w:div w:id="1448500213">
      <w:bodyDiv w:val="1"/>
      <w:marLeft w:val="0"/>
      <w:marRight w:val="0"/>
      <w:marTop w:val="0"/>
      <w:marBottom w:val="0"/>
      <w:divBdr>
        <w:top w:val="none" w:sz="0" w:space="0" w:color="auto"/>
        <w:left w:val="none" w:sz="0" w:space="0" w:color="auto"/>
        <w:bottom w:val="none" w:sz="0" w:space="0" w:color="auto"/>
        <w:right w:val="none" w:sz="0" w:space="0" w:color="auto"/>
      </w:divBdr>
    </w:div>
    <w:div w:id="1461991079">
      <w:bodyDiv w:val="1"/>
      <w:marLeft w:val="0"/>
      <w:marRight w:val="0"/>
      <w:marTop w:val="0"/>
      <w:marBottom w:val="0"/>
      <w:divBdr>
        <w:top w:val="none" w:sz="0" w:space="0" w:color="auto"/>
        <w:left w:val="none" w:sz="0" w:space="0" w:color="auto"/>
        <w:bottom w:val="none" w:sz="0" w:space="0" w:color="auto"/>
        <w:right w:val="none" w:sz="0" w:space="0" w:color="auto"/>
      </w:divBdr>
    </w:div>
    <w:div w:id="1685858372">
      <w:bodyDiv w:val="1"/>
      <w:marLeft w:val="0"/>
      <w:marRight w:val="0"/>
      <w:marTop w:val="0"/>
      <w:marBottom w:val="0"/>
      <w:divBdr>
        <w:top w:val="none" w:sz="0" w:space="0" w:color="auto"/>
        <w:left w:val="none" w:sz="0" w:space="0" w:color="auto"/>
        <w:bottom w:val="none" w:sz="0" w:space="0" w:color="auto"/>
        <w:right w:val="none" w:sz="0" w:space="0" w:color="auto"/>
      </w:divBdr>
    </w:div>
    <w:div w:id="1699351941">
      <w:bodyDiv w:val="1"/>
      <w:marLeft w:val="0"/>
      <w:marRight w:val="0"/>
      <w:marTop w:val="0"/>
      <w:marBottom w:val="0"/>
      <w:divBdr>
        <w:top w:val="none" w:sz="0" w:space="0" w:color="auto"/>
        <w:left w:val="none" w:sz="0" w:space="0" w:color="auto"/>
        <w:bottom w:val="none" w:sz="0" w:space="0" w:color="auto"/>
        <w:right w:val="none" w:sz="0" w:space="0" w:color="auto"/>
      </w:divBdr>
    </w:div>
    <w:div w:id="1731735265">
      <w:bodyDiv w:val="1"/>
      <w:marLeft w:val="0"/>
      <w:marRight w:val="0"/>
      <w:marTop w:val="0"/>
      <w:marBottom w:val="0"/>
      <w:divBdr>
        <w:top w:val="none" w:sz="0" w:space="0" w:color="auto"/>
        <w:left w:val="none" w:sz="0" w:space="0" w:color="auto"/>
        <w:bottom w:val="none" w:sz="0" w:space="0" w:color="auto"/>
        <w:right w:val="none" w:sz="0" w:space="0" w:color="auto"/>
      </w:divBdr>
    </w:div>
    <w:div w:id="1784183733">
      <w:bodyDiv w:val="1"/>
      <w:marLeft w:val="0"/>
      <w:marRight w:val="0"/>
      <w:marTop w:val="0"/>
      <w:marBottom w:val="0"/>
      <w:divBdr>
        <w:top w:val="none" w:sz="0" w:space="0" w:color="auto"/>
        <w:left w:val="none" w:sz="0" w:space="0" w:color="auto"/>
        <w:bottom w:val="none" w:sz="0" w:space="0" w:color="auto"/>
        <w:right w:val="none" w:sz="0" w:space="0" w:color="auto"/>
      </w:divBdr>
      <w:divsChild>
        <w:div w:id="30231860">
          <w:marLeft w:val="547"/>
          <w:marRight w:val="0"/>
          <w:marTop w:val="0"/>
          <w:marBottom w:val="0"/>
          <w:divBdr>
            <w:top w:val="none" w:sz="0" w:space="0" w:color="auto"/>
            <w:left w:val="none" w:sz="0" w:space="0" w:color="auto"/>
            <w:bottom w:val="none" w:sz="0" w:space="0" w:color="auto"/>
            <w:right w:val="none" w:sz="0" w:space="0" w:color="auto"/>
          </w:divBdr>
        </w:div>
      </w:divsChild>
    </w:div>
    <w:div w:id="1787046413">
      <w:bodyDiv w:val="1"/>
      <w:marLeft w:val="0"/>
      <w:marRight w:val="0"/>
      <w:marTop w:val="0"/>
      <w:marBottom w:val="0"/>
      <w:divBdr>
        <w:top w:val="none" w:sz="0" w:space="0" w:color="auto"/>
        <w:left w:val="none" w:sz="0" w:space="0" w:color="auto"/>
        <w:bottom w:val="none" w:sz="0" w:space="0" w:color="auto"/>
        <w:right w:val="none" w:sz="0" w:space="0" w:color="auto"/>
      </w:divBdr>
    </w:div>
    <w:div w:id="1798329780">
      <w:bodyDiv w:val="1"/>
      <w:marLeft w:val="0"/>
      <w:marRight w:val="0"/>
      <w:marTop w:val="0"/>
      <w:marBottom w:val="0"/>
      <w:divBdr>
        <w:top w:val="none" w:sz="0" w:space="0" w:color="auto"/>
        <w:left w:val="none" w:sz="0" w:space="0" w:color="auto"/>
        <w:bottom w:val="none" w:sz="0" w:space="0" w:color="auto"/>
        <w:right w:val="none" w:sz="0" w:space="0" w:color="auto"/>
      </w:divBdr>
    </w:div>
    <w:div w:id="203438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oter" Target="foot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diagramColors" Target="diagrams/colors1.xml"/><Relationship Id="rId22" Type="http://schemas.microsoft.com/office/2007/relationships/diagramDrawing" Target="diagrams/drawing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AL - Group 45B</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PUC</c:v>
          </c:tx>
          <c:spPr>
            <a:ln w="28575" cap="rnd">
              <a:solidFill>
                <a:schemeClr val="accent1">
                  <a:lumMod val="40000"/>
                  <a:lumOff val="60000"/>
                </a:schemeClr>
              </a:solidFill>
              <a:round/>
            </a:ln>
            <a:effectLst/>
          </c:spPr>
          <c:marker>
            <c:symbol val="none"/>
          </c:marker>
          <c:cat>
            <c:numRef>
              <c:f>'1.c EAN_Projection'!$C$18:$C$33</c:f>
              <c:numCache>
                <c:formatCode>General</c:formatCode>
                <c:ptCount val="16"/>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numCache>
            </c:numRef>
          </c:cat>
          <c:val>
            <c:numRef>
              <c:f>'1.c EAN_Projection'!$M$18:$M$33</c:f>
              <c:numCache>
                <c:formatCode>_(* #,##0.00_);_(* \(#,##0.00\);_(* "-"??_);_(@_)</c:formatCode>
                <c:ptCount val="16"/>
                <c:pt idx="0">
                  <c:v>0</c:v>
                </c:pt>
                <c:pt idx="1">
                  <c:v>2837.7327056022714</c:v>
                </c:pt>
                <c:pt idx="2">
                  <c:v>5959.2386817647694</c:v>
                </c:pt>
                <c:pt idx="3">
                  <c:v>9385.8009237795122</c:v>
                </c:pt>
                <c:pt idx="4">
                  <c:v>13140.121293291317</c:v>
                </c:pt>
                <c:pt idx="5">
                  <c:v>17246.409197444853</c:v>
                </c:pt>
                <c:pt idx="6">
                  <c:v>21730.475588780515</c:v>
                </c:pt>
                <c:pt idx="7">
                  <c:v>26619.832596256132</c:v>
                </c:pt>
                <c:pt idx="8">
                  <c:v>31943.799115507358</c:v>
                </c:pt>
                <c:pt idx="9">
                  <c:v>37733.612705193067</c:v>
                </c:pt>
                <c:pt idx="10">
                  <c:v>44022.548156058569</c:v>
                </c:pt>
                <c:pt idx="11">
                  <c:v>50846.043120247661</c:v>
                </c:pt>
                <c:pt idx="12">
                  <c:v>58241.831210465491</c:v>
                </c:pt>
                <c:pt idx="13">
                  <c:v>66250.083001904495</c:v>
                </c:pt>
                <c:pt idx="14">
                  <c:v>74913.555394461247</c:v>
                </c:pt>
                <c:pt idx="15">
                  <c:v>84277.749818768905</c:v>
                </c:pt>
              </c:numCache>
            </c:numRef>
          </c:val>
          <c:smooth val="0"/>
        </c:ser>
        <c:ser>
          <c:idx val="2"/>
          <c:order val="1"/>
          <c:tx>
            <c:v>EAN</c:v>
          </c:tx>
          <c:spPr>
            <a:ln w="28575" cap="rnd">
              <a:solidFill>
                <a:schemeClr val="accent1">
                  <a:lumMod val="50000"/>
                </a:schemeClr>
              </a:solidFill>
              <a:round/>
            </a:ln>
            <a:effectLst/>
          </c:spPr>
          <c:marker>
            <c:symbol val="none"/>
          </c:marker>
          <c:cat>
            <c:numRef>
              <c:f>'1.c EAN_Projection'!$C$18:$C$33</c:f>
              <c:numCache>
                <c:formatCode>General</c:formatCode>
                <c:ptCount val="16"/>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numCache>
            </c:numRef>
          </c:cat>
          <c:val>
            <c:numRef>
              <c:f>'1.c EAN_Projection'!$L$18:$L$33</c:f>
              <c:numCache>
                <c:formatCode>_(* #,##0.00_);_(* \(#,##0.00\);_(* "-"??_);_(@_)</c:formatCode>
                <c:ptCount val="16"/>
                <c:pt idx="0">
                  <c:v>0</c:v>
                </c:pt>
                <c:pt idx="1">
                  <c:v>3643.7580825803161</c:v>
                </c:pt>
                <c:pt idx="2">
                  <c:v>7510.7246540051929</c:v>
                </c:pt>
                <c:pt idx="3">
                  <c:v>11612.521938960526</c:v>
                </c:pt>
                <c:pt idx="4">
                  <c:v>15961.358472206717</c:v>
                </c:pt>
                <c:pt idx="5">
                  <c:v>20570.058472609715</c:v>
                </c:pt>
                <c:pt idx="6">
                  <c:v>25452.09268653256</c:v>
                </c:pt>
                <c:pt idx="7">
                  <c:v>30621.610774062716</c:v>
                </c:pt>
                <c:pt idx="8">
                  <c:v>36093.475315224714</c:v>
                </c:pt>
                <c:pt idx="9">
                  <c:v>41883.297517184605</c:v>
                </c:pt>
                <c:pt idx="10">
                  <c:v>48007.474707503949</c:v>
                </c:pt>
                <c:pt idx="11">
                  <c:v>54483.22970275316</c:v>
                </c:pt>
                <c:pt idx="12">
                  <c:v>61328.652146260181</c:v>
                </c:pt>
                <c:pt idx="13">
                  <c:v>68562.741913459293</c:v>
                </c:pt>
                <c:pt idx="14">
                  <c:v>76205.454688227896</c:v>
                </c:pt>
                <c:pt idx="15">
                  <c:v>84277.749818768905</c:v>
                </c:pt>
              </c:numCache>
            </c:numRef>
          </c:val>
          <c:smooth val="0"/>
        </c:ser>
        <c:dLbls>
          <c:showLegendKey val="0"/>
          <c:showVal val="0"/>
          <c:showCatName val="0"/>
          <c:showSerName val="0"/>
          <c:showPercent val="0"/>
          <c:showBubbleSize val="0"/>
        </c:dLbls>
        <c:smooth val="0"/>
        <c:axId val="703516832"/>
        <c:axId val="703519968"/>
      </c:lineChart>
      <c:catAx>
        <c:axId val="70351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519968"/>
        <c:crosses val="autoZero"/>
        <c:auto val="1"/>
        <c:lblAlgn val="ctr"/>
        <c:lblOffset val="100"/>
        <c:noMultiLvlLbl val="0"/>
      </c:catAx>
      <c:valAx>
        <c:axId val="703519968"/>
        <c:scaling>
          <c:orientation val="minMax"/>
          <c:max val="90000"/>
          <c:min val="0"/>
        </c:scaling>
        <c:delete val="0"/>
        <c:axPos val="l"/>
        <c:majorGridlines>
          <c:spPr>
            <a:ln w="9525" cap="flat" cmpd="sng" algn="ctr">
              <a:solidFill>
                <a:schemeClr val="tx1">
                  <a:lumMod val="15000"/>
                  <a:lumOff val="85000"/>
                </a:schemeClr>
              </a:solidFill>
              <a:round/>
            </a:ln>
            <a:effectLst/>
          </c:spPr>
        </c:majorGridlines>
        <c:numFmt formatCode="_(* #,##0_);_(* \(#,##0\);_(*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51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Contribution</a:t>
            </a:r>
            <a:r>
              <a:rPr lang="en-US" b="1" baseline="0"/>
              <a:t> - </a:t>
            </a:r>
            <a:r>
              <a:rPr lang="en-US" b="1"/>
              <a:t>Group 45B</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PUC</c:v>
          </c:tx>
          <c:spPr>
            <a:ln w="28575" cap="rnd">
              <a:solidFill>
                <a:schemeClr val="accent1">
                  <a:lumMod val="40000"/>
                  <a:lumOff val="60000"/>
                </a:schemeClr>
              </a:solidFill>
              <a:round/>
            </a:ln>
            <a:effectLst/>
          </c:spPr>
          <c:marker>
            <c:symbol val="none"/>
          </c:marker>
          <c:cat>
            <c:numRef>
              <c:f>'1.c EAN_Projection'!$C$18:$C$33</c:f>
              <c:numCache>
                <c:formatCode>General</c:formatCode>
                <c:ptCount val="16"/>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numCache>
            </c:numRef>
          </c:cat>
          <c:val>
            <c:numRef>
              <c:f>'1.c EAN_Projection'!$O$18:$O$32</c:f>
              <c:numCache>
                <c:formatCode>_(* #,##0.00_);_(* \(#,##0.00\);_(* "-"??_);_(@_)</c:formatCode>
                <c:ptCount val="15"/>
                <c:pt idx="0">
                  <c:v>2837.7327056022714</c:v>
                </c:pt>
                <c:pt idx="1">
                  <c:v>2979.6193408823851</c:v>
                </c:pt>
                <c:pt idx="2">
                  <c:v>3128.6003079265042</c:v>
                </c:pt>
                <c:pt idx="3">
                  <c:v>3285.0303233228292</c:v>
                </c:pt>
                <c:pt idx="4">
                  <c:v>3449.2818394889705</c:v>
                </c:pt>
                <c:pt idx="5">
                  <c:v>3621.7459314634189</c:v>
                </c:pt>
                <c:pt idx="6">
                  <c:v>3802.8332280365898</c:v>
                </c:pt>
                <c:pt idx="7">
                  <c:v>3992.9748894384193</c:v>
                </c:pt>
                <c:pt idx="8">
                  <c:v>4192.6236339103398</c:v>
                </c:pt>
                <c:pt idx="9">
                  <c:v>4402.2548156058583</c:v>
                </c:pt>
                <c:pt idx="10">
                  <c:v>4622.3675563861507</c:v>
                </c:pt>
                <c:pt idx="11">
                  <c:v>4853.4859342054569</c:v>
                </c:pt>
                <c:pt idx="12">
                  <c:v>5096.1602309157297</c:v>
                </c:pt>
                <c:pt idx="13">
                  <c:v>5350.9682424615166</c:v>
                </c:pt>
                <c:pt idx="14">
                  <c:v>5618.5166545845932</c:v>
                </c:pt>
              </c:numCache>
            </c:numRef>
          </c:val>
          <c:smooth val="0"/>
        </c:ser>
        <c:ser>
          <c:idx val="2"/>
          <c:order val="1"/>
          <c:tx>
            <c:v>EAN</c:v>
          </c:tx>
          <c:spPr>
            <a:ln w="28575" cap="rnd">
              <a:solidFill>
                <a:schemeClr val="accent1">
                  <a:lumMod val="50000"/>
                </a:schemeClr>
              </a:solidFill>
              <a:round/>
            </a:ln>
            <a:effectLst/>
          </c:spPr>
          <c:marker>
            <c:symbol val="none"/>
          </c:marker>
          <c:cat>
            <c:numRef>
              <c:f>'1.c EAN_Projection'!$C$18:$C$33</c:f>
              <c:numCache>
                <c:formatCode>General</c:formatCode>
                <c:ptCount val="16"/>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numCache>
            </c:numRef>
          </c:cat>
          <c:val>
            <c:numRef>
              <c:f>'1.c EAN_Projection'!$K$18:$K$32</c:f>
              <c:numCache>
                <c:formatCode>_(* #,##0.00_);_(* \(#,##0.00\);_(* "-"??_);_(@_)</c:formatCode>
                <c:ptCount val="15"/>
                <c:pt idx="0">
                  <c:v>3643.7580825803193</c:v>
                </c:pt>
                <c:pt idx="1">
                  <c:v>3684.7786672958628</c:v>
                </c:pt>
                <c:pt idx="2">
                  <c:v>3726.2610522550744</c:v>
                </c:pt>
                <c:pt idx="3">
                  <c:v>3768.2104362981599</c:v>
                </c:pt>
                <c:pt idx="4">
                  <c:v>3810.6320767926632</c:v>
                </c:pt>
                <c:pt idx="5">
                  <c:v>3853.5312902923547</c:v>
                </c:pt>
                <c:pt idx="6">
                  <c:v>3896.9134532035364</c:v>
                </c:pt>
                <c:pt idx="7">
                  <c:v>3940.7840024588477</c:v>
                </c:pt>
                <c:pt idx="8">
                  <c:v>3985.1484361986545</c:v>
                </c:pt>
                <c:pt idx="9">
                  <c:v>4030.0123144601166</c:v>
                </c:pt>
                <c:pt idx="10">
                  <c:v>4075.3812598740033</c:v>
                </c:pt>
                <c:pt idx="11">
                  <c:v>4121.2609583693584</c:v>
                </c:pt>
                <c:pt idx="12">
                  <c:v>4167.6571598861001</c:v>
                </c:pt>
                <c:pt idx="13">
                  <c:v>4214.5756790956366</c:v>
                </c:pt>
                <c:pt idx="14">
                  <c:v>4262.0223961296015</c:v>
                </c:pt>
              </c:numCache>
            </c:numRef>
          </c:val>
          <c:smooth val="0"/>
        </c:ser>
        <c:dLbls>
          <c:showLegendKey val="0"/>
          <c:showVal val="0"/>
          <c:showCatName val="0"/>
          <c:showSerName val="0"/>
          <c:showPercent val="0"/>
          <c:showBubbleSize val="0"/>
        </c:dLbls>
        <c:smooth val="0"/>
        <c:axId val="703520752"/>
        <c:axId val="703521144"/>
      </c:lineChart>
      <c:catAx>
        <c:axId val="70352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521144"/>
        <c:crosses val="autoZero"/>
        <c:auto val="1"/>
        <c:lblAlgn val="ctr"/>
        <c:lblOffset val="100"/>
        <c:noMultiLvlLbl val="0"/>
      </c:catAx>
      <c:valAx>
        <c:axId val="703521144"/>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520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Contribution</a:t>
            </a:r>
            <a:r>
              <a:rPr lang="en-US" b="1" baseline="0"/>
              <a:t> - </a:t>
            </a:r>
            <a:r>
              <a:rPr lang="en-US" b="1"/>
              <a:t>Group 45B</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PUC</c:v>
          </c:tx>
          <c:spPr>
            <a:ln w="28575" cap="rnd">
              <a:solidFill>
                <a:schemeClr val="accent1">
                  <a:lumMod val="40000"/>
                  <a:lumOff val="60000"/>
                </a:schemeClr>
              </a:solidFill>
              <a:round/>
            </a:ln>
            <a:effectLst/>
          </c:spPr>
          <c:marker>
            <c:symbol val="none"/>
          </c:marker>
          <c:cat>
            <c:numRef>
              <c:f>'1.c EAN_Projection'!$C$18:$C$33</c:f>
              <c:numCache>
                <c:formatCode>General</c:formatCode>
                <c:ptCount val="16"/>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numCache>
            </c:numRef>
          </c:cat>
          <c:val>
            <c:numRef>
              <c:f>'1.c EAN_Projection'!$O$18:$O$32</c:f>
              <c:numCache>
                <c:formatCode>_(* #,##0.00_);_(* \(#,##0.00\);_(* "-"??_);_(@_)</c:formatCode>
                <c:ptCount val="15"/>
                <c:pt idx="0">
                  <c:v>2837.7327056022714</c:v>
                </c:pt>
                <c:pt idx="1">
                  <c:v>2869.6792432735633</c:v>
                </c:pt>
                <c:pt idx="2">
                  <c:v>2901.985427668159</c:v>
                </c:pt>
                <c:pt idx="3">
                  <c:v>3285.0303233228292</c:v>
                </c:pt>
                <c:pt idx="4">
                  <c:v>3322.0124339945583</c:v>
                </c:pt>
                <c:pt idx="5">
                  <c:v>3359.4108807043526</c:v>
                </c:pt>
                <c:pt idx="6">
                  <c:v>3802.8332280365898</c:v>
                </c:pt>
                <c:pt idx="7">
                  <c:v>3845.6446439029501</c:v>
                </c:pt>
                <c:pt idx="8">
                  <c:v>3888.9380207753757</c:v>
                </c:pt>
                <c:pt idx="9">
                  <c:v>4402.2548156058583</c:v>
                </c:pt>
                <c:pt idx="10">
                  <c:v>4451.8143808981531</c:v>
                </c:pt>
                <c:pt idx="11">
                  <c:v>4501.9318763000947</c:v>
                </c:pt>
                <c:pt idx="12">
                  <c:v>5096.1602309157297</c:v>
                </c:pt>
                <c:pt idx="13">
                  <c:v>5153.5316226872237</c:v>
                </c:pt>
                <c:pt idx="14">
                  <c:v>5211.548888301897</c:v>
                </c:pt>
              </c:numCache>
            </c:numRef>
          </c:val>
          <c:smooth val="0"/>
        </c:ser>
        <c:ser>
          <c:idx val="2"/>
          <c:order val="1"/>
          <c:tx>
            <c:v>EAN</c:v>
          </c:tx>
          <c:spPr>
            <a:ln w="28575" cap="rnd">
              <a:solidFill>
                <a:schemeClr val="accent1">
                  <a:lumMod val="50000"/>
                </a:schemeClr>
              </a:solidFill>
              <a:round/>
            </a:ln>
            <a:effectLst/>
          </c:spPr>
          <c:marker>
            <c:symbol val="none"/>
          </c:marker>
          <c:cat>
            <c:numRef>
              <c:f>'1.c EAN_Projection'!$C$18:$C$33</c:f>
              <c:numCache>
                <c:formatCode>General</c:formatCode>
                <c:ptCount val="16"/>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numCache>
            </c:numRef>
          </c:cat>
          <c:val>
            <c:numRef>
              <c:f>'1.c EAN_Projection'!$K$18:$K$32</c:f>
              <c:numCache>
                <c:formatCode>_(* #,##0.00_);_(* \(#,##0.00\);_(* "-"??_);_(@_)</c:formatCode>
                <c:ptCount val="15"/>
                <c:pt idx="0">
                  <c:v>3643.7580825803193</c:v>
                </c:pt>
                <c:pt idx="1">
                  <c:v>3684.7786672958628</c:v>
                </c:pt>
                <c:pt idx="2">
                  <c:v>3726.2610522550744</c:v>
                </c:pt>
                <c:pt idx="3">
                  <c:v>3768.2104362981599</c:v>
                </c:pt>
                <c:pt idx="4">
                  <c:v>3810.6320767926632</c:v>
                </c:pt>
                <c:pt idx="5">
                  <c:v>3853.5312902923547</c:v>
                </c:pt>
                <c:pt idx="6">
                  <c:v>3896.9134532035364</c:v>
                </c:pt>
                <c:pt idx="7">
                  <c:v>3940.7840024588477</c:v>
                </c:pt>
                <c:pt idx="8">
                  <c:v>3985.1484361986545</c:v>
                </c:pt>
                <c:pt idx="9">
                  <c:v>4030.0123144601166</c:v>
                </c:pt>
                <c:pt idx="10">
                  <c:v>4075.3812598740033</c:v>
                </c:pt>
                <c:pt idx="11">
                  <c:v>4121.2609583693584</c:v>
                </c:pt>
                <c:pt idx="12">
                  <c:v>4167.6571598861001</c:v>
                </c:pt>
                <c:pt idx="13">
                  <c:v>4214.5756790956366</c:v>
                </c:pt>
                <c:pt idx="14">
                  <c:v>4262.0223961296015</c:v>
                </c:pt>
              </c:numCache>
            </c:numRef>
          </c:val>
          <c:smooth val="0"/>
        </c:ser>
        <c:dLbls>
          <c:showLegendKey val="0"/>
          <c:showVal val="0"/>
          <c:showCatName val="0"/>
          <c:showSerName val="0"/>
          <c:showPercent val="0"/>
          <c:showBubbleSize val="0"/>
        </c:dLbls>
        <c:smooth val="0"/>
        <c:axId val="703518008"/>
        <c:axId val="703523888"/>
      </c:lineChart>
      <c:catAx>
        <c:axId val="703518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523888"/>
        <c:crosses val="autoZero"/>
        <c:auto val="1"/>
        <c:lblAlgn val="ctr"/>
        <c:lblOffset val="100"/>
        <c:noMultiLvlLbl val="0"/>
      </c:catAx>
      <c:valAx>
        <c:axId val="70352388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518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40FF96-ABB6-485F-9015-69C0E98865B0}"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AB67C392-C1D1-4311-8303-233FF1271170}">
      <dgm:prSet phldrT="[Text]" custT="1"/>
      <dgm:spPr>
        <a:solidFill>
          <a:srgbClr val="00B0F0"/>
        </a:solidFill>
      </dgm:spPr>
      <dgm:t>
        <a:bodyPr/>
        <a:lstStyle/>
        <a:p>
          <a:pPr algn="ctr"/>
          <a:r>
            <a:rPr lang="en-AU" sz="1100">
              <a:latin typeface="Century Gothic" panose="020B0502020202020204" pitchFamily="34" charset="0"/>
            </a:rPr>
            <a:t>Benefit </a:t>
          </a:r>
          <a:endParaRPr lang="en-US" sz="1100">
            <a:latin typeface="Century Gothic" panose="020B0502020202020204" pitchFamily="34" charset="0"/>
          </a:endParaRPr>
        </a:p>
      </dgm:t>
    </dgm:pt>
    <dgm:pt modelId="{40B1C960-E279-4D99-B188-8EC692312E94}" type="parTrans" cxnId="{69B3831B-20A4-4C20-A759-25C913097927}">
      <dgm:prSet/>
      <dgm:spPr/>
      <dgm:t>
        <a:bodyPr/>
        <a:lstStyle/>
        <a:p>
          <a:pPr algn="ctr"/>
          <a:endParaRPr lang="en-US" sz="1000">
            <a:latin typeface="Century Gothic" panose="020B0502020202020204" pitchFamily="34" charset="0"/>
          </a:endParaRPr>
        </a:p>
      </dgm:t>
    </dgm:pt>
    <dgm:pt modelId="{918D458E-91E3-41F5-B54F-58E8FF8842A9}" type="sibTrans" cxnId="{69B3831B-20A4-4C20-A759-25C913097927}">
      <dgm:prSet/>
      <dgm:spPr/>
      <dgm:t>
        <a:bodyPr/>
        <a:lstStyle/>
        <a:p>
          <a:pPr algn="ctr"/>
          <a:endParaRPr lang="en-US" sz="1000">
            <a:latin typeface="Century Gothic" panose="020B0502020202020204" pitchFamily="34" charset="0"/>
          </a:endParaRPr>
        </a:p>
      </dgm:t>
    </dgm:pt>
    <dgm:pt modelId="{2B47F9E6-06DE-42E7-9237-441C1C23521F}">
      <dgm:prSet phldrT="[Text]" custT="1"/>
      <dgm:spPr>
        <a:solidFill>
          <a:srgbClr val="FFC000"/>
        </a:solidFill>
      </dgm:spPr>
      <dgm:t>
        <a:bodyPr/>
        <a:lstStyle/>
        <a:p>
          <a:pPr algn="ctr"/>
          <a:r>
            <a:rPr lang="en-AU" sz="1000">
              <a:latin typeface="Century Gothic" panose="020B0502020202020204" pitchFamily="34" charset="0"/>
            </a:rPr>
            <a:t>Final ordinary earnings</a:t>
          </a:r>
          <a:endParaRPr lang="en-US" sz="1000">
            <a:latin typeface="Century Gothic" panose="020B0502020202020204" pitchFamily="34" charset="0"/>
          </a:endParaRPr>
        </a:p>
      </dgm:t>
    </dgm:pt>
    <dgm:pt modelId="{2F847877-20DA-4A57-9506-8A31A4B11A70}" type="parTrans" cxnId="{FF0FD540-132D-40ED-8555-EFCA02E91F2E}">
      <dgm:prSet/>
      <dgm:spPr/>
      <dgm:t>
        <a:bodyPr/>
        <a:lstStyle/>
        <a:p>
          <a:pPr algn="ctr"/>
          <a:endParaRPr lang="en-US" sz="1000">
            <a:latin typeface="Century Gothic" panose="020B0502020202020204" pitchFamily="34" charset="0"/>
          </a:endParaRPr>
        </a:p>
      </dgm:t>
    </dgm:pt>
    <dgm:pt modelId="{888A19B2-ECE5-4AEE-ACFD-8E704E3ED511}" type="sibTrans" cxnId="{FF0FD540-132D-40ED-8555-EFCA02E91F2E}">
      <dgm:prSet/>
      <dgm:spPr>
        <a:solidFill>
          <a:schemeClr val="bg2">
            <a:lumMod val="90000"/>
          </a:schemeClr>
        </a:solidFill>
      </dgm:spPr>
      <dgm:t>
        <a:bodyPr/>
        <a:lstStyle/>
        <a:p>
          <a:pPr algn="ctr"/>
          <a:endParaRPr lang="en-US" sz="1000">
            <a:latin typeface="Century Gothic" panose="020B0502020202020204" pitchFamily="34" charset="0"/>
          </a:endParaRPr>
        </a:p>
      </dgm:t>
    </dgm:pt>
    <dgm:pt modelId="{8C416D39-0498-47F0-8BCC-B692559AEF70}">
      <dgm:prSet phldrT="[Text]" custT="1"/>
      <dgm:spPr>
        <a:solidFill>
          <a:schemeClr val="accent2">
            <a:lumMod val="75000"/>
          </a:schemeClr>
        </a:solidFill>
      </dgm:spPr>
      <dgm:t>
        <a:bodyPr/>
        <a:lstStyle/>
        <a:p>
          <a:pPr algn="ctr"/>
          <a:r>
            <a:rPr lang="en-AU" sz="1000">
              <a:latin typeface="Century Gothic" panose="020B0502020202020204" pitchFamily="34" charset="0"/>
            </a:rPr>
            <a:t>Accrue rate</a:t>
          </a:r>
          <a:endParaRPr lang="en-US" sz="1000">
            <a:latin typeface="Century Gothic" panose="020B0502020202020204" pitchFamily="34" charset="0"/>
          </a:endParaRPr>
        </a:p>
      </dgm:t>
    </dgm:pt>
    <dgm:pt modelId="{2419FA17-3CF0-4314-A0C2-67DCE0432C2B}" type="parTrans" cxnId="{4840A650-1AF0-411D-B8E5-7203F373BF24}">
      <dgm:prSet/>
      <dgm:spPr/>
      <dgm:t>
        <a:bodyPr/>
        <a:lstStyle/>
        <a:p>
          <a:pPr algn="ctr"/>
          <a:endParaRPr lang="en-US" sz="1000">
            <a:latin typeface="Century Gothic" panose="020B0502020202020204" pitchFamily="34" charset="0"/>
          </a:endParaRPr>
        </a:p>
      </dgm:t>
    </dgm:pt>
    <dgm:pt modelId="{33B1BA23-B736-4CA2-A8EA-C9F513049D85}" type="sibTrans" cxnId="{4840A650-1AF0-411D-B8E5-7203F373BF24}">
      <dgm:prSet/>
      <dgm:spPr>
        <a:solidFill>
          <a:schemeClr val="bg2">
            <a:lumMod val="90000"/>
          </a:schemeClr>
        </a:solidFill>
      </dgm:spPr>
      <dgm:t>
        <a:bodyPr/>
        <a:lstStyle/>
        <a:p>
          <a:pPr algn="ctr"/>
          <a:endParaRPr lang="en-US" sz="1000">
            <a:latin typeface="Century Gothic" panose="020B0502020202020204" pitchFamily="34" charset="0"/>
          </a:endParaRPr>
        </a:p>
      </dgm:t>
    </dgm:pt>
    <dgm:pt modelId="{2F83F8ED-205B-4CCD-82EA-7AEC7009B4FF}">
      <dgm:prSet custT="1"/>
      <dgm:spPr>
        <a:solidFill>
          <a:schemeClr val="accent6">
            <a:lumMod val="50000"/>
          </a:schemeClr>
        </a:solidFill>
      </dgm:spPr>
      <dgm:t>
        <a:bodyPr/>
        <a:lstStyle/>
        <a:p>
          <a:pPr algn="ctr"/>
          <a:r>
            <a:rPr lang="en-AU" sz="1000">
              <a:latin typeface="Century Gothic" panose="020B0502020202020204" pitchFamily="34" charset="0"/>
            </a:rPr>
            <a:t>Period of service</a:t>
          </a:r>
          <a:endParaRPr lang="en-US" sz="1000">
            <a:latin typeface="Century Gothic" panose="020B0502020202020204" pitchFamily="34" charset="0"/>
          </a:endParaRPr>
        </a:p>
      </dgm:t>
    </dgm:pt>
    <dgm:pt modelId="{6CFF2ADD-7B49-4E21-8296-8137E83A72F9}" type="parTrans" cxnId="{4A69620E-CA9D-42A4-9D6C-52DE168AA704}">
      <dgm:prSet/>
      <dgm:spPr/>
      <dgm:t>
        <a:bodyPr/>
        <a:lstStyle/>
        <a:p>
          <a:pPr algn="ctr"/>
          <a:endParaRPr lang="en-US" sz="1000">
            <a:latin typeface="Century Gothic" panose="020B0502020202020204" pitchFamily="34" charset="0"/>
          </a:endParaRPr>
        </a:p>
      </dgm:t>
    </dgm:pt>
    <dgm:pt modelId="{FCE59DC3-CEB7-4614-A931-17C8E7FC86FA}" type="sibTrans" cxnId="{4A69620E-CA9D-42A4-9D6C-52DE168AA704}">
      <dgm:prSet/>
      <dgm:spPr>
        <a:solidFill>
          <a:schemeClr val="bg2">
            <a:lumMod val="90000"/>
          </a:schemeClr>
        </a:solidFill>
      </dgm:spPr>
      <dgm:t>
        <a:bodyPr/>
        <a:lstStyle/>
        <a:p>
          <a:pPr algn="ctr"/>
          <a:endParaRPr lang="en-US" sz="1000">
            <a:latin typeface="Century Gothic" panose="020B0502020202020204" pitchFamily="34" charset="0"/>
          </a:endParaRPr>
        </a:p>
      </dgm:t>
    </dgm:pt>
    <dgm:pt modelId="{F4FE1B42-1FD9-4EF9-A164-2D9A01D894AA}" type="pres">
      <dgm:prSet presAssocID="{2640FF96-ABB6-485F-9015-69C0E98865B0}" presName="Name0" presStyleCnt="0">
        <dgm:presLayoutVars>
          <dgm:chMax val="1"/>
          <dgm:dir/>
          <dgm:animLvl val="ctr"/>
          <dgm:resizeHandles val="exact"/>
        </dgm:presLayoutVars>
      </dgm:prSet>
      <dgm:spPr/>
    </dgm:pt>
    <dgm:pt modelId="{69988098-4DD3-4CFF-BEDD-2875C04CECCD}" type="pres">
      <dgm:prSet presAssocID="{AB67C392-C1D1-4311-8303-233FF1271170}" presName="centerShape" presStyleLbl="node0" presStyleIdx="0" presStyleCnt="1" custScaleX="103636" custScaleY="103636" custLinFactNeighborY="-370"/>
      <dgm:spPr/>
      <dgm:t>
        <a:bodyPr/>
        <a:lstStyle/>
        <a:p>
          <a:endParaRPr lang="en-US"/>
        </a:p>
      </dgm:t>
    </dgm:pt>
    <dgm:pt modelId="{A2C33D04-A5B8-44C8-8667-86A79AC7AC01}" type="pres">
      <dgm:prSet presAssocID="{2B47F9E6-06DE-42E7-9237-441C1C23521F}" presName="node" presStyleLbl="node1" presStyleIdx="0" presStyleCnt="3" custScaleX="127882" custScaleY="127882">
        <dgm:presLayoutVars>
          <dgm:bulletEnabled val="1"/>
        </dgm:presLayoutVars>
      </dgm:prSet>
      <dgm:spPr/>
      <dgm:t>
        <a:bodyPr/>
        <a:lstStyle/>
        <a:p>
          <a:endParaRPr lang="en-US"/>
        </a:p>
      </dgm:t>
    </dgm:pt>
    <dgm:pt modelId="{2176BF9C-F7F9-4446-8E9E-A75D2277DA86}" type="pres">
      <dgm:prSet presAssocID="{2B47F9E6-06DE-42E7-9237-441C1C23521F}" presName="dummy" presStyleCnt="0"/>
      <dgm:spPr/>
    </dgm:pt>
    <dgm:pt modelId="{952904AE-E7C8-4CA3-9D5A-61B0553DD92F}" type="pres">
      <dgm:prSet presAssocID="{888A19B2-ECE5-4AEE-ACFD-8E704E3ED511}" presName="sibTrans" presStyleLbl="sibTrans2D1" presStyleIdx="0" presStyleCnt="3"/>
      <dgm:spPr/>
    </dgm:pt>
    <dgm:pt modelId="{67336FE1-2465-4583-8851-86C7B09C1F50}" type="pres">
      <dgm:prSet presAssocID="{8C416D39-0498-47F0-8BCC-B692559AEF70}" presName="node" presStyleLbl="node1" presStyleIdx="1" presStyleCnt="3" custScaleX="127882" custScaleY="127882">
        <dgm:presLayoutVars>
          <dgm:bulletEnabled val="1"/>
        </dgm:presLayoutVars>
      </dgm:prSet>
      <dgm:spPr/>
      <dgm:t>
        <a:bodyPr/>
        <a:lstStyle/>
        <a:p>
          <a:endParaRPr lang="en-US"/>
        </a:p>
      </dgm:t>
    </dgm:pt>
    <dgm:pt modelId="{4A100F53-9FCD-4C50-B2F7-27BEC0496328}" type="pres">
      <dgm:prSet presAssocID="{8C416D39-0498-47F0-8BCC-B692559AEF70}" presName="dummy" presStyleCnt="0"/>
      <dgm:spPr/>
    </dgm:pt>
    <dgm:pt modelId="{1FB10BC1-7270-4759-B030-A00933E52694}" type="pres">
      <dgm:prSet presAssocID="{33B1BA23-B736-4CA2-A8EA-C9F513049D85}" presName="sibTrans" presStyleLbl="sibTrans2D1" presStyleIdx="1" presStyleCnt="3"/>
      <dgm:spPr/>
    </dgm:pt>
    <dgm:pt modelId="{EA7CA750-9382-4E4D-B093-DDBEB363FE0C}" type="pres">
      <dgm:prSet presAssocID="{2F83F8ED-205B-4CCD-82EA-7AEC7009B4FF}" presName="node" presStyleLbl="node1" presStyleIdx="2" presStyleCnt="3" custScaleX="127882" custScaleY="127882">
        <dgm:presLayoutVars>
          <dgm:bulletEnabled val="1"/>
        </dgm:presLayoutVars>
      </dgm:prSet>
      <dgm:spPr/>
      <dgm:t>
        <a:bodyPr/>
        <a:lstStyle/>
        <a:p>
          <a:endParaRPr lang="en-US"/>
        </a:p>
      </dgm:t>
    </dgm:pt>
    <dgm:pt modelId="{67C912AC-734F-4176-B341-79F07A450ED5}" type="pres">
      <dgm:prSet presAssocID="{2F83F8ED-205B-4CCD-82EA-7AEC7009B4FF}" presName="dummy" presStyleCnt="0"/>
      <dgm:spPr/>
    </dgm:pt>
    <dgm:pt modelId="{3A0A6AF6-E38D-4196-A334-8E984D473F06}" type="pres">
      <dgm:prSet presAssocID="{FCE59DC3-CEB7-4614-A931-17C8E7FC86FA}" presName="sibTrans" presStyleLbl="sibTrans2D1" presStyleIdx="2" presStyleCnt="3"/>
      <dgm:spPr/>
    </dgm:pt>
  </dgm:ptLst>
  <dgm:cxnLst>
    <dgm:cxn modelId="{90856AE7-9470-42F1-AC5F-BB174D42E0E8}" type="presOf" srcId="{8C416D39-0498-47F0-8BCC-B692559AEF70}" destId="{67336FE1-2465-4583-8851-86C7B09C1F50}" srcOrd="0" destOrd="0" presId="urn:microsoft.com/office/officeart/2005/8/layout/radial6"/>
    <dgm:cxn modelId="{6118A598-9BAB-4155-B38A-E5005BB059FC}" type="presOf" srcId="{AB67C392-C1D1-4311-8303-233FF1271170}" destId="{69988098-4DD3-4CFF-BEDD-2875C04CECCD}" srcOrd="0" destOrd="0" presId="urn:microsoft.com/office/officeart/2005/8/layout/radial6"/>
    <dgm:cxn modelId="{BA5D5658-EEFA-4EB9-ABD0-8426CDED77AB}" type="presOf" srcId="{2B47F9E6-06DE-42E7-9237-441C1C23521F}" destId="{A2C33D04-A5B8-44C8-8667-86A79AC7AC01}" srcOrd="0" destOrd="0" presId="urn:microsoft.com/office/officeart/2005/8/layout/radial6"/>
    <dgm:cxn modelId="{E78AA5D7-A821-4B28-AEF6-19679F7FB451}" type="presOf" srcId="{33B1BA23-B736-4CA2-A8EA-C9F513049D85}" destId="{1FB10BC1-7270-4759-B030-A00933E52694}" srcOrd="0" destOrd="0" presId="urn:microsoft.com/office/officeart/2005/8/layout/radial6"/>
    <dgm:cxn modelId="{2EBD5B16-A0AB-428F-BB49-6FCB65D1A3F2}" type="presOf" srcId="{FCE59DC3-CEB7-4614-A931-17C8E7FC86FA}" destId="{3A0A6AF6-E38D-4196-A334-8E984D473F06}" srcOrd="0" destOrd="0" presId="urn:microsoft.com/office/officeart/2005/8/layout/radial6"/>
    <dgm:cxn modelId="{5AFC0076-AE11-4644-A22C-12CF166DA082}" type="presOf" srcId="{2640FF96-ABB6-485F-9015-69C0E98865B0}" destId="{F4FE1B42-1FD9-4EF9-A164-2D9A01D894AA}" srcOrd="0" destOrd="0" presId="urn:microsoft.com/office/officeart/2005/8/layout/radial6"/>
    <dgm:cxn modelId="{FF0FD540-132D-40ED-8555-EFCA02E91F2E}" srcId="{AB67C392-C1D1-4311-8303-233FF1271170}" destId="{2B47F9E6-06DE-42E7-9237-441C1C23521F}" srcOrd="0" destOrd="0" parTransId="{2F847877-20DA-4A57-9506-8A31A4B11A70}" sibTransId="{888A19B2-ECE5-4AEE-ACFD-8E704E3ED511}"/>
    <dgm:cxn modelId="{69B3831B-20A4-4C20-A759-25C913097927}" srcId="{2640FF96-ABB6-485F-9015-69C0E98865B0}" destId="{AB67C392-C1D1-4311-8303-233FF1271170}" srcOrd="0" destOrd="0" parTransId="{40B1C960-E279-4D99-B188-8EC692312E94}" sibTransId="{918D458E-91E3-41F5-B54F-58E8FF8842A9}"/>
    <dgm:cxn modelId="{4840A650-1AF0-411D-B8E5-7203F373BF24}" srcId="{AB67C392-C1D1-4311-8303-233FF1271170}" destId="{8C416D39-0498-47F0-8BCC-B692559AEF70}" srcOrd="1" destOrd="0" parTransId="{2419FA17-3CF0-4314-A0C2-67DCE0432C2B}" sibTransId="{33B1BA23-B736-4CA2-A8EA-C9F513049D85}"/>
    <dgm:cxn modelId="{4A69620E-CA9D-42A4-9D6C-52DE168AA704}" srcId="{AB67C392-C1D1-4311-8303-233FF1271170}" destId="{2F83F8ED-205B-4CCD-82EA-7AEC7009B4FF}" srcOrd="2" destOrd="0" parTransId="{6CFF2ADD-7B49-4E21-8296-8137E83A72F9}" sibTransId="{FCE59DC3-CEB7-4614-A931-17C8E7FC86FA}"/>
    <dgm:cxn modelId="{6F8372C9-81E8-4A31-B73E-0FEF4A5DAC03}" type="presOf" srcId="{888A19B2-ECE5-4AEE-ACFD-8E704E3ED511}" destId="{952904AE-E7C8-4CA3-9D5A-61B0553DD92F}" srcOrd="0" destOrd="0" presId="urn:microsoft.com/office/officeart/2005/8/layout/radial6"/>
    <dgm:cxn modelId="{66BDB679-761D-46F6-937C-FE7B550E06C5}" type="presOf" srcId="{2F83F8ED-205B-4CCD-82EA-7AEC7009B4FF}" destId="{EA7CA750-9382-4E4D-B093-DDBEB363FE0C}" srcOrd="0" destOrd="0" presId="urn:microsoft.com/office/officeart/2005/8/layout/radial6"/>
    <dgm:cxn modelId="{D7D7FC38-4F12-4C87-B358-51F5CDBC8107}" type="presParOf" srcId="{F4FE1B42-1FD9-4EF9-A164-2D9A01D894AA}" destId="{69988098-4DD3-4CFF-BEDD-2875C04CECCD}" srcOrd="0" destOrd="0" presId="urn:microsoft.com/office/officeart/2005/8/layout/radial6"/>
    <dgm:cxn modelId="{5C0E1D7D-70FB-4F25-BA32-A2923866F57F}" type="presParOf" srcId="{F4FE1B42-1FD9-4EF9-A164-2D9A01D894AA}" destId="{A2C33D04-A5B8-44C8-8667-86A79AC7AC01}" srcOrd="1" destOrd="0" presId="urn:microsoft.com/office/officeart/2005/8/layout/radial6"/>
    <dgm:cxn modelId="{B6BDFFFC-5CF1-48DD-83E5-537C27A06641}" type="presParOf" srcId="{F4FE1B42-1FD9-4EF9-A164-2D9A01D894AA}" destId="{2176BF9C-F7F9-4446-8E9E-A75D2277DA86}" srcOrd="2" destOrd="0" presId="urn:microsoft.com/office/officeart/2005/8/layout/radial6"/>
    <dgm:cxn modelId="{2F60BE23-972F-48E4-8A53-5120A824F8AD}" type="presParOf" srcId="{F4FE1B42-1FD9-4EF9-A164-2D9A01D894AA}" destId="{952904AE-E7C8-4CA3-9D5A-61B0553DD92F}" srcOrd="3" destOrd="0" presId="urn:microsoft.com/office/officeart/2005/8/layout/radial6"/>
    <dgm:cxn modelId="{8DC78EED-2920-4CC9-AF71-B65D708E5809}" type="presParOf" srcId="{F4FE1B42-1FD9-4EF9-A164-2D9A01D894AA}" destId="{67336FE1-2465-4583-8851-86C7B09C1F50}" srcOrd="4" destOrd="0" presId="urn:microsoft.com/office/officeart/2005/8/layout/radial6"/>
    <dgm:cxn modelId="{5EDA102E-F4E6-40A3-964C-2AA0039A9F70}" type="presParOf" srcId="{F4FE1B42-1FD9-4EF9-A164-2D9A01D894AA}" destId="{4A100F53-9FCD-4C50-B2F7-27BEC0496328}" srcOrd="5" destOrd="0" presId="urn:microsoft.com/office/officeart/2005/8/layout/radial6"/>
    <dgm:cxn modelId="{3B270222-091C-4C90-9FB0-34C72AA70BF3}" type="presParOf" srcId="{F4FE1B42-1FD9-4EF9-A164-2D9A01D894AA}" destId="{1FB10BC1-7270-4759-B030-A00933E52694}" srcOrd="6" destOrd="0" presId="urn:microsoft.com/office/officeart/2005/8/layout/radial6"/>
    <dgm:cxn modelId="{BA36656E-F97C-4E2B-9D8F-39278BB0B55B}" type="presParOf" srcId="{F4FE1B42-1FD9-4EF9-A164-2D9A01D894AA}" destId="{EA7CA750-9382-4E4D-B093-DDBEB363FE0C}" srcOrd="7" destOrd="0" presId="urn:microsoft.com/office/officeart/2005/8/layout/radial6"/>
    <dgm:cxn modelId="{5DDFBE65-C8ED-438F-A120-F0418151C025}" type="presParOf" srcId="{F4FE1B42-1FD9-4EF9-A164-2D9A01D894AA}" destId="{67C912AC-734F-4176-B341-79F07A450ED5}" srcOrd="8" destOrd="0" presId="urn:microsoft.com/office/officeart/2005/8/layout/radial6"/>
    <dgm:cxn modelId="{E4C34684-796B-40D8-B07A-9E629586D6BB}" type="presParOf" srcId="{F4FE1B42-1FD9-4EF9-A164-2D9A01D894AA}" destId="{3A0A6AF6-E38D-4196-A334-8E984D473F06}" srcOrd="9" destOrd="0" presId="urn:microsoft.com/office/officeart/2005/8/layout/radial6"/>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90498DF5-50AF-424D-888A-FFF67FF9E309}"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A02F6C1B-76F8-4C74-9AC3-0B24CBF20A6C}">
      <dgm:prSet phldrT="[Text]" custT="1"/>
      <dgm:spPr/>
      <dgm:t>
        <a:bodyPr/>
        <a:lstStyle/>
        <a:p>
          <a:r>
            <a:rPr lang="en-AU" sz="1050">
              <a:latin typeface="Century Gothic" panose="020B0502020202020204" pitchFamily="34" charset="0"/>
            </a:rPr>
            <a:t>The jurisdiction decides to postpone the normal retirement age</a:t>
          </a:r>
          <a:endParaRPr lang="en-US" sz="1050">
            <a:latin typeface="Century Gothic" panose="020B0502020202020204" pitchFamily="34" charset="0"/>
          </a:endParaRPr>
        </a:p>
      </dgm:t>
    </dgm:pt>
    <dgm:pt modelId="{B741F26B-369B-445D-BBD6-4CFD6BBD72DC}" type="parTrans" cxnId="{BE22F03F-3023-4620-8660-D758CE5960B4}">
      <dgm:prSet/>
      <dgm:spPr/>
      <dgm:t>
        <a:bodyPr/>
        <a:lstStyle/>
        <a:p>
          <a:endParaRPr lang="en-US" sz="1100">
            <a:latin typeface="Century Gothic" panose="020B0502020202020204" pitchFamily="34" charset="0"/>
          </a:endParaRPr>
        </a:p>
      </dgm:t>
    </dgm:pt>
    <dgm:pt modelId="{F6122B53-9A87-4200-A991-F5B191AF748B}" type="sibTrans" cxnId="{BE22F03F-3023-4620-8660-D758CE5960B4}">
      <dgm:prSet/>
      <dgm:spPr/>
      <dgm:t>
        <a:bodyPr/>
        <a:lstStyle/>
        <a:p>
          <a:endParaRPr lang="en-US" sz="1100">
            <a:latin typeface="Century Gothic" panose="020B0502020202020204" pitchFamily="34" charset="0"/>
          </a:endParaRPr>
        </a:p>
      </dgm:t>
    </dgm:pt>
    <dgm:pt modelId="{8676BA9B-7A6F-4E90-BEFB-C708C9323875}">
      <dgm:prSet phldrT="[Text]" custT="1"/>
      <dgm:spPr/>
      <dgm:t>
        <a:bodyPr/>
        <a:lstStyle/>
        <a:p>
          <a:r>
            <a:rPr lang="en-AU" sz="1100">
              <a:latin typeface="Century Gothic" panose="020B0502020202020204" pitchFamily="34" charset="0"/>
            </a:rPr>
            <a:t>        Circumstances under which expected benefits might be decreased</a:t>
          </a:r>
          <a:endParaRPr lang="en-US" sz="1100">
            <a:latin typeface="Century Gothic" panose="020B0502020202020204" pitchFamily="34" charset="0"/>
          </a:endParaRPr>
        </a:p>
      </dgm:t>
    </dgm:pt>
    <dgm:pt modelId="{71648D5B-6487-41F8-95B9-EC0C4DF94354}" type="parTrans" cxnId="{74742793-2971-427A-A64D-95E543BE008A}">
      <dgm:prSet/>
      <dgm:spPr/>
      <dgm:t>
        <a:bodyPr/>
        <a:lstStyle/>
        <a:p>
          <a:endParaRPr lang="en-US" sz="1100">
            <a:latin typeface="Century Gothic" panose="020B0502020202020204" pitchFamily="34" charset="0"/>
          </a:endParaRPr>
        </a:p>
      </dgm:t>
    </dgm:pt>
    <dgm:pt modelId="{BB373898-9236-40BE-84F6-C9B9634515F5}" type="sibTrans" cxnId="{74742793-2971-427A-A64D-95E543BE008A}">
      <dgm:prSet/>
      <dgm:spPr/>
      <dgm:t>
        <a:bodyPr/>
        <a:lstStyle/>
        <a:p>
          <a:endParaRPr lang="en-US" sz="1100">
            <a:latin typeface="Century Gothic" panose="020B0502020202020204" pitchFamily="34" charset="0"/>
          </a:endParaRPr>
        </a:p>
      </dgm:t>
    </dgm:pt>
    <dgm:pt modelId="{A3435CF6-7611-486D-BF5C-4BEAADB15363}">
      <dgm:prSet phldrT="[Text]" custT="1"/>
      <dgm:spPr/>
      <dgm:t>
        <a:bodyPr/>
        <a:lstStyle/>
        <a:p>
          <a:r>
            <a:rPr lang="en-AU" sz="1050">
              <a:latin typeface="Century Gothic" panose="020B0502020202020204" pitchFamily="34" charset="0"/>
            </a:rPr>
            <a:t>Your salary has increased slower than expected</a:t>
          </a:r>
          <a:endParaRPr lang="en-US" sz="1050">
            <a:latin typeface="Century Gothic" panose="020B0502020202020204" pitchFamily="34" charset="0"/>
          </a:endParaRPr>
        </a:p>
      </dgm:t>
    </dgm:pt>
    <dgm:pt modelId="{4AF8EAB6-2783-48F5-BF74-9929AE72EA70}" type="parTrans" cxnId="{60977843-1C0A-4172-A48D-8A38D13CB028}">
      <dgm:prSet/>
      <dgm:spPr/>
      <dgm:t>
        <a:bodyPr/>
        <a:lstStyle/>
        <a:p>
          <a:endParaRPr lang="en-US" sz="1100">
            <a:latin typeface="Century Gothic" panose="020B0502020202020204" pitchFamily="34" charset="0"/>
          </a:endParaRPr>
        </a:p>
      </dgm:t>
    </dgm:pt>
    <dgm:pt modelId="{C5F58D66-1E46-4C6F-952E-2BDC4A9E1769}" type="sibTrans" cxnId="{60977843-1C0A-4172-A48D-8A38D13CB028}">
      <dgm:prSet/>
      <dgm:spPr/>
      <dgm:t>
        <a:bodyPr/>
        <a:lstStyle/>
        <a:p>
          <a:endParaRPr lang="en-US" sz="1100">
            <a:latin typeface="Century Gothic" panose="020B0502020202020204" pitchFamily="34" charset="0"/>
          </a:endParaRPr>
        </a:p>
      </dgm:t>
    </dgm:pt>
    <dgm:pt modelId="{D4049566-CB8C-4188-A2D2-CF181046D556}">
      <dgm:prSet phldrT="[Text]" custT="1"/>
      <dgm:spPr/>
      <dgm:t>
        <a:bodyPr/>
        <a:lstStyle/>
        <a:p>
          <a:r>
            <a:rPr lang="en-AU" sz="1100">
              <a:latin typeface="Century Gothic" panose="020B0502020202020204" pitchFamily="34" charset="0"/>
            </a:rPr>
            <a:t>       Circumstances under which expected benefits might be increased</a:t>
          </a:r>
          <a:endParaRPr lang="en-US" sz="1100">
            <a:latin typeface="Century Gothic" panose="020B0502020202020204" pitchFamily="34" charset="0"/>
          </a:endParaRPr>
        </a:p>
      </dgm:t>
    </dgm:pt>
    <dgm:pt modelId="{7762E202-FB0F-4813-B57A-8A9804A8DE28}" type="sibTrans" cxnId="{698D1CA5-4DC0-459D-A7DB-2161FDB396C1}">
      <dgm:prSet/>
      <dgm:spPr/>
      <dgm:t>
        <a:bodyPr/>
        <a:lstStyle/>
        <a:p>
          <a:endParaRPr lang="en-US" sz="1100">
            <a:latin typeface="Century Gothic" panose="020B0502020202020204" pitchFamily="34" charset="0"/>
          </a:endParaRPr>
        </a:p>
      </dgm:t>
    </dgm:pt>
    <dgm:pt modelId="{B682C405-5903-4244-B25B-20979616282E}" type="parTrans" cxnId="{698D1CA5-4DC0-459D-A7DB-2161FDB396C1}">
      <dgm:prSet/>
      <dgm:spPr/>
      <dgm:t>
        <a:bodyPr/>
        <a:lstStyle/>
        <a:p>
          <a:endParaRPr lang="en-US" sz="1100">
            <a:latin typeface="Century Gothic" panose="020B0502020202020204" pitchFamily="34" charset="0"/>
          </a:endParaRPr>
        </a:p>
      </dgm:t>
    </dgm:pt>
    <dgm:pt modelId="{7B81D789-BB48-4DC9-BA84-467A5824B26D}">
      <dgm:prSet custT="1"/>
      <dgm:spPr/>
      <dgm:t>
        <a:bodyPr/>
        <a:lstStyle/>
        <a:p>
          <a:r>
            <a:rPr lang="en-AU" sz="1050">
              <a:latin typeface="Century Gothic" panose="020B0502020202020204" pitchFamily="34" charset="0"/>
            </a:rPr>
            <a:t>The normal retirement benefit is reformed to annuity rather than lump sum</a:t>
          </a:r>
          <a:endParaRPr lang="en-US" sz="1050">
            <a:latin typeface="Century Gothic" panose="020B0502020202020204" pitchFamily="34" charset="0"/>
          </a:endParaRPr>
        </a:p>
      </dgm:t>
    </dgm:pt>
    <dgm:pt modelId="{3EC87FCC-4F2A-47AE-BB40-150996D9A981}" type="parTrans" cxnId="{F69299CC-B396-4577-ACB8-932197F63672}">
      <dgm:prSet/>
      <dgm:spPr/>
      <dgm:t>
        <a:bodyPr/>
        <a:lstStyle/>
        <a:p>
          <a:endParaRPr lang="en-US" sz="1100">
            <a:latin typeface="Century Gothic" panose="020B0502020202020204" pitchFamily="34" charset="0"/>
          </a:endParaRPr>
        </a:p>
      </dgm:t>
    </dgm:pt>
    <dgm:pt modelId="{7AEC8135-B49C-42F0-8CE3-0BD5934162C5}" type="sibTrans" cxnId="{F69299CC-B396-4577-ACB8-932197F63672}">
      <dgm:prSet/>
      <dgm:spPr/>
      <dgm:t>
        <a:bodyPr/>
        <a:lstStyle/>
        <a:p>
          <a:endParaRPr lang="en-US" sz="1100">
            <a:latin typeface="Century Gothic" panose="020B0502020202020204" pitchFamily="34" charset="0"/>
          </a:endParaRPr>
        </a:p>
      </dgm:t>
    </dgm:pt>
    <dgm:pt modelId="{5CF906CC-E743-4A54-A485-6FC7F61EC05B}">
      <dgm:prSet custT="1"/>
      <dgm:spPr/>
      <dgm:t>
        <a:bodyPr/>
        <a:lstStyle/>
        <a:p>
          <a:r>
            <a:rPr lang="en-AU" sz="1050">
              <a:latin typeface="Century Gothic" panose="020B0502020202020204" pitchFamily="34" charset="0"/>
            </a:rPr>
            <a:t>Your final number of years of service is shorter than expected for the reason you become temporary or permanent disabled</a:t>
          </a:r>
          <a:endParaRPr lang="en-US" sz="1050">
            <a:latin typeface="Century Gothic" panose="020B0502020202020204" pitchFamily="34" charset="0"/>
          </a:endParaRPr>
        </a:p>
      </dgm:t>
    </dgm:pt>
    <dgm:pt modelId="{DEBF4733-D3C2-4107-8876-8BAD091506F3}" type="parTrans" cxnId="{F084D6BF-FF83-4029-A5DB-689B50DF21DD}">
      <dgm:prSet/>
      <dgm:spPr/>
      <dgm:t>
        <a:bodyPr/>
        <a:lstStyle/>
        <a:p>
          <a:endParaRPr lang="en-US" sz="1100">
            <a:latin typeface="Century Gothic" panose="020B0502020202020204" pitchFamily="34" charset="0"/>
          </a:endParaRPr>
        </a:p>
      </dgm:t>
    </dgm:pt>
    <dgm:pt modelId="{D4C79362-790D-40D8-A1F8-184104C70DF2}" type="sibTrans" cxnId="{F084D6BF-FF83-4029-A5DB-689B50DF21DD}">
      <dgm:prSet/>
      <dgm:spPr/>
      <dgm:t>
        <a:bodyPr/>
        <a:lstStyle/>
        <a:p>
          <a:endParaRPr lang="en-US" sz="1100">
            <a:latin typeface="Century Gothic" panose="020B0502020202020204" pitchFamily="34" charset="0"/>
          </a:endParaRPr>
        </a:p>
      </dgm:t>
    </dgm:pt>
    <dgm:pt modelId="{80FF523F-BB94-4DB4-A248-6A205DC0A4F2}">
      <dgm:prSet custT="1"/>
      <dgm:spPr/>
      <dgm:t>
        <a:bodyPr/>
        <a:lstStyle/>
        <a:p>
          <a:r>
            <a:rPr lang="en-AU" sz="1050">
              <a:latin typeface="Century Gothic" panose="020B0502020202020204" pitchFamily="34" charset="0"/>
            </a:rPr>
            <a:t>The failure of the employer</a:t>
          </a:r>
          <a:endParaRPr lang="en-US" sz="1050">
            <a:latin typeface="Century Gothic" panose="020B0502020202020204" pitchFamily="34" charset="0"/>
          </a:endParaRPr>
        </a:p>
      </dgm:t>
    </dgm:pt>
    <dgm:pt modelId="{75F351BC-421B-450E-84C9-AA05BEE68FB1}" type="parTrans" cxnId="{B559CF20-8047-4825-82AC-86C85138013D}">
      <dgm:prSet/>
      <dgm:spPr/>
      <dgm:t>
        <a:bodyPr/>
        <a:lstStyle/>
        <a:p>
          <a:endParaRPr lang="en-US" sz="1100">
            <a:latin typeface="Century Gothic" panose="020B0502020202020204" pitchFamily="34" charset="0"/>
          </a:endParaRPr>
        </a:p>
      </dgm:t>
    </dgm:pt>
    <dgm:pt modelId="{0B1A7644-206E-4ACA-BCAB-10950E580581}" type="sibTrans" cxnId="{B559CF20-8047-4825-82AC-86C85138013D}">
      <dgm:prSet/>
      <dgm:spPr/>
      <dgm:t>
        <a:bodyPr/>
        <a:lstStyle/>
        <a:p>
          <a:endParaRPr lang="en-US" sz="1100">
            <a:latin typeface="Century Gothic" panose="020B0502020202020204" pitchFamily="34" charset="0"/>
          </a:endParaRPr>
        </a:p>
      </dgm:t>
    </dgm:pt>
    <dgm:pt modelId="{7864B16C-2A3F-4825-96FD-2FB12C2BBC73}">
      <dgm:prSet phldrT="[Text]" custT="1"/>
      <dgm:spPr/>
      <dgm:t>
        <a:bodyPr/>
        <a:lstStyle/>
        <a:p>
          <a:r>
            <a:rPr lang="en-AU" sz="1050">
              <a:latin typeface="Century Gothic" panose="020B0502020202020204" pitchFamily="34" charset="0"/>
            </a:rPr>
            <a:t>Instead of the final salary, the retirement benefit is based on the average ordinary earnings in the past 5 years prior to retirement.  </a:t>
          </a:r>
          <a:endParaRPr lang="en-US" sz="1050">
            <a:latin typeface="Century Gothic" panose="020B0502020202020204" pitchFamily="34" charset="0"/>
          </a:endParaRPr>
        </a:p>
      </dgm:t>
    </dgm:pt>
    <dgm:pt modelId="{90109810-30F8-4885-9978-E8DC3329A413}" type="parTrans" cxnId="{FEF6D5CB-512A-4E02-84F2-518EE36E3E84}">
      <dgm:prSet/>
      <dgm:spPr/>
      <dgm:t>
        <a:bodyPr/>
        <a:lstStyle/>
        <a:p>
          <a:endParaRPr lang="en-US"/>
        </a:p>
      </dgm:t>
    </dgm:pt>
    <dgm:pt modelId="{17BCD75D-0909-4FC2-A330-A5979F23B557}" type="sibTrans" cxnId="{FEF6D5CB-512A-4E02-84F2-518EE36E3E84}">
      <dgm:prSet/>
      <dgm:spPr/>
      <dgm:t>
        <a:bodyPr/>
        <a:lstStyle/>
        <a:p>
          <a:endParaRPr lang="en-US"/>
        </a:p>
      </dgm:t>
    </dgm:pt>
    <dgm:pt modelId="{2AF0BBC9-F914-4A12-B83B-E30A17A24BEA}" type="pres">
      <dgm:prSet presAssocID="{90498DF5-50AF-424D-888A-FFF67FF9E309}" presName="linear" presStyleCnt="0">
        <dgm:presLayoutVars>
          <dgm:animLvl val="lvl"/>
          <dgm:resizeHandles val="exact"/>
        </dgm:presLayoutVars>
      </dgm:prSet>
      <dgm:spPr/>
    </dgm:pt>
    <dgm:pt modelId="{35CB635F-73B6-4C8F-854E-5BC87C583B81}" type="pres">
      <dgm:prSet presAssocID="{D4049566-CB8C-4188-A2D2-CF181046D556}" presName="parentText" presStyleLbl="node1" presStyleIdx="0" presStyleCnt="2" custScaleY="32692" custLinFactNeighborX="347" custLinFactNeighborY="-28999">
        <dgm:presLayoutVars>
          <dgm:chMax val="0"/>
          <dgm:bulletEnabled val="1"/>
        </dgm:presLayoutVars>
      </dgm:prSet>
      <dgm:spPr/>
      <dgm:t>
        <a:bodyPr/>
        <a:lstStyle/>
        <a:p>
          <a:endParaRPr lang="en-US"/>
        </a:p>
      </dgm:t>
    </dgm:pt>
    <dgm:pt modelId="{475D714E-D01D-401E-A105-3EBD219F3003}" type="pres">
      <dgm:prSet presAssocID="{D4049566-CB8C-4188-A2D2-CF181046D556}" presName="childText" presStyleLbl="revTx" presStyleIdx="0" presStyleCnt="2" custScaleY="82707" custLinFactNeighborY="-392">
        <dgm:presLayoutVars>
          <dgm:bulletEnabled val="1"/>
        </dgm:presLayoutVars>
      </dgm:prSet>
      <dgm:spPr/>
      <dgm:t>
        <a:bodyPr/>
        <a:lstStyle/>
        <a:p>
          <a:endParaRPr lang="en-US"/>
        </a:p>
      </dgm:t>
    </dgm:pt>
    <dgm:pt modelId="{C5F4D4F7-071E-4943-B9C3-D5F0EC7444B1}" type="pres">
      <dgm:prSet presAssocID="{8676BA9B-7A6F-4E90-BEFB-C708C9323875}" presName="parentText" presStyleLbl="node1" presStyleIdx="1" presStyleCnt="2" custScaleY="32692" custLinFactNeighborY="-20260">
        <dgm:presLayoutVars>
          <dgm:chMax val="0"/>
          <dgm:bulletEnabled val="1"/>
        </dgm:presLayoutVars>
      </dgm:prSet>
      <dgm:spPr/>
      <dgm:t>
        <a:bodyPr/>
        <a:lstStyle/>
        <a:p>
          <a:endParaRPr lang="en-US"/>
        </a:p>
      </dgm:t>
    </dgm:pt>
    <dgm:pt modelId="{AEAA4231-EB15-4C1F-A5F2-503D0BE88CB9}" type="pres">
      <dgm:prSet presAssocID="{8676BA9B-7A6F-4E90-BEFB-C708C9323875}" presName="childText" presStyleLbl="revTx" presStyleIdx="1" presStyleCnt="2" custScaleY="97836" custLinFactNeighborY="-22403">
        <dgm:presLayoutVars>
          <dgm:bulletEnabled val="1"/>
        </dgm:presLayoutVars>
      </dgm:prSet>
      <dgm:spPr/>
      <dgm:t>
        <a:bodyPr/>
        <a:lstStyle/>
        <a:p>
          <a:endParaRPr lang="en-US"/>
        </a:p>
      </dgm:t>
    </dgm:pt>
  </dgm:ptLst>
  <dgm:cxnLst>
    <dgm:cxn modelId="{61358AC4-D329-471C-9385-A4AD2406DE8E}" type="presOf" srcId="{A02F6C1B-76F8-4C74-9AC3-0B24CBF20A6C}" destId="{475D714E-D01D-401E-A105-3EBD219F3003}" srcOrd="0" destOrd="0" presId="urn:microsoft.com/office/officeart/2005/8/layout/vList2"/>
    <dgm:cxn modelId="{D42E4A1D-32F5-4000-A5BF-BAEE924804D3}" type="presOf" srcId="{7B81D789-BB48-4DC9-BA84-467A5824B26D}" destId="{475D714E-D01D-401E-A105-3EBD219F3003}" srcOrd="0" destOrd="1" presId="urn:microsoft.com/office/officeart/2005/8/layout/vList2"/>
    <dgm:cxn modelId="{EBA039EF-1E4F-455B-A344-488859823887}" type="presOf" srcId="{90498DF5-50AF-424D-888A-FFF67FF9E309}" destId="{2AF0BBC9-F914-4A12-B83B-E30A17A24BEA}" srcOrd="0" destOrd="0" presId="urn:microsoft.com/office/officeart/2005/8/layout/vList2"/>
    <dgm:cxn modelId="{B8910DBE-E97C-4E45-A7B2-4EC0D4BD5E26}" type="presOf" srcId="{80FF523F-BB94-4DB4-A248-6A205DC0A4F2}" destId="{AEAA4231-EB15-4C1F-A5F2-503D0BE88CB9}" srcOrd="0" destOrd="3" presId="urn:microsoft.com/office/officeart/2005/8/layout/vList2"/>
    <dgm:cxn modelId="{F084D6BF-FF83-4029-A5DB-689B50DF21DD}" srcId="{8676BA9B-7A6F-4E90-BEFB-C708C9323875}" destId="{5CF906CC-E743-4A54-A485-6FC7F61EC05B}" srcOrd="2" destOrd="0" parTransId="{DEBF4733-D3C2-4107-8876-8BAD091506F3}" sibTransId="{D4C79362-790D-40D8-A1F8-184104C70DF2}"/>
    <dgm:cxn modelId="{698D1CA5-4DC0-459D-A7DB-2161FDB396C1}" srcId="{90498DF5-50AF-424D-888A-FFF67FF9E309}" destId="{D4049566-CB8C-4188-A2D2-CF181046D556}" srcOrd="0" destOrd="0" parTransId="{B682C405-5903-4244-B25B-20979616282E}" sibTransId="{7762E202-FB0F-4813-B57A-8A9804A8DE28}"/>
    <dgm:cxn modelId="{BE22F03F-3023-4620-8660-D758CE5960B4}" srcId="{D4049566-CB8C-4188-A2D2-CF181046D556}" destId="{A02F6C1B-76F8-4C74-9AC3-0B24CBF20A6C}" srcOrd="0" destOrd="0" parTransId="{B741F26B-369B-445D-BBD6-4CFD6BBD72DC}" sibTransId="{F6122B53-9A87-4200-A991-F5B191AF748B}"/>
    <dgm:cxn modelId="{8DB877A3-23CA-4C76-BBF0-9F6E1056B3B4}" type="presOf" srcId="{5CF906CC-E743-4A54-A485-6FC7F61EC05B}" destId="{AEAA4231-EB15-4C1F-A5F2-503D0BE88CB9}" srcOrd="0" destOrd="2" presId="urn:microsoft.com/office/officeart/2005/8/layout/vList2"/>
    <dgm:cxn modelId="{60977843-1C0A-4172-A48D-8A38D13CB028}" srcId="{8676BA9B-7A6F-4E90-BEFB-C708C9323875}" destId="{A3435CF6-7611-486D-BF5C-4BEAADB15363}" srcOrd="1" destOrd="0" parTransId="{4AF8EAB6-2783-48F5-BF74-9929AE72EA70}" sibTransId="{C5F58D66-1E46-4C6F-952E-2BDC4A9E1769}"/>
    <dgm:cxn modelId="{25DE9E81-1376-4DB7-BF10-D9CC576B7D56}" type="presOf" srcId="{7864B16C-2A3F-4825-96FD-2FB12C2BBC73}" destId="{AEAA4231-EB15-4C1F-A5F2-503D0BE88CB9}" srcOrd="0" destOrd="0" presId="urn:microsoft.com/office/officeart/2005/8/layout/vList2"/>
    <dgm:cxn modelId="{F69299CC-B396-4577-ACB8-932197F63672}" srcId="{D4049566-CB8C-4188-A2D2-CF181046D556}" destId="{7B81D789-BB48-4DC9-BA84-467A5824B26D}" srcOrd="1" destOrd="0" parTransId="{3EC87FCC-4F2A-47AE-BB40-150996D9A981}" sibTransId="{7AEC8135-B49C-42F0-8CE3-0BD5934162C5}"/>
    <dgm:cxn modelId="{FEF6D5CB-512A-4E02-84F2-518EE36E3E84}" srcId="{8676BA9B-7A6F-4E90-BEFB-C708C9323875}" destId="{7864B16C-2A3F-4825-96FD-2FB12C2BBC73}" srcOrd="0" destOrd="0" parTransId="{90109810-30F8-4885-9978-E8DC3329A413}" sibTransId="{17BCD75D-0909-4FC2-A330-A5979F23B557}"/>
    <dgm:cxn modelId="{1A8070F1-19FF-424F-863D-18CD3C1998E5}" type="presOf" srcId="{D4049566-CB8C-4188-A2D2-CF181046D556}" destId="{35CB635F-73B6-4C8F-854E-5BC87C583B81}" srcOrd="0" destOrd="0" presId="urn:microsoft.com/office/officeart/2005/8/layout/vList2"/>
    <dgm:cxn modelId="{EFB2A88C-DF52-4B46-9BA4-BEB3C629C007}" type="presOf" srcId="{A3435CF6-7611-486D-BF5C-4BEAADB15363}" destId="{AEAA4231-EB15-4C1F-A5F2-503D0BE88CB9}" srcOrd="0" destOrd="1" presId="urn:microsoft.com/office/officeart/2005/8/layout/vList2"/>
    <dgm:cxn modelId="{BC9403AC-DD16-44C9-B771-DC827DA26C10}" type="presOf" srcId="{8676BA9B-7A6F-4E90-BEFB-C708C9323875}" destId="{C5F4D4F7-071E-4943-B9C3-D5F0EC7444B1}" srcOrd="0" destOrd="0" presId="urn:microsoft.com/office/officeart/2005/8/layout/vList2"/>
    <dgm:cxn modelId="{B559CF20-8047-4825-82AC-86C85138013D}" srcId="{8676BA9B-7A6F-4E90-BEFB-C708C9323875}" destId="{80FF523F-BB94-4DB4-A248-6A205DC0A4F2}" srcOrd="3" destOrd="0" parTransId="{75F351BC-421B-450E-84C9-AA05BEE68FB1}" sibTransId="{0B1A7644-206E-4ACA-BCAB-10950E580581}"/>
    <dgm:cxn modelId="{74742793-2971-427A-A64D-95E543BE008A}" srcId="{90498DF5-50AF-424D-888A-FFF67FF9E309}" destId="{8676BA9B-7A6F-4E90-BEFB-C708C9323875}" srcOrd="1" destOrd="0" parTransId="{71648D5B-6487-41F8-95B9-EC0C4DF94354}" sibTransId="{BB373898-9236-40BE-84F6-C9B9634515F5}"/>
    <dgm:cxn modelId="{9967D5EC-B96B-4D49-B187-226D504AF75F}" type="presParOf" srcId="{2AF0BBC9-F914-4A12-B83B-E30A17A24BEA}" destId="{35CB635F-73B6-4C8F-854E-5BC87C583B81}" srcOrd="0" destOrd="0" presId="urn:microsoft.com/office/officeart/2005/8/layout/vList2"/>
    <dgm:cxn modelId="{4A8EA2F2-FC06-40CB-9EE8-A48B27A965CF}" type="presParOf" srcId="{2AF0BBC9-F914-4A12-B83B-E30A17A24BEA}" destId="{475D714E-D01D-401E-A105-3EBD219F3003}" srcOrd="1" destOrd="0" presId="urn:microsoft.com/office/officeart/2005/8/layout/vList2"/>
    <dgm:cxn modelId="{7E3F3380-31CB-4683-A1F3-B69B13C5A7B4}" type="presParOf" srcId="{2AF0BBC9-F914-4A12-B83B-E30A17A24BEA}" destId="{C5F4D4F7-071E-4943-B9C3-D5F0EC7444B1}" srcOrd="2" destOrd="0" presId="urn:microsoft.com/office/officeart/2005/8/layout/vList2"/>
    <dgm:cxn modelId="{113EFF7D-772B-4ED5-A4F9-E6A0A8B823BC}" type="presParOf" srcId="{2AF0BBC9-F914-4A12-B83B-E30A17A24BEA}" destId="{AEAA4231-EB15-4C1F-A5F2-503D0BE88CB9}" srcOrd="3" destOrd="0" presId="urn:microsoft.com/office/officeart/2005/8/layout/vList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0A6AF6-E38D-4196-A334-8E984D473F06}">
      <dsp:nvSpPr>
        <dsp:cNvPr id="0" name=""/>
        <dsp:cNvSpPr/>
      </dsp:nvSpPr>
      <dsp:spPr>
        <a:xfrm>
          <a:off x="535261" y="334025"/>
          <a:ext cx="1939376" cy="1939376"/>
        </a:xfrm>
        <a:prstGeom prst="blockArc">
          <a:avLst>
            <a:gd name="adj1" fmla="val 9000000"/>
            <a:gd name="adj2" fmla="val 16200000"/>
            <a:gd name="adj3" fmla="val 4637"/>
          </a:avLst>
        </a:prstGeom>
        <a:solidFill>
          <a:schemeClr val="bg2">
            <a:lumMod val="90000"/>
          </a:schemeClr>
        </a:solidFill>
        <a:ln>
          <a:noFill/>
        </a:ln>
        <a:effectLst/>
      </dsp:spPr>
      <dsp:style>
        <a:lnRef idx="0">
          <a:scrgbClr r="0" g="0" b="0"/>
        </a:lnRef>
        <a:fillRef idx="1">
          <a:scrgbClr r="0" g="0" b="0"/>
        </a:fillRef>
        <a:effectRef idx="0">
          <a:scrgbClr r="0" g="0" b="0"/>
        </a:effectRef>
        <a:fontRef idx="minor">
          <a:schemeClr val="lt1"/>
        </a:fontRef>
      </dsp:style>
    </dsp:sp>
    <dsp:sp modelId="{1FB10BC1-7270-4759-B030-A00933E52694}">
      <dsp:nvSpPr>
        <dsp:cNvPr id="0" name=""/>
        <dsp:cNvSpPr/>
      </dsp:nvSpPr>
      <dsp:spPr>
        <a:xfrm>
          <a:off x="535261" y="334025"/>
          <a:ext cx="1939376" cy="1939376"/>
        </a:xfrm>
        <a:prstGeom prst="blockArc">
          <a:avLst>
            <a:gd name="adj1" fmla="val 1800000"/>
            <a:gd name="adj2" fmla="val 9000000"/>
            <a:gd name="adj3" fmla="val 4637"/>
          </a:avLst>
        </a:prstGeom>
        <a:solidFill>
          <a:schemeClr val="bg2">
            <a:lumMod val="90000"/>
          </a:schemeClr>
        </a:solidFill>
        <a:ln>
          <a:noFill/>
        </a:ln>
        <a:effectLst/>
      </dsp:spPr>
      <dsp:style>
        <a:lnRef idx="0">
          <a:scrgbClr r="0" g="0" b="0"/>
        </a:lnRef>
        <a:fillRef idx="1">
          <a:scrgbClr r="0" g="0" b="0"/>
        </a:fillRef>
        <a:effectRef idx="0">
          <a:scrgbClr r="0" g="0" b="0"/>
        </a:effectRef>
        <a:fontRef idx="minor">
          <a:schemeClr val="lt1"/>
        </a:fontRef>
      </dsp:style>
    </dsp:sp>
    <dsp:sp modelId="{952904AE-E7C8-4CA3-9D5A-61B0553DD92F}">
      <dsp:nvSpPr>
        <dsp:cNvPr id="0" name=""/>
        <dsp:cNvSpPr/>
      </dsp:nvSpPr>
      <dsp:spPr>
        <a:xfrm>
          <a:off x="535261" y="334025"/>
          <a:ext cx="1939376" cy="1939376"/>
        </a:xfrm>
        <a:prstGeom prst="blockArc">
          <a:avLst>
            <a:gd name="adj1" fmla="val 16200000"/>
            <a:gd name="adj2" fmla="val 1800000"/>
            <a:gd name="adj3" fmla="val 4637"/>
          </a:avLst>
        </a:prstGeom>
        <a:solidFill>
          <a:schemeClr val="bg2">
            <a:lumMod val="90000"/>
          </a:schemeClr>
        </a:solidFill>
        <a:ln>
          <a:noFill/>
        </a:ln>
        <a:effectLst/>
      </dsp:spPr>
      <dsp:style>
        <a:lnRef idx="0">
          <a:scrgbClr r="0" g="0" b="0"/>
        </a:lnRef>
        <a:fillRef idx="1">
          <a:scrgbClr r="0" g="0" b="0"/>
        </a:fillRef>
        <a:effectRef idx="0">
          <a:scrgbClr r="0" g="0" b="0"/>
        </a:effectRef>
        <a:fontRef idx="minor">
          <a:schemeClr val="lt1"/>
        </a:fontRef>
      </dsp:style>
    </dsp:sp>
    <dsp:sp modelId="{69988098-4DD3-4CFF-BEDD-2875C04CECCD}">
      <dsp:nvSpPr>
        <dsp:cNvPr id="0" name=""/>
        <dsp:cNvSpPr/>
      </dsp:nvSpPr>
      <dsp:spPr>
        <a:xfrm>
          <a:off x="1042684" y="834439"/>
          <a:ext cx="924530" cy="924530"/>
        </a:xfrm>
        <a:prstGeom prst="ellipse">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AU" sz="1100" kern="1200">
              <a:latin typeface="Century Gothic" panose="020B0502020202020204" pitchFamily="34" charset="0"/>
            </a:rPr>
            <a:t>Benefit </a:t>
          </a:r>
          <a:endParaRPr lang="en-US" sz="1100" kern="1200">
            <a:latin typeface="Century Gothic" panose="020B0502020202020204" pitchFamily="34" charset="0"/>
          </a:endParaRPr>
        </a:p>
      </dsp:txBody>
      <dsp:txXfrm>
        <a:off x="1178078" y="969833"/>
        <a:ext cx="653742" cy="653742"/>
      </dsp:txXfrm>
    </dsp:sp>
    <dsp:sp modelId="{A2C33D04-A5B8-44C8-8667-86A79AC7AC01}">
      <dsp:nvSpPr>
        <dsp:cNvPr id="0" name=""/>
        <dsp:cNvSpPr/>
      </dsp:nvSpPr>
      <dsp:spPr>
        <a:xfrm>
          <a:off x="1105660" y="-42783"/>
          <a:ext cx="798579" cy="798579"/>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AU" sz="1000" kern="1200">
              <a:latin typeface="Century Gothic" panose="020B0502020202020204" pitchFamily="34" charset="0"/>
            </a:rPr>
            <a:t>Final ordinary earnings</a:t>
          </a:r>
          <a:endParaRPr lang="en-US" sz="1000" kern="1200">
            <a:latin typeface="Century Gothic" panose="020B0502020202020204" pitchFamily="34" charset="0"/>
          </a:endParaRPr>
        </a:p>
      </dsp:txBody>
      <dsp:txXfrm>
        <a:off x="1222609" y="74166"/>
        <a:ext cx="564681" cy="564681"/>
      </dsp:txXfrm>
    </dsp:sp>
    <dsp:sp modelId="{67336FE1-2465-4583-8851-86C7B09C1F50}">
      <dsp:nvSpPr>
        <dsp:cNvPr id="0" name=""/>
        <dsp:cNvSpPr/>
      </dsp:nvSpPr>
      <dsp:spPr>
        <a:xfrm>
          <a:off x="1925965" y="1378027"/>
          <a:ext cx="798579" cy="798579"/>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AU" sz="1000" kern="1200">
              <a:latin typeface="Century Gothic" panose="020B0502020202020204" pitchFamily="34" charset="0"/>
            </a:rPr>
            <a:t>Accrue rate</a:t>
          </a:r>
          <a:endParaRPr lang="en-US" sz="1000" kern="1200">
            <a:latin typeface="Century Gothic" panose="020B0502020202020204" pitchFamily="34" charset="0"/>
          </a:endParaRPr>
        </a:p>
      </dsp:txBody>
      <dsp:txXfrm>
        <a:off x="2042914" y="1494976"/>
        <a:ext cx="564681" cy="564681"/>
      </dsp:txXfrm>
    </dsp:sp>
    <dsp:sp modelId="{EA7CA750-9382-4E4D-B093-DDBEB363FE0C}">
      <dsp:nvSpPr>
        <dsp:cNvPr id="0" name=""/>
        <dsp:cNvSpPr/>
      </dsp:nvSpPr>
      <dsp:spPr>
        <a:xfrm>
          <a:off x="285354" y="1378027"/>
          <a:ext cx="798579" cy="798579"/>
        </a:xfrm>
        <a:prstGeom prst="ellipse">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AU" sz="1000" kern="1200">
              <a:latin typeface="Century Gothic" panose="020B0502020202020204" pitchFamily="34" charset="0"/>
            </a:rPr>
            <a:t>Period of service</a:t>
          </a:r>
          <a:endParaRPr lang="en-US" sz="1000" kern="1200">
            <a:latin typeface="Century Gothic" panose="020B0502020202020204" pitchFamily="34" charset="0"/>
          </a:endParaRPr>
        </a:p>
      </dsp:txBody>
      <dsp:txXfrm>
        <a:off x="402303" y="1494976"/>
        <a:ext cx="564681" cy="5646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B635F-73B6-4C8F-854E-5BC87C583B81}">
      <dsp:nvSpPr>
        <dsp:cNvPr id="0" name=""/>
        <dsp:cNvSpPr/>
      </dsp:nvSpPr>
      <dsp:spPr>
        <a:xfrm>
          <a:off x="0" y="0"/>
          <a:ext cx="5514975" cy="2995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AU" sz="1100" kern="1200">
              <a:latin typeface="Century Gothic" panose="020B0502020202020204" pitchFamily="34" charset="0"/>
            </a:rPr>
            <a:t>       Circumstances under which expected benefits might be increased</a:t>
          </a:r>
          <a:endParaRPr lang="en-US" sz="1100" kern="1200">
            <a:latin typeface="Century Gothic" panose="020B0502020202020204" pitchFamily="34" charset="0"/>
          </a:endParaRPr>
        </a:p>
      </dsp:txBody>
      <dsp:txXfrm>
        <a:off x="14624" y="14624"/>
        <a:ext cx="5485727" cy="270336"/>
      </dsp:txXfrm>
    </dsp:sp>
    <dsp:sp modelId="{475D714E-D01D-401E-A105-3EBD219F3003}">
      <dsp:nvSpPr>
        <dsp:cNvPr id="0" name=""/>
        <dsp:cNvSpPr/>
      </dsp:nvSpPr>
      <dsp:spPr>
        <a:xfrm>
          <a:off x="0" y="318010"/>
          <a:ext cx="5514975" cy="6704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5100" tIns="13970" rIns="78232" bIns="13970" numCol="1" spcCol="1270" anchor="t" anchorCtr="0">
          <a:noAutofit/>
        </a:bodyPr>
        <a:lstStyle/>
        <a:p>
          <a:pPr marL="57150" lvl="1" indent="-57150" algn="l" defTabSz="466725">
            <a:lnSpc>
              <a:spcPct val="90000"/>
            </a:lnSpc>
            <a:spcBef>
              <a:spcPct val="0"/>
            </a:spcBef>
            <a:spcAft>
              <a:spcPct val="20000"/>
            </a:spcAft>
            <a:buChar char="••"/>
          </a:pPr>
          <a:r>
            <a:rPr lang="en-AU" sz="1050" kern="1200">
              <a:latin typeface="Century Gothic" panose="020B0502020202020204" pitchFamily="34" charset="0"/>
            </a:rPr>
            <a:t>The jurisdiction decides to postpone the normal retirement age</a:t>
          </a:r>
          <a:endParaRPr lang="en-US" sz="1050" kern="1200">
            <a:latin typeface="Century Gothic" panose="020B0502020202020204" pitchFamily="34" charset="0"/>
          </a:endParaRPr>
        </a:p>
        <a:p>
          <a:pPr marL="57150" lvl="1" indent="-57150" algn="l" defTabSz="466725">
            <a:lnSpc>
              <a:spcPct val="90000"/>
            </a:lnSpc>
            <a:spcBef>
              <a:spcPct val="0"/>
            </a:spcBef>
            <a:spcAft>
              <a:spcPct val="20000"/>
            </a:spcAft>
            <a:buChar char="••"/>
          </a:pPr>
          <a:r>
            <a:rPr lang="en-AU" sz="1050" kern="1200">
              <a:latin typeface="Century Gothic" panose="020B0502020202020204" pitchFamily="34" charset="0"/>
            </a:rPr>
            <a:t>The normal retirement benefit is reformed to annuity rather than lump sum</a:t>
          </a:r>
          <a:endParaRPr lang="en-US" sz="1050" kern="1200">
            <a:latin typeface="Century Gothic" panose="020B0502020202020204" pitchFamily="34" charset="0"/>
          </a:endParaRPr>
        </a:p>
      </dsp:txBody>
      <dsp:txXfrm>
        <a:off x="0" y="318010"/>
        <a:ext cx="5514975" cy="670462"/>
      </dsp:txXfrm>
    </dsp:sp>
    <dsp:sp modelId="{C5F4D4F7-071E-4943-B9C3-D5F0EC7444B1}">
      <dsp:nvSpPr>
        <dsp:cNvPr id="0" name=""/>
        <dsp:cNvSpPr/>
      </dsp:nvSpPr>
      <dsp:spPr>
        <a:xfrm>
          <a:off x="0" y="786768"/>
          <a:ext cx="5514975" cy="2995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AU" sz="1100" kern="1200">
              <a:latin typeface="Century Gothic" panose="020B0502020202020204" pitchFamily="34" charset="0"/>
            </a:rPr>
            <a:t>        Circumstances under which expected benefits might be decreased</a:t>
          </a:r>
          <a:endParaRPr lang="en-US" sz="1100" kern="1200">
            <a:latin typeface="Century Gothic" panose="020B0502020202020204" pitchFamily="34" charset="0"/>
          </a:endParaRPr>
        </a:p>
      </dsp:txBody>
      <dsp:txXfrm>
        <a:off x="14624" y="801392"/>
        <a:ext cx="5485727" cy="270336"/>
      </dsp:txXfrm>
    </dsp:sp>
    <dsp:sp modelId="{AEAA4231-EB15-4C1F-A5F2-503D0BE88CB9}">
      <dsp:nvSpPr>
        <dsp:cNvPr id="0" name=""/>
        <dsp:cNvSpPr/>
      </dsp:nvSpPr>
      <dsp:spPr>
        <a:xfrm>
          <a:off x="0" y="1086352"/>
          <a:ext cx="5514975" cy="9913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5100" tIns="13970" rIns="78232" bIns="13970" numCol="1" spcCol="1270" anchor="t" anchorCtr="0">
          <a:noAutofit/>
        </a:bodyPr>
        <a:lstStyle/>
        <a:p>
          <a:pPr marL="57150" lvl="1" indent="-57150" algn="l" defTabSz="466725">
            <a:lnSpc>
              <a:spcPct val="90000"/>
            </a:lnSpc>
            <a:spcBef>
              <a:spcPct val="0"/>
            </a:spcBef>
            <a:spcAft>
              <a:spcPct val="20000"/>
            </a:spcAft>
            <a:buChar char="••"/>
          </a:pPr>
          <a:r>
            <a:rPr lang="en-AU" sz="1050" kern="1200">
              <a:latin typeface="Century Gothic" panose="020B0502020202020204" pitchFamily="34" charset="0"/>
            </a:rPr>
            <a:t>Instead of the final salary, the retirement benefit is based on the average ordinary earnings in the past 5 years prior to retirement.  </a:t>
          </a:r>
          <a:endParaRPr lang="en-US" sz="1050" kern="1200">
            <a:latin typeface="Century Gothic" panose="020B0502020202020204" pitchFamily="34" charset="0"/>
          </a:endParaRPr>
        </a:p>
        <a:p>
          <a:pPr marL="57150" lvl="1" indent="-57150" algn="l" defTabSz="466725">
            <a:lnSpc>
              <a:spcPct val="90000"/>
            </a:lnSpc>
            <a:spcBef>
              <a:spcPct val="0"/>
            </a:spcBef>
            <a:spcAft>
              <a:spcPct val="20000"/>
            </a:spcAft>
            <a:buChar char="••"/>
          </a:pPr>
          <a:r>
            <a:rPr lang="en-AU" sz="1050" kern="1200">
              <a:latin typeface="Century Gothic" panose="020B0502020202020204" pitchFamily="34" charset="0"/>
            </a:rPr>
            <a:t>Your salary has increased slower than expected</a:t>
          </a:r>
          <a:endParaRPr lang="en-US" sz="1050" kern="1200">
            <a:latin typeface="Century Gothic" panose="020B0502020202020204" pitchFamily="34" charset="0"/>
          </a:endParaRPr>
        </a:p>
        <a:p>
          <a:pPr marL="57150" lvl="1" indent="-57150" algn="l" defTabSz="466725">
            <a:lnSpc>
              <a:spcPct val="90000"/>
            </a:lnSpc>
            <a:spcBef>
              <a:spcPct val="0"/>
            </a:spcBef>
            <a:spcAft>
              <a:spcPct val="20000"/>
            </a:spcAft>
            <a:buChar char="••"/>
          </a:pPr>
          <a:r>
            <a:rPr lang="en-AU" sz="1050" kern="1200">
              <a:latin typeface="Century Gothic" panose="020B0502020202020204" pitchFamily="34" charset="0"/>
            </a:rPr>
            <a:t>Your final number of years of service is shorter than expected for the reason you become temporary or permanent disabled</a:t>
          </a:r>
          <a:endParaRPr lang="en-US" sz="1050" kern="1200">
            <a:latin typeface="Century Gothic" panose="020B0502020202020204" pitchFamily="34" charset="0"/>
          </a:endParaRPr>
        </a:p>
        <a:p>
          <a:pPr marL="57150" lvl="1" indent="-57150" algn="l" defTabSz="466725">
            <a:lnSpc>
              <a:spcPct val="90000"/>
            </a:lnSpc>
            <a:spcBef>
              <a:spcPct val="0"/>
            </a:spcBef>
            <a:spcAft>
              <a:spcPct val="20000"/>
            </a:spcAft>
            <a:buChar char="••"/>
          </a:pPr>
          <a:r>
            <a:rPr lang="en-AU" sz="1050" kern="1200">
              <a:latin typeface="Century Gothic" panose="020B0502020202020204" pitchFamily="34" charset="0"/>
            </a:rPr>
            <a:t>The failure of the employer</a:t>
          </a:r>
          <a:endParaRPr lang="en-US" sz="1050" kern="1200">
            <a:latin typeface="Century Gothic" panose="020B0502020202020204" pitchFamily="34" charset="0"/>
          </a:endParaRPr>
        </a:p>
      </dsp:txBody>
      <dsp:txXfrm>
        <a:off x="0" y="1086352"/>
        <a:ext cx="5514975" cy="991381"/>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57D9C-B8DF-40D3-B780-A18DA410A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Jinfeng</dc:creator>
  <cp:keywords/>
  <dc:description/>
  <cp:lastModifiedBy>Zhu, Jinfeng</cp:lastModifiedBy>
  <cp:revision>32</cp:revision>
  <cp:lastPrinted>2020-02-29T09:40:00Z</cp:lastPrinted>
  <dcterms:created xsi:type="dcterms:W3CDTF">2020-02-26T12:53:00Z</dcterms:created>
  <dcterms:modified xsi:type="dcterms:W3CDTF">2020-02-29T09:47:00Z</dcterms:modified>
</cp:coreProperties>
</file>